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1FF" w:rsidRDefault="008531FF" w:rsidP="00D37913">
      <w:pPr>
        <w:pStyle w:val="a3"/>
        <w:spacing w:line="360" w:lineRule="auto"/>
        <w:ind w:left="-1080" w:firstLine="540"/>
        <w:jc w:val="center"/>
        <w:rPr>
          <w:b/>
          <w:bCs/>
          <w:sz w:val="28"/>
          <w:szCs w:val="28"/>
        </w:rPr>
      </w:pPr>
    </w:p>
    <w:p w:rsidR="00787222" w:rsidRPr="002605A8" w:rsidRDefault="00D37913" w:rsidP="00D37913">
      <w:pPr>
        <w:pStyle w:val="a3"/>
        <w:spacing w:line="360" w:lineRule="auto"/>
        <w:ind w:left="-1080"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787222" w:rsidRPr="002605A8">
        <w:rPr>
          <w:b/>
          <w:bCs/>
          <w:sz w:val="28"/>
          <w:szCs w:val="28"/>
        </w:rPr>
        <w:t>труктура мировой экономики</w:t>
      </w:r>
      <w:r>
        <w:rPr>
          <w:b/>
          <w:bCs/>
          <w:sz w:val="28"/>
          <w:szCs w:val="28"/>
        </w:rPr>
        <w:t>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>За почти пять послевоенных десятилетий масштабы и географическая структура мировой экономики существенно изменились. В целом мировой ВВП за 46 лет возрос почти в 5,9 раза. При этом экономический потенциал наиболее развитых регионов середины 20 века – Северной Америки, Европы, Австралии и Океании – увеличивался медленнее, чем мировой экономики в среднем. В результате их доля в ВВП мира заметно снизилась. Сокращение доли Северной Америки в мировой экономике полностью произошло за</w:t>
      </w:r>
      <w:r w:rsidR="00E151F6">
        <w:rPr>
          <w:sz w:val="28"/>
          <w:szCs w:val="28"/>
        </w:rPr>
        <w:t xml:space="preserve"> </w:t>
      </w:r>
      <w:r w:rsidRPr="002605A8">
        <w:rPr>
          <w:sz w:val="28"/>
          <w:szCs w:val="28"/>
        </w:rPr>
        <w:t>счет снижения в ней удельного веса США, в то время как доля остальных североамериканских стран возросла.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 xml:space="preserve">С другой стороны, несколько быстрее мирового потенциала в среднем росли экономические потенциалы Южной Америки и Африки, так что удельный вес этих регионов в мировой экономике несколько возрос. Однако настоящей “рекордсменкой” второй половины 20 века стала Азия. Ее ВВП возрос настолько, что ее доля в мировом ВВП возросла вдвое, что позволило ей стать крупнейшим экономическим регионом мира конца 20 начала 21 века. Если в </w:t>
      </w:r>
      <w:smartTag w:uri="urn:schemas-microsoft-com:office:smarttags" w:element="metricconverter">
        <w:smartTagPr>
          <w:attr w:name="ProductID" w:val="1950 г"/>
        </w:smartTagPr>
        <w:r w:rsidRPr="002605A8">
          <w:rPr>
            <w:sz w:val="28"/>
            <w:szCs w:val="28"/>
          </w:rPr>
          <w:t>1950 г</w:t>
        </w:r>
      </w:smartTag>
      <w:r w:rsidRPr="002605A8">
        <w:rPr>
          <w:sz w:val="28"/>
          <w:szCs w:val="28"/>
        </w:rPr>
        <w:t>. совокупные размеры экономик азиатских стран более чем вдвое уступали аналогичным показателям и Европы, и Северной Америки, то сегодня Азия по размерам ВВП почти в 1,5 раза превосходит каждый из этих регионов.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 xml:space="preserve">Структура мировой экономики с точки зрения преобладания различных типов социально-экономических систем на первый взгляд практически не изменилась. Более того, может сложиться впечатление, будто бывшие социалистические страны добились хотя и незначительного, но все же перевеса над странами с рыночной экономикой. Совокупный ВВП первой группы стран увеличился </w:t>
      </w:r>
      <w:smartTag w:uri="urn:schemas-microsoft-com:office:smarttags" w:element="time">
        <w:smartTagPr>
          <w:attr w:name="Minute" w:val="0"/>
          <w:attr w:name="Hour" w:val="18"/>
        </w:smartTagPr>
        <w:r w:rsidRPr="002605A8">
          <w:rPr>
            <w:sz w:val="28"/>
            <w:szCs w:val="28"/>
          </w:rPr>
          <w:t>в 6,</w:t>
        </w:r>
      </w:smartTag>
      <w:r w:rsidRPr="002605A8">
        <w:rPr>
          <w:sz w:val="28"/>
          <w:szCs w:val="28"/>
        </w:rPr>
        <w:t xml:space="preserve"> 1 раза, а второй – в 5,8, в результате чего удельный вес бывших соцстран  в мировом ВВП повысился с 15,3 до 15,9 %, а стран с рыночной экономикой снизился с 84,7 до 84,1%.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>Однако, это впечатление обманчиво. Фактически единственным фактором относительно лучших показателей первой группы стран явился феноменальный рост экономики Китая, доля ВВП которого в мировой экономике составляет 10,2%.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>Самым медленным экономический рост был в бывшем СССР (2,2 раза), приведший к сокращению его доли в мировом ВВП с 7,3% до 2,7%.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>В группе стран с рыночной экономикой темпы роста ВВП в развивающихся странах почти вдвое превзошли соответствующий показатель развитых стран, в результате чего доля последних в мировой экономике сократилась с 63,0 до 52,7%, а доля развивающихся стран возросла почти в 1,5 раза – с 21,7 до 31,4%. На фоне повышения доли в мировой экономике всех развивающихся стран и таких их групп, как страны Латинской Америки и страны-энгергоэкспортеры, наиболее тяжелая ситуация сложилась в африканских странах, расположенных южнее Сахары (СЮС). В них темпы роста ВВП были самыми низкими среди всех стран с рыночной экономикой, а их удельный вес в мировой экономике снизился с 2,3 до 1,8%.</w:t>
      </w:r>
    </w:p>
    <w:p w:rsidR="00787222" w:rsidRPr="002605A8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2605A8">
        <w:rPr>
          <w:sz w:val="28"/>
          <w:szCs w:val="28"/>
        </w:rPr>
        <w:t>На динамику абсолютных размеров ВВП существенное влияние оказывает динамика численности населения. При росте мирового населения в целом в 2,3 раза население Северной Америки, Европы, бывших социалистических и развитых стран росло медленнее среднемировых показателей. В других группах стран население росло быстрее, причем наиболее быстро в странах-энергоэкспортерах и африканских странах.</w:t>
      </w:r>
    </w:p>
    <w:p w:rsidR="00787222" w:rsidRDefault="00787222" w:rsidP="00D37913">
      <w:pPr>
        <w:spacing w:line="360" w:lineRule="auto"/>
        <w:jc w:val="both"/>
        <w:rPr>
          <w:b/>
          <w:bCs/>
          <w:sz w:val="28"/>
          <w:szCs w:val="28"/>
        </w:rPr>
      </w:pPr>
    </w:p>
    <w:p w:rsidR="00787222" w:rsidRPr="00787222" w:rsidRDefault="00787222" w:rsidP="00D37913">
      <w:pPr>
        <w:pStyle w:val="a3"/>
        <w:spacing w:line="360" w:lineRule="auto"/>
        <w:ind w:left="-1080" w:firstLine="540"/>
        <w:jc w:val="center"/>
        <w:rPr>
          <w:b/>
          <w:bCs/>
          <w:sz w:val="28"/>
          <w:szCs w:val="28"/>
        </w:rPr>
      </w:pPr>
      <w:bookmarkStart w:id="0" w:name="_Toc7673850"/>
      <w:r w:rsidRPr="00787222">
        <w:rPr>
          <w:b/>
          <w:bCs/>
          <w:sz w:val="28"/>
          <w:szCs w:val="28"/>
        </w:rPr>
        <w:t>Состояние ТЭК и его роль в экономике страны</w:t>
      </w:r>
      <w:bookmarkEnd w:id="0"/>
    </w:p>
    <w:p w:rsidR="00B620F6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Состояние топливно-энергетического комплекса страны в определяющей мере является следствием финансового положения энергетических компаний и экономических перспектив бизнеса в соответствующих сферах. В этой плоскости ситуация неоднородна. Если достаточная обеспеченность капиталом компаний в сырьевых отраслях обуславливает ускоренное развитие добывающих производств, то для инфраструктурных сфер характерны прогрессирующее старение и износ основных производственных фондов, опережающие темпы выбытия стареющих производственных мощностей по сравнению с темпами ввода новых, ограниченные инвестиционные возможности. При этом характер воздействия негативных тенденций производственного развития в инвестиционно</w:t>
      </w:r>
      <w:r>
        <w:rPr>
          <w:sz w:val="28"/>
          <w:szCs w:val="28"/>
        </w:rPr>
        <w:t xml:space="preserve">- </w:t>
      </w:r>
      <w:r w:rsidRPr="00787222">
        <w:rPr>
          <w:sz w:val="28"/>
          <w:szCs w:val="28"/>
        </w:rPr>
        <w:t>неблагополучных секторах различен: если в электроэнергетике по-прежнему сохраняется общий избыток установленной энергетической мощности и есть резерв для запуска конкурентного рынка с начальным избытком предложения, который позволит обеспечить рыночный импульс развития отрасли, то в газовой отрасли спрос уже не покрывается объемами добычи газа.</w:t>
      </w:r>
    </w:p>
    <w:p w:rsidR="00787222" w:rsidRPr="00787222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Существуют проблемные тенденции в состоянии нефтеперерабатывающего комплекса. Суммарные инвестиции в нефтепереработку, при достаточной обеспеченности капиталом нефтяных компаний, значительно ниже инвестиций практически во все другие сектора ТЭК. Модернизация НПЗ и повышение глубины переработки нефти, необходимость которых подтверждалась в течение периода реформ различными правительственными программами и рассматривается в качестве одной из задач Энергетической стратегии, не является объективной тенденцией – нефтяные компании, продолжая инвестировать в добычу нефти, не спешат осуществлять коренную реконструкцию действующих НПЗ с опережающим строительством мощностей по углублению переработки нефти, повышению качества нефтепродуктов и производству катализаторов. Низкое качество российских нефтепродуктов сдерживает развитие их экспорта, консервируя сырьевую структуру внешнеторгового предложения российского ТЭК. Непрозрачной остается структура загрузки действующих НПЗ, мощности которых требуют комплексного технологического обследования и перемаркировки.</w:t>
      </w:r>
    </w:p>
    <w:p w:rsidR="00787222" w:rsidRPr="00787222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В последнее время наметились позитивные тенденции развития инфраструктуры по транспорту энергоресурсов, в первую очередь нефти, в виде строительства собственных экспортных нефтетранспортных направлений (Балтийская трубопроводная система, нефтепровод Суходольная-Родионовская), снижающих зависимость России от транзита энергоресурсов по территории сопредельных государств. Вместе с тем, для внутренней системы магистральных нефтепроводов и нефтепродуктопроводов по-прежнему характерна высокая степень износа транспортных мощностей, нуждающихся в реконструкции.</w:t>
      </w:r>
    </w:p>
    <w:p w:rsidR="00D37913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Финансовые перспективы бизнеса в отдельных сферах ТЭК, в первую очередь электроэнергетике и газоснабжении внутреннего рынка, остаются сдерживающим фактором развития производства. Амортизационная политика не обеспечивает простого воспроизводства основных фондов, которое в значительной мере осуществляется за счет прибыли. Прибыль в этих отраслях низка ввиду, с одной стороны, устаревшей отраслевой структуры, не создающей рыночной мотивации для менеджмента и работников компаний по снижению издержек и повышению прибыльности, а с другой стороны, в результате низких тарифов, не отражающих реальную рыночную ценность продукции. В таких условиях компании не в состоянии привлечь частный капитал для финансирования мероприятий по модернизации производства и расширенному воспроизводству. Неэффективность внутренней экономической организации и низкие цены ведут к недостаточности внутреннего накопления для этих целей. В динамике совокупность этих факторов неизбежно имеет следствием ситуацию производственного дефицита.</w:t>
      </w:r>
    </w:p>
    <w:p w:rsidR="00787222" w:rsidRPr="00787222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Экономический рост в стране вызвал устойчивый рост спроса на продукцию ТЭК. С одной стороны, это следует расценивать как положительный фактор. Однако качественные характеристики и структура спроса серьезно деформированы. Растущий спрос в значительной мере является энергоемким и консервирует технологическую отсталость промышленности, при этом наиболее сильные тенденции роста спроса наблюдаются в сферах, где ценовые сигналы наиболее далеки от экономически оправданных (газовая отрасль).</w:t>
      </w:r>
    </w:p>
    <w:p w:rsidR="00787222" w:rsidRPr="00787222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Важным фактором являются сезонные колебания спроса, обусловленные естественными климатическими причинами. При этом система подготовки к осенне-зимнему периоду носит краткосрочно ориентированный характер, тогда как наибольший эффект она может принести при постановке этой системы на долгосрочную основу с использованием механизмов перспективного государственного прогнозирования балансов топливно-энергетических ресурсов.</w:t>
      </w:r>
    </w:p>
    <w:p w:rsidR="00787222" w:rsidRPr="00787222" w:rsidRDefault="00787222" w:rsidP="00D37913">
      <w:pPr>
        <w:pStyle w:val="a3"/>
        <w:spacing w:line="360" w:lineRule="auto"/>
        <w:ind w:left="-1080" w:firstLine="540"/>
        <w:jc w:val="both"/>
        <w:rPr>
          <w:sz w:val="28"/>
          <w:szCs w:val="28"/>
        </w:rPr>
      </w:pPr>
      <w:r w:rsidRPr="00787222">
        <w:rPr>
          <w:sz w:val="28"/>
          <w:szCs w:val="28"/>
        </w:rPr>
        <w:t>ТЭК по-прежнему остается источником серьезного загрязнения окружающей среды. Сжигание попутного нефтяного газа в факелах, использование устаревших технологий сжигания угля, высокий уровень выбросов загрязняющих веществ в атмосферу представляют собой в перспективе одну из основных проблем сектора.</w:t>
      </w:r>
    </w:p>
    <w:p w:rsidR="00B620F6" w:rsidRPr="00640BCB" w:rsidRDefault="00B620F6" w:rsidP="00D37913">
      <w:pPr>
        <w:pStyle w:val="6"/>
        <w:spacing w:line="360" w:lineRule="auto"/>
        <w:ind w:left="-1080" w:firstLine="54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40BC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Имея в виду ту немалую роль, которую играет Россия в мировой энергетике, нельзя преуменьшать российский фактор и в решении нарастающих глобальных экологических проблем. </w:t>
      </w:r>
    </w:p>
    <w:p w:rsidR="00B620F6" w:rsidRPr="00793842" w:rsidRDefault="00B620F6" w:rsidP="00D37913">
      <w:pPr>
        <w:pStyle w:val="5"/>
        <w:spacing w:line="360" w:lineRule="auto"/>
        <w:ind w:left="-1080"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793842">
        <w:rPr>
          <w:rFonts w:ascii="Times New Roman" w:hAnsi="Times New Roman" w:cs="Times New Roman"/>
          <w:color w:val="auto"/>
          <w:sz w:val="28"/>
          <w:szCs w:val="28"/>
        </w:rPr>
        <w:t>Россия должна быть готова к тому, что мировое сообщество в перспективе резко ужесточит требования к уровню экологических стандартов для энергетических отраслей во всех регионах мира. В то же время устойчивость российского ТЭК одинаково необходима как для отечественных, так и для зарубежных потребителей, ибо продукция ТЭК составляет примерно 25% всей стоимостной величины выпуска национальной промышленности, а поставки энергетического сырья из России в последнее время покрывают 80% потребностей Украины, 100% - стран Балтии свыше 50% - стран Восточной и Центральной Европы и до 20% - западноевропейских стран, входящих в Организацию экономического сотрудничества и развития (ОЭСР). .</w:t>
      </w:r>
    </w:p>
    <w:p w:rsidR="00787222" w:rsidRPr="00793842" w:rsidRDefault="00787222" w:rsidP="00D37913">
      <w:pPr>
        <w:spacing w:line="360" w:lineRule="auto"/>
        <w:ind w:left="-1080" w:firstLine="540"/>
        <w:jc w:val="both"/>
        <w:rPr>
          <w:b/>
          <w:bCs/>
          <w:sz w:val="28"/>
          <w:szCs w:val="28"/>
        </w:rPr>
      </w:pPr>
    </w:p>
    <w:p w:rsidR="00793842" w:rsidRPr="00640BCB" w:rsidRDefault="00793842" w:rsidP="00CA4106">
      <w:pPr>
        <w:pStyle w:val="5"/>
        <w:spacing w:line="360" w:lineRule="auto"/>
        <w:ind w:left="-1080"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40BC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Энергетический комплекс: </w:t>
      </w:r>
      <w:r w:rsidRPr="00640BCB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>прежние технологии и новые требования</w:t>
      </w:r>
    </w:p>
    <w:p w:rsidR="00793842" w:rsidRPr="00640BCB" w:rsidRDefault="00793842" w:rsidP="00D37913">
      <w:pPr>
        <w:pStyle w:val="5"/>
        <w:spacing w:line="360" w:lineRule="auto"/>
        <w:ind w:left="-1080"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640BCB">
        <w:rPr>
          <w:rFonts w:ascii="Times New Roman" w:hAnsi="Times New Roman" w:cs="Times New Roman"/>
          <w:color w:val="auto"/>
          <w:sz w:val="28"/>
          <w:szCs w:val="28"/>
        </w:rPr>
        <w:t xml:space="preserve">Богатый природный энергетический потенциал обеспечивает России весьма выгодное положение. Она по-прежнему является единственной крупной мировой державой, полностью удовлетворяющей свои энергетические потребности за счет собственных ресурсов. По запасам минерального топлива на душу населения Россия находится впереди всех крупных промышленно развитых государств. В этих условиях торговля энергоносителями и минеральным сырьем до сих пор выступает главным реальным профилем специализации страны в международном разделении труда и это можно оценивать не столько как слабость, сколько как важное временное стратегическое преимущество с национальной и глобальной точек зрения. </w:t>
      </w:r>
    </w:p>
    <w:p w:rsidR="00793842" w:rsidRPr="00640BCB" w:rsidRDefault="00793842" w:rsidP="00D37913">
      <w:pPr>
        <w:pStyle w:val="a3"/>
        <w:spacing w:line="360" w:lineRule="auto"/>
        <w:ind w:left="-1080" w:right="300" w:firstLine="540"/>
        <w:jc w:val="both"/>
        <w:outlineLvl w:val="5"/>
        <w:rPr>
          <w:sz w:val="28"/>
          <w:szCs w:val="28"/>
        </w:rPr>
      </w:pPr>
      <w:r w:rsidRPr="00640BCB">
        <w:rPr>
          <w:sz w:val="28"/>
          <w:szCs w:val="28"/>
        </w:rPr>
        <w:t>Роль топливно-энергетического комплекса (ТЭК) в развитии мировой экономики не уменьшается, а возрастает. Современная экономика, несмотря на интенсивное внедрение энергосберегающих технологий, продолжает неуклонно увеличивать масштабы общественных и индивидуальных энергетических потребностей. По подсчетам специалистов, объем мирового производства и потребления первичных энергоносителей в начале ХХI в. превысит 10 млрд. условных тонн. При этом 75% потребления будет приходиться на развитые страны, где проживает всего лишь одна шестая ч</w:t>
      </w:r>
      <w:r w:rsidR="00791B69">
        <w:rPr>
          <w:sz w:val="28"/>
          <w:szCs w:val="28"/>
        </w:rPr>
        <w:t>асть населения земли.</w:t>
      </w:r>
      <w:r w:rsidR="00D37913">
        <w:rPr>
          <w:sz w:val="28"/>
          <w:szCs w:val="28"/>
        </w:rPr>
        <w:t xml:space="preserve"> </w:t>
      </w:r>
      <w:r w:rsidRPr="00640BCB">
        <w:rPr>
          <w:sz w:val="28"/>
          <w:szCs w:val="28"/>
        </w:rPr>
        <w:t xml:space="preserve">Обобщенные данные показывают, что у России есть еще большие резервы по качественному улучшению использования своего топливно-энергетического комплекса. Например, ВВП США примерно </w:t>
      </w:r>
      <w:smartTag w:uri="urn:schemas-microsoft-com:office:smarttags" w:element="time">
        <w:smartTagPr>
          <w:attr w:name="Minute" w:val="0"/>
          <w:attr w:name="Hour" w:val="10"/>
        </w:smartTagPr>
        <w:r w:rsidRPr="00640BCB">
          <w:rPr>
            <w:sz w:val="28"/>
            <w:szCs w:val="28"/>
          </w:rPr>
          <w:t>в 10</w:t>
        </w:r>
      </w:smartTag>
      <w:r w:rsidRPr="00640BCB">
        <w:rPr>
          <w:sz w:val="28"/>
          <w:szCs w:val="28"/>
        </w:rPr>
        <w:t xml:space="preserve"> раз больше ВВП России, а объем производства электроэнергии в России меньше соответствующего американского выпуска всего в 4,7 раза. Это значит, что в России на единицу ВВП тратится </w:t>
      </w:r>
      <w:smartTag w:uri="urn:schemas-microsoft-com:office:smarttags" w:element="time">
        <w:smartTagPr>
          <w:attr w:name="Minute" w:val="0"/>
          <w:attr w:name="Hour" w:val="14"/>
        </w:smartTagPr>
        <w:r w:rsidRPr="00640BCB">
          <w:rPr>
            <w:sz w:val="28"/>
            <w:szCs w:val="28"/>
          </w:rPr>
          <w:t>в 2</w:t>
        </w:r>
      </w:smartTag>
      <w:r w:rsidRPr="00640BCB">
        <w:rPr>
          <w:sz w:val="28"/>
          <w:szCs w:val="28"/>
        </w:rPr>
        <w:t xml:space="preserve"> раза больше электроэнергии, чем в США. Конечно, в целом более суровый климат в России не может не требовать дополнительных расходов различных видов энергии, в том числе электрической. Однако это не может быть доводом в пользу чрезмерной электро- и энергоемкости валового внутреннего продукта страны. </w:t>
      </w:r>
    </w:p>
    <w:p w:rsidR="00787222" w:rsidRDefault="00787222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B07470" w:rsidRDefault="00B07470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</w:p>
    <w:p w:rsidR="00CA4106" w:rsidRDefault="00CA4106" w:rsidP="00CA4106">
      <w:pPr>
        <w:pStyle w:val="1"/>
        <w:spacing w:before="0" w:after="0" w:line="360" w:lineRule="auto"/>
        <w:ind w:left="-540" w:right="900" w:firstLine="360"/>
        <w:jc w:val="center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Министерство образования Российской Федерации</w:t>
      </w:r>
    </w:p>
    <w:p w:rsidR="00CA4106" w:rsidRPr="00493591" w:rsidRDefault="00CA4106" w:rsidP="00CA4106">
      <w:pPr>
        <w:pStyle w:val="1"/>
        <w:spacing w:before="0" w:after="0" w:line="360" w:lineRule="auto"/>
        <w:ind w:left="-540" w:right="900" w:firstLine="360"/>
        <w:jc w:val="center"/>
        <w:rPr>
          <w:rFonts w:ascii="Times New Roman" w:hAnsi="Times New Roman"/>
          <w:b w:val="0"/>
          <w:color w:val="000000"/>
          <w:szCs w:val="28"/>
        </w:rPr>
      </w:pPr>
      <w:r w:rsidRPr="00493591">
        <w:rPr>
          <w:rFonts w:ascii="Times New Roman" w:hAnsi="Times New Roman"/>
          <w:b w:val="0"/>
          <w:color w:val="000000"/>
          <w:szCs w:val="28"/>
        </w:rPr>
        <w:t>Муниципальное образовательное учреждение</w:t>
      </w:r>
    </w:p>
    <w:p w:rsidR="00CA4106" w:rsidRPr="00493591" w:rsidRDefault="00CA4106" w:rsidP="00CA4106">
      <w:pPr>
        <w:spacing w:line="360" w:lineRule="auto"/>
        <w:ind w:left="-540" w:right="900" w:firstLine="360"/>
        <w:jc w:val="center"/>
        <w:rPr>
          <w:sz w:val="28"/>
          <w:szCs w:val="28"/>
        </w:rPr>
      </w:pPr>
      <w:r w:rsidRPr="00493591">
        <w:rPr>
          <w:sz w:val="28"/>
          <w:szCs w:val="28"/>
        </w:rPr>
        <w:t>Воронежский экономико-правовой институт</w:t>
      </w:r>
    </w:p>
    <w:p w:rsidR="00CA4106" w:rsidRPr="00493591" w:rsidRDefault="00CA4106" w:rsidP="00CA4106">
      <w:pPr>
        <w:spacing w:line="360" w:lineRule="auto"/>
        <w:ind w:right="900"/>
        <w:jc w:val="both"/>
        <w:rPr>
          <w:sz w:val="28"/>
          <w:szCs w:val="28"/>
        </w:rPr>
      </w:pPr>
    </w:p>
    <w:p w:rsidR="00CA4106" w:rsidRPr="00493591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Pr="00493591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Pr="00493591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B07470" w:rsidRDefault="00B07470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B07470" w:rsidRDefault="00B07470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B07470" w:rsidRPr="00493591" w:rsidRDefault="00B07470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CA4106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Pr="00493591" w:rsidRDefault="00CA4106" w:rsidP="00CA4106">
      <w:pPr>
        <w:spacing w:line="360" w:lineRule="auto"/>
        <w:ind w:left="-540" w:right="90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ТЭК и совершенствование структуры мировой экономики</w:t>
      </w:r>
    </w:p>
    <w:p w:rsidR="00CA4106" w:rsidRPr="00493591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both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right="900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right="900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right="900"/>
        <w:rPr>
          <w:sz w:val="28"/>
          <w:szCs w:val="28"/>
        </w:rPr>
      </w:pPr>
    </w:p>
    <w:p w:rsidR="00B07470" w:rsidRDefault="00B07470" w:rsidP="00CA4106">
      <w:pPr>
        <w:spacing w:line="360" w:lineRule="auto"/>
        <w:ind w:right="900"/>
        <w:rPr>
          <w:sz w:val="28"/>
          <w:szCs w:val="28"/>
        </w:rPr>
      </w:pPr>
    </w:p>
    <w:p w:rsidR="00B07470" w:rsidRDefault="00B07470" w:rsidP="00CA4106">
      <w:pPr>
        <w:spacing w:line="360" w:lineRule="auto"/>
        <w:ind w:right="900"/>
        <w:rPr>
          <w:sz w:val="28"/>
          <w:szCs w:val="28"/>
        </w:rPr>
      </w:pPr>
    </w:p>
    <w:p w:rsidR="00B07470" w:rsidRPr="00493591" w:rsidRDefault="00B07470" w:rsidP="00CA4106">
      <w:pPr>
        <w:spacing w:line="360" w:lineRule="auto"/>
        <w:ind w:right="900"/>
        <w:rPr>
          <w:sz w:val="28"/>
          <w:szCs w:val="28"/>
        </w:rPr>
      </w:pPr>
    </w:p>
    <w:p w:rsidR="00CA4106" w:rsidRDefault="00CA4106" w:rsidP="00CA4106">
      <w:pPr>
        <w:spacing w:line="360" w:lineRule="auto"/>
        <w:ind w:left="-540" w:right="900" w:firstLine="360"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Pr="00493591">
        <w:rPr>
          <w:sz w:val="28"/>
          <w:szCs w:val="28"/>
        </w:rPr>
        <w:t>:</w:t>
      </w:r>
    </w:p>
    <w:p w:rsidR="00CA4106" w:rsidRDefault="00CA4106" w:rsidP="00CA4106">
      <w:pPr>
        <w:spacing w:line="360" w:lineRule="auto"/>
        <w:ind w:left="-540" w:right="900" w:firstLine="360"/>
        <w:jc w:val="right"/>
        <w:rPr>
          <w:sz w:val="28"/>
          <w:szCs w:val="28"/>
        </w:rPr>
      </w:pPr>
      <w:r>
        <w:rPr>
          <w:sz w:val="28"/>
          <w:szCs w:val="28"/>
        </w:rPr>
        <w:t>Кузнецова О. В.</w:t>
      </w:r>
    </w:p>
    <w:p w:rsidR="00CA4106" w:rsidRPr="00493591" w:rsidRDefault="00CA4106" w:rsidP="00CA4106">
      <w:pPr>
        <w:spacing w:line="360" w:lineRule="auto"/>
        <w:ind w:left="-540" w:right="900"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Группа </w:t>
      </w:r>
      <w:r w:rsidRPr="00493591">
        <w:rPr>
          <w:sz w:val="28"/>
          <w:szCs w:val="28"/>
        </w:rPr>
        <w:t>БУ-</w:t>
      </w:r>
      <w:r>
        <w:rPr>
          <w:sz w:val="28"/>
          <w:szCs w:val="28"/>
        </w:rPr>
        <w:t>031</w:t>
      </w:r>
    </w:p>
    <w:p w:rsidR="00CA4106" w:rsidRDefault="00CA4106" w:rsidP="00CA4106">
      <w:pPr>
        <w:spacing w:line="360" w:lineRule="auto"/>
        <w:ind w:left="-540" w:right="900" w:firstLine="360"/>
        <w:jc w:val="right"/>
      </w:pPr>
    </w:p>
    <w:p w:rsidR="00CA4106" w:rsidRDefault="00CA4106" w:rsidP="00CA4106">
      <w:pPr>
        <w:spacing w:line="360" w:lineRule="auto"/>
        <w:ind w:left="-540" w:right="900" w:firstLine="360"/>
        <w:jc w:val="right"/>
      </w:pPr>
    </w:p>
    <w:p w:rsidR="00B07470" w:rsidRDefault="00B07470" w:rsidP="00CA4106">
      <w:pPr>
        <w:spacing w:line="360" w:lineRule="auto"/>
        <w:ind w:left="-540" w:right="900" w:firstLine="360"/>
        <w:jc w:val="right"/>
      </w:pPr>
    </w:p>
    <w:p w:rsidR="00CA4106" w:rsidRDefault="00CA4106" w:rsidP="00CA4106">
      <w:pPr>
        <w:spacing w:line="360" w:lineRule="auto"/>
        <w:ind w:right="900"/>
        <w:jc w:val="both"/>
      </w:pPr>
    </w:p>
    <w:p w:rsidR="00CA4106" w:rsidRDefault="00CA4106" w:rsidP="00CA4106">
      <w:pPr>
        <w:spacing w:line="360" w:lineRule="auto"/>
        <w:ind w:left="-540" w:right="900" w:firstLine="360"/>
        <w:jc w:val="center"/>
        <w:rPr>
          <w:sz w:val="28"/>
          <w:szCs w:val="28"/>
        </w:rPr>
      </w:pPr>
      <w:r w:rsidRPr="00201826">
        <w:rPr>
          <w:sz w:val="28"/>
          <w:szCs w:val="28"/>
        </w:rPr>
        <w:t>Воронеж 2005</w:t>
      </w:r>
    </w:p>
    <w:p w:rsidR="00CA4106" w:rsidRPr="00793842" w:rsidRDefault="00CA4106" w:rsidP="00D37913">
      <w:pPr>
        <w:spacing w:line="360" w:lineRule="auto"/>
        <w:ind w:left="-1080" w:firstLine="540"/>
        <w:jc w:val="both"/>
        <w:rPr>
          <w:sz w:val="28"/>
          <w:szCs w:val="28"/>
        </w:rPr>
      </w:pPr>
      <w:bookmarkStart w:id="1" w:name="_GoBack"/>
      <w:bookmarkEnd w:id="1"/>
    </w:p>
    <w:sectPr w:rsidR="00CA4106" w:rsidRPr="00793842" w:rsidSect="00B0747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222"/>
    <w:rsid w:val="00771177"/>
    <w:rsid w:val="00787222"/>
    <w:rsid w:val="00791B69"/>
    <w:rsid w:val="00793842"/>
    <w:rsid w:val="008042F3"/>
    <w:rsid w:val="008531FF"/>
    <w:rsid w:val="00B07470"/>
    <w:rsid w:val="00B620F6"/>
    <w:rsid w:val="00CA4106"/>
    <w:rsid w:val="00D37913"/>
    <w:rsid w:val="00E1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77F6D-E83B-49FC-AD2A-6D46DAE0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22"/>
    <w:rPr>
      <w:sz w:val="24"/>
      <w:szCs w:val="24"/>
    </w:rPr>
  </w:style>
  <w:style w:type="paragraph" w:styleId="5">
    <w:name w:val="heading 5"/>
    <w:basedOn w:val="a"/>
    <w:qFormat/>
    <w:rsid w:val="00B620F6"/>
    <w:pPr>
      <w:spacing w:before="150" w:after="150"/>
      <w:ind w:left="150" w:right="150"/>
      <w:jc w:val="both"/>
      <w:outlineLvl w:val="4"/>
    </w:pPr>
    <w:rPr>
      <w:rFonts w:ascii="Arial" w:hAnsi="Arial" w:cs="Arial"/>
      <w:color w:val="000088"/>
      <w:sz w:val="20"/>
      <w:szCs w:val="20"/>
    </w:rPr>
  </w:style>
  <w:style w:type="paragraph" w:styleId="6">
    <w:name w:val="heading 6"/>
    <w:basedOn w:val="a"/>
    <w:qFormat/>
    <w:rsid w:val="00B620F6"/>
    <w:pPr>
      <w:spacing w:before="100" w:beforeAutospacing="1" w:after="100" w:afterAutospacing="1"/>
      <w:jc w:val="center"/>
      <w:outlineLvl w:val="5"/>
    </w:pPr>
    <w:rPr>
      <w:rFonts w:ascii="Arial" w:hAnsi="Arial" w:cs="Arial"/>
      <w:b/>
      <w:bCs/>
      <w:color w:val="00008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87222"/>
    <w:pPr>
      <w:spacing w:before="100" w:beforeAutospacing="1" w:after="100" w:afterAutospacing="1"/>
    </w:pPr>
  </w:style>
  <w:style w:type="paragraph" w:customStyle="1" w:styleId="1">
    <w:name w:val="заголовок 1"/>
    <w:basedOn w:val="a"/>
    <w:next w:val="a"/>
    <w:rsid w:val="00CA4106"/>
    <w:pPr>
      <w:keepNext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мировой экономики</vt:lpstr>
    </vt:vector>
  </TitlesOfParts>
  <Company/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мировой экономики</dc:title>
  <dc:subject/>
  <dc:creator>Владелец</dc:creator>
  <cp:keywords/>
  <dc:description/>
  <cp:lastModifiedBy>admin</cp:lastModifiedBy>
  <cp:revision>2</cp:revision>
  <cp:lastPrinted>2005-11-30T19:50:00Z</cp:lastPrinted>
  <dcterms:created xsi:type="dcterms:W3CDTF">2014-04-26T13:04:00Z</dcterms:created>
  <dcterms:modified xsi:type="dcterms:W3CDTF">2014-04-26T13:04:00Z</dcterms:modified>
</cp:coreProperties>
</file>