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35"/>
      </w:tblGrid>
      <w:tr w:rsidR="00117CA6" w:rsidRPr="00427BB8">
        <w:trPr>
          <w:trHeight w:val="375"/>
          <w:tblCellSpacing w:w="0" w:type="dxa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33645" w:rsidRPr="00427BB8" w:rsidRDefault="00733645" w:rsidP="0084421D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117CA6" w:rsidRPr="00427BB8" w:rsidRDefault="00117CA6" w:rsidP="0084421D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27BB8">
              <w:rPr>
                <w:rFonts w:ascii="Times New Roman" w:hAnsi="Times New Roman"/>
                <w:b/>
                <w:sz w:val="32"/>
                <w:szCs w:val="32"/>
              </w:rPr>
              <w:t>Агропромышленный комплекс</w:t>
            </w:r>
            <w:r w:rsidR="00B90A61">
              <w:rPr>
                <w:rFonts w:ascii="Times New Roman" w:hAnsi="Times New Roman"/>
                <w:b/>
                <w:sz w:val="32"/>
                <w:szCs w:val="32"/>
                <w:lang w:val="ru-RU"/>
              </w:rPr>
              <w:t xml:space="preserve"> РФ</w:t>
            </w:r>
          </w:p>
        </w:tc>
      </w:tr>
      <w:tr w:rsidR="00117CA6" w:rsidRPr="00427BB8">
        <w:trPr>
          <w:trHeight w:val="15"/>
          <w:tblCellSpacing w:w="0" w:type="dxa"/>
        </w:trPr>
        <w:tc>
          <w:tcPr>
            <w:tcW w:w="0" w:type="auto"/>
          </w:tcPr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7CA6" w:rsidRPr="00427BB8">
        <w:trPr>
          <w:trHeight w:val="375"/>
          <w:tblCellSpacing w:w="0" w:type="dxa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A5C3D" w:rsidRDefault="00117CA6" w:rsidP="00427BB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Агропромышленный комплекс (АПК) — крупнейший межотраслевой комплекс, объединяющий более 10 отраслей экономики, направленный на получение и переработку сельскохозяйственного сырья. АПК затрагивает интересы практически всего населения России, непосредственно касается 38,7 млн. сельских жителей, обеспечивающих функционирование более 18 миллионов различных сельскохозяйственных организаций, предприятий, крестьянских (фермерских) и личных подсобных хозяйств в 155 тысячах сельских населенных пунктах.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17CA6" w:rsidRDefault="00117CA6" w:rsidP="00427BB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Доля сельского хозяйства в ВВП составляла к началу 2008 года около 7-8%.</w:t>
            </w:r>
          </w:p>
          <w:p w:rsidR="002A5C3D" w:rsidRPr="002A5C3D" w:rsidRDefault="002A5C3D" w:rsidP="00427BB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17CA6" w:rsidRDefault="00117CA6" w:rsidP="00427BB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В сельском хозяйстве и пищевой промышленности России занято около 10 млн. человек, что составляет 15% от общей численности работающих. В подсобных хозяйствах занято еще 23,5 млн. человек.</w:t>
            </w:r>
          </w:p>
          <w:p w:rsidR="002A5C3D" w:rsidRPr="002A5C3D" w:rsidRDefault="002A5C3D" w:rsidP="00427BB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17CA6" w:rsidRDefault="00117CA6" w:rsidP="00427BB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Имеется чрезмерная зависимость от импорта продукции АПК. По итогам 2007 года импорт продовольствия превысил $24 млрд., что на 29,9% больше, чем в 2006 году. Особенно возрастают физические объемы импортных закупок мяса и мясных продуктов, доля которых достигает 40%. При вступлении России в ВТО на стандартных условиях, по мнению экспертов, у России практически не окажется средств противодействия этой тенденции.</w:t>
            </w:r>
          </w:p>
          <w:p w:rsidR="002A5C3D" w:rsidRPr="002A5C3D" w:rsidRDefault="002A5C3D" w:rsidP="00427BB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17CA6" w:rsidRDefault="00117CA6" w:rsidP="00427BB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Экспорт продовольственных товаров и сельскохозяйственного сырья в январе-ноябре 2007 года составил $7,99 млрд., что на 65,8% больше, чем в соответствующем периоде 2006 года. По сравнению с аналогичным периодом 2006 года увеличился экспорт пшеницы – на 49,3%, водки – на 51,2%.</w:t>
            </w:r>
          </w:p>
          <w:p w:rsidR="002A5C3D" w:rsidRPr="002A5C3D" w:rsidRDefault="002A5C3D" w:rsidP="00427BB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17CA6" w:rsidRDefault="00117CA6" w:rsidP="00427BB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На сегодняшний день современное состояние АПК – это медленное восстановление после провала 90-х гг. Возможности для роста используются недостаточно, хотя потенциал комплекса - очевиден. В последнее время принятые меры по улучшению экономических условий развития сельского хозяйства позволили обеспечить в 2007 году рост производства продукции и повышение эффективности отрасли. Речь, прежде всего, идет об увеличении производства мяса, молока, существенной поддержке развития малых форм аграрного бизнеса, а также строительстве жилья на селе для молодых специалистов. В значительной мере этому способствовала реализация приоритетного национального проекта в области АПК, активизация инвестиционной деятельности, государственная поддержка растениеводства и животноводства, развитие долгосрочных и краткосрочных форм кредитования малых и средних сельскохозяйственных предприятий. Реализуются федеральные целевые программы по повышению плодородия почв и социальному развитию села, а также различные региональные программы.</w:t>
            </w:r>
          </w:p>
          <w:p w:rsidR="002A5C3D" w:rsidRPr="002A5C3D" w:rsidRDefault="002A5C3D" w:rsidP="00427BB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 xml:space="preserve">Важным моментом с точки зрения отношения государства и общества к проблемам отрасли стало принятие в конце 2006 года закона «О развитии сельского хозяйства в Российской Федерации». Главной его составной частью является государственная программа развития сельского хозяйства и регулирования агропродовольственного рынка на 2008-2012 годы. </w:t>
            </w:r>
          </w:p>
          <w:p w:rsidR="002A5C3D" w:rsidRDefault="002A5C3D" w:rsidP="00427BB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2A5C3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Вместе с тем, еще нельзя сказать, что произошли необратимые позитивные изменения в агропромышленном комплексе России. </w:t>
            </w:r>
            <w:r w:rsidRPr="00427BB8">
              <w:rPr>
                <w:rFonts w:ascii="Times New Roman" w:hAnsi="Times New Roman"/>
                <w:sz w:val="28"/>
                <w:szCs w:val="28"/>
              </w:rPr>
              <w:t>Продолжается процесс снижения темпов развития сельскохозяйственного производства, ухудшается состояние производственного потенциала сельского хозяйства: земли, основных фондов, а также кадрового потенциала.</w:t>
            </w:r>
          </w:p>
          <w:p w:rsidR="002A5C3D" w:rsidRDefault="002A5C3D" w:rsidP="00427BB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Преимущества отрасли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 xml:space="preserve">1. большие площади сельскохозяйственных земель; 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2. имеются возможности производства экологически чистых продуктов;</w:t>
            </w:r>
          </w:p>
          <w:p w:rsidR="00117CA6" w:rsidRDefault="00117CA6" w:rsidP="00427BB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3. наличие трудовых ресурсов.</w:t>
            </w:r>
          </w:p>
          <w:p w:rsidR="002A5C3D" w:rsidRPr="002A5C3D" w:rsidRDefault="002A5C3D" w:rsidP="00427BB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Проблемы отрасли</w:t>
            </w:r>
          </w:p>
          <w:p w:rsidR="00117CA6" w:rsidRDefault="00117CA6" w:rsidP="00427BB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Экономическая ситуация в агропромышленном комплексе остается сложной. Низкий уровень цен на реализуемую сельскохозяйственную продукцию, недостаточный спрос на нее, конкуренция со стороны импорта, бессистемное реформирование предприятий АПК обусловили резкое снижение производственного потенциала сельского хозяйства и всех отраслей агропромышленного комплекса.</w:t>
            </w:r>
          </w:p>
          <w:p w:rsidR="002A5C3D" w:rsidRPr="002A5C3D" w:rsidRDefault="002A5C3D" w:rsidP="00427BB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17CA6" w:rsidRPr="002A5C3D" w:rsidRDefault="00117CA6" w:rsidP="00427BB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A5C3D">
              <w:rPr>
                <w:rFonts w:ascii="Times New Roman" w:hAnsi="Times New Roman"/>
                <w:sz w:val="28"/>
                <w:szCs w:val="28"/>
                <w:lang w:val="ru-RU"/>
              </w:rPr>
              <w:t>Основные проблемы сельского хозяйства заключаются в следующем: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·    слабое развитие перерабатывающих отраслей АПК и производственной инфраструктуры комплекса;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·    большая часть сельскохозяйственный угодий находится в зоне рискового земледелия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·    разрушение материально-технической базы (старение машинно-тракторного парка, разрушение животноводческих комплексов);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·    усиливающийся с процессом разгосударствления монополизм предприятий перерабатывающей промышленности, сферы агросервиса;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·    рост цен на энергоресурсы и ГСМ;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·    деградация земельных ресурсов;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·    диспаритет цен на продукцию сельского хозяйства и промышленную продукцию;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·    недостаточная развитость дорожной сети в области;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·    недостаточная развитость сфер деятельности и занятости населения вне сельскохозяйственного производства (малый бизнес, рекреация);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·    высокий уровень самозанятости сельского населения в личных подсобных хозяйствах в ущерб более производительным формам ведения хозяйства;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·    более высокий, в сравнении с городом, коэффициент депопуляции населения;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·    неразвитость социальной инфраструктуры, снижение доступности для сельского населения профессиональных образовательных услуг, услуг сферы здравоохранения, культуры;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·    отсутствие последовательной системы государственной поддержки аграрного производства и недостаточное бюджетное финансирование АПК;</w:t>
            </w:r>
          </w:p>
          <w:p w:rsidR="00117CA6" w:rsidRDefault="00117CA6" w:rsidP="00427BB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·    угроза перехода значительных слоев сельского общества области на образ жизни, характерный для «социального дна».</w:t>
            </w:r>
          </w:p>
          <w:p w:rsidR="002A5C3D" w:rsidRPr="002A5C3D" w:rsidRDefault="002A5C3D" w:rsidP="00427BB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Основные сферы АПК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 xml:space="preserve">1) непосредственное производство сельскохозяйственной продукции; 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 xml:space="preserve">2) отрасли промышленности, поставляющие сельскому хозяйству технику, материалы, энергетические ресурсы, обеспечивающие научную информацию; 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27BB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3) отрасли по переработке, хранению, транспортировке и реализации сельскохозяйственной продукции; 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4) пищевая промышленность.</w:t>
            </w:r>
          </w:p>
          <w:p w:rsidR="002A5C3D" w:rsidRDefault="002A5C3D" w:rsidP="00427BB8">
            <w:pP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  <w:p w:rsidR="00044536" w:rsidRPr="00427BB8" w:rsidRDefault="00044536" w:rsidP="00427BB8">
            <w:pP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  <w:r w:rsidRPr="00427BB8"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  <w:t>Отражение мирового кризиса на агропромышленном комплексе РФ</w:t>
            </w:r>
          </w:p>
          <w:p w:rsidR="00044536" w:rsidRDefault="00044536" w:rsidP="00427BB8">
            <w:pP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  <w:r w:rsidRPr="00427BB8"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  <w:t>Алексей Гордеев, министр сельского хозяйства России, заявил, что его сфера деятельности также ощутила влияние мирового экономического кризиса.</w:t>
            </w:r>
          </w:p>
          <w:p w:rsidR="002A5C3D" w:rsidRPr="00427BB8" w:rsidRDefault="002A5C3D" w:rsidP="00427BB8">
            <w:pP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  <w:p w:rsidR="00044536" w:rsidRDefault="00044536" w:rsidP="00427BB8">
            <w:pP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  <w:r w:rsidRPr="00427BB8"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  <w:t>Причиной для этого стало резкое повышение процентных ставок по кредитам практически во всех банках страны. Лишь Россельхозбанк оставил договоренности с прежними условиями. Однако и тех 60-ти процентов, которые предоставляет банк в качестве кредитов, не хватает на нормальное функционирование агропромышленного комплекса. Также разработка тех проектов, которые должны были способствовать модернизации отрасли, была приостановлена. Задержки платежей составили 60-90 дней.</w:t>
            </w:r>
            <w:r w:rsidRPr="00427BB8"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  <w:br/>
            </w:r>
            <w:r w:rsidRPr="00427BB8"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  <w:br/>
            </w:r>
            <w:r w:rsidR="0085178F" w:rsidRPr="00427BB8"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  <w:t xml:space="preserve">    </w:t>
            </w:r>
            <w:r w:rsidRPr="00427BB8"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  <w:t>Гордеев отметил, что наиболее ущемленным оказались производителя молочных продуктов, мяса и зерна. Известно, что не хватает довольно-таки большой суммы для завершения работ по строительству/реконструкции ряда животноводческих объектов, которых по всей территории России насчитывается около трех тысяч.</w:t>
            </w:r>
          </w:p>
          <w:p w:rsidR="002A5C3D" w:rsidRPr="00427BB8" w:rsidRDefault="002A5C3D" w:rsidP="00427BB8">
            <w:pP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  <w:p w:rsidR="002A5C3D" w:rsidRDefault="002A5C3D" w:rsidP="00427BB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A5C3D" w:rsidRDefault="002A5C3D" w:rsidP="00427BB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17CA6" w:rsidRPr="002A5C3D" w:rsidRDefault="00117CA6" w:rsidP="00427BB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C0AEF">
              <w:rPr>
                <w:rFonts w:ascii="Times New Roman" w:hAnsi="Times New Roman"/>
                <w:sz w:val="28"/>
                <w:szCs w:val="28"/>
                <w:lang w:val="ru-RU"/>
              </w:rPr>
              <w:t>Крупнейшие компании</w:t>
            </w:r>
            <w:r w:rsidR="002A5C3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агропромышленного комплекса РФ</w:t>
            </w:r>
          </w:p>
          <w:p w:rsidR="002A5C3D" w:rsidRDefault="002A5C3D" w:rsidP="00427BB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2A5C3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Агропромышленный комплекс «Моссельпром» - крупнейший в Европе и самый большой инвестиционный проект в области сельского хозяйства в России. </w:t>
            </w:r>
            <w:r w:rsidRPr="00427BB8">
              <w:rPr>
                <w:rFonts w:ascii="Times New Roman" w:hAnsi="Times New Roman"/>
                <w:sz w:val="28"/>
                <w:szCs w:val="28"/>
              </w:rPr>
              <w:t>Основное направление деятельности – бройлерное птицеводство.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  <w:u w:val="single"/>
              </w:rPr>
              <w:t>http://www.mosselprom.ru/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2A5C3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АПК «Стойленская Нива» - одна из крупнейших холдинговых структур агропромышленного сектора экономики России. </w:t>
            </w:r>
            <w:r w:rsidRPr="00427BB8">
              <w:rPr>
                <w:rFonts w:ascii="Times New Roman" w:hAnsi="Times New Roman"/>
                <w:sz w:val="28"/>
                <w:szCs w:val="28"/>
              </w:rPr>
              <w:t>В настоящее время холдинг объединяет более 35 предприятий, в число которых входят хлебозаводы, заготовительные, мукомольные и сельскохозяйственные предприятия Белгородской, Курской, Воронежской, Смоленской, Саратовской Нижегородской и Ивановской областей.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  <w:u w:val="single"/>
              </w:rPr>
              <w:t>http://www.stniva.ru/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2A5C3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Группа компаний АПК «ОГО» - один из крупнейших агропромышленных холдингов России, включающий в себя более 40 сельскохозяйственных и перерабатывающих предприятий. </w:t>
            </w:r>
            <w:r w:rsidRPr="00427BB8">
              <w:rPr>
                <w:rFonts w:ascii="Times New Roman" w:hAnsi="Times New Roman"/>
                <w:sz w:val="28"/>
                <w:szCs w:val="28"/>
              </w:rPr>
              <w:t>Основными видами деятельности АПК «ОГО» в настоящее время являются: производство муки и комбикормов, птицеводство, производство хлебобулочных и кондитерских изделий, а также зерновой трейдинг и хранение зерна.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  <w:u w:val="single"/>
              </w:rPr>
              <w:t>http://www.ogo.ru/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2A5C3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ОАО «Группа «Черкизово» - одна из крупнейших в мясной отрасли России агропромышленных компаний, включающая 3 основных производственных блока – мясопереработка, свиноводство и птицеводство. </w:t>
            </w:r>
            <w:r w:rsidRPr="00427BB8">
              <w:rPr>
                <w:rFonts w:ascii="Times New Roman" w:hAnsi="Times New Roman"/>
                <w:sz w:val="28"/>
                <w:szCs w:val="28"/>
              </w:rPr>
              <w:t xml:space="preserve">В состав Группы входят 8 мясоперерабатывающих предприятий, 2 птицеводческих комплекса, 4 свинокомплекса, птицеперерабатывающий завод, комбикормовый завод, 2 торговых дома с филиалами в крупнейших городах России. Это вертикально интегрированный холдинг, предприятия которого образуют полный производственный цикл: производство кормов, выращивание птицы и свиней, переработка, реализация. 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  <w:u w:val="single"/>
              </w:rPr>
              <w:t>http://www.cherkizovo-group.ru/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2A5C3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Группа «Разгуляй» – одна из крупнейших вертикально интегрированных агропромышленных компаний, которая включает в себя управляющую компанию ОАО «Группа «Разгуляй» и два отраслевых холдинга – зерновой и сахарный. </w:t>
            </w:r>
            <w:r w:rsidRPr="00427BB8">
              <w:rPr>
                <w:rFonts w:ascii="Times New Roman" w:hAnsi="Times New Roman"/>
                <w:sz w:val="28"/>
                <w:szCs w:val="28"/>
              </w:rPr>
              <w:t>Сейчас у агрокорпорации 38 предприятий в 15 регионах страны. Зерновой холдинг контролирует около 10% рынка торговли зерном, 16% рынка крупы и 3% рынка муки, сахарный холдинг – 11,7% сахарного рынка. Компания заняла 127-е место в списке крупнейших компаний за 2007 год («Эксперт»). Сегодня «Разгуляй» занимает лидирующие позиции в сфере производства, переработки и реализации сельскохозяйственной продукции сырьевой группы. Стратегия компании направлена на выстраивание вертикально интегрированного холдинга, охватывающего всю производственную цепочку от производства до реализации.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  <w:u w:val="single"/>
              </w:rPr>
              <w:t>http://www.raz.ru/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2A5C3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Группа «Аркада-Интер» - крупный российский агропромышленный холдинг, осуществляет закупку, хранение, переработку и реализацию зерновых и масличных культур и входит по объемам продаж в десятку ведущих трейдеров страны по зерну и солоду. </w:t>
            </w:r>
            <w:r w:rsidRPr="00427BB8">
              <w:rPr>
                <w:rFonts w:ascii="Times New Roman" w:hAnsi="Times New Roman"/>
                <w:sz w:val="28"/>
                <w:szCs w:val="28"/>
              </w:rPr>
              <w:t>Компания выделила приоритетное направление по развитию переработки зерна и продуктового направления. В зерновой агрохолдинг в настоящее время входят 5 элеваторов, мукомольные заводы, производство по переработке семечки подсолнечника, пивоваренный завод, 3 макаронные фабрики, крупяные заводы. Предприятия Группы также являются производителями подсолнечного масла, муки и пива.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  <w:u w:val="single"/>
              </w:rPr>
              <w:t>http://www.arkada-apk.ru/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2A5C3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Группа компаний «Продимекс» - крупнейший российский игрок на рынке производства сахарного песка с ежегодными оборотами около $550 млн. </w:t>
            </w:r>
            <w:r w:rsidRPr="00427BB8">
              <w:rPr>
                <w:rFonts w:ascii="Times New Roman" w:hAnsi="Times New Roman"/>
                <w:sz w:val="28"/>
                <w:szCs w:val="28"/>
              </w:rPr>
              <w:t>На «Продимекс» приходится 17% продаж белого сахара и около 18,5% производства свекловичного сахара. Компания владеет 15 сахарными заводами, которые расположены в Воронежской, Белгородской, Орловской, Тульской и Пензенской областях, в Краснодарском, Ставропольском краях, а также в Республике Башкортостан.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  <w:u w:val="single"/>
              </w:rPr>
              <w:t>http://www.prodimex.ru/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2A5C3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ЗАО «АПК Агрос» - крупнейшая в России интегрированная агропродовольственная компания. </w:t>
            </w:r>
            <w:r w:rsidRPr="00427BB8">
              <w:rPr>
                <w:rFonts w:ascii="Times New Roman" w:hAnsi="Times New Roman"/>
                <w:sz w:val="28"/>
                <w:szCs w:val="28"/>
              </w:rPr>
              <w:t xml:space="preserve">Предприятия «Агроса» находятся в Москве, Санкт-Петербурге, Ставропольском и Краснодарском крае, Самарской, Смоленской, Волгоградской и Воронежской областях. Центральный сбытовой и маркетинговый центр расположен в Москве. Филиальная сеть и представительства открыты во всех основных зернопроизводящих регионах России и ближнего зарубежья. Сегодня АПК «Агрос» занимает лидирующие позиции в России по объему производства макаронных изделий, по объему продаж зерна на внутреннем и внешнем рынках. Компания – один из лидеров по установленным мощностям хранения зерна и по производству мяса птицы (бройлеров). 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  <w:u w:val="single"/>
              </w:rPr>
              <w:t>http://www.agrosgroup.ru</w:t>
            </w:r>
            <w:r w:rsidRPr="00427BB8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2A5C3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ОАО «Пава» (до июля 2005 года компания называлась ОАО «АПК «Хлеб Алтая») - входит в пятерку крупнейших зерноперерабатывающих предприятий России. </w:t>
            </w:r>
            <w:r w:rsidRPr="00427BB8">
              <w:rPr>
                <w:rFonts w:ascii="Times New Roman" w:hAnsi="Times New Roman"/>
                <w:sz w:val="28"/>
                <w:szCs w:val="28"/>
              </w:rPr>
              <w:t xml:space="preserve">Доля выпускаемой компанией продукции составляет более 3% от общероссийских объемов производства муки. Производство продукции осуществляется на трех мелькомбинатах предприятия, имеющих собственные элеваторы и железнодорожные пути. Два комбината расположены в Алтайском крае, а третий – в Красноярском крае (г. Ачинск). В совокупности компания выпускает более 360 тысяч тонн муки в год, отрубей - около 80 тыс. тонн, кормосмеси - 15 тыс. тонн. 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  <w:u w:val="single"/>
              </w:rPr>
              <w:t>http://www.apkhleb.ru/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2A5C3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ООО «Бунге СНГ» - является российским подразделением компании </w:t>
            </w:r>
            <w:r w:rsidRPr="00427BB8">
              <w:rPr>
                <w:rFonts w:ascii="Times New Roman" w:hAnsi="Times New Roman"/>
                <w:sz w:val="28"/>
                <w:szCs w:val="28"/>
              </w:rPr>
              <w:t>Bunge</w:t>
            </w:r>
            <w:r w:rsidRPr="002A5C3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427BB8">
              <w:rPr>
                <w:rFonts w:ascii="Times New Roman" w:hAnsi="Times New Roman"/>
                <w:sz w:val="28"/>
                <w:szCs w:val="28"/>
              </w:rPr>
              <w:t>Ltd</w:t>
            </w:r>
            <w:r w:rsidRPr="002A5C3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международной интегрированной компании, работающей на рынке сельхозпродукции и продуктов питания. </w:t>
            </w:r>
            <w:r w:rsidRPr="00427BB8">
              <w:rPr>
                <w:rFonts w:ascii="Times New Roman" w:hAnsi="Times New Roman"/>
                <w:sz w:val="28"/>
                <w:szCs w:val="28"/>
              </w:rPr>
              <w:t>Bunge является мировым лидером на рынке бутилированного растительного масла. В России бизнес компании развивается в двух направлениях: продукты питания и торговля сельскохозяйственной продукцией – зерном и маслосеменами. «Бунге СНГ» производит и продает подсолнечное, кукурузное и растительное масло под марками «Олейна» и Ideal, кроме того, является одним из крупнейших зерновых трейдеров.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  <w:u w:val="single"/>
              </w:rPr>
              <w:t>http://www.bunge.ru/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2A5C3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ООО «ИНТЕКО-Агро» - современное сельскохозяйственное предприятие. </w:t>
            </w:r>
            <w:r w:rsidRPr="00427BB8">
              <w:rPr>
                <w:rFonts w:ascii="Times New Roman" w:hAnsi="Times New Roman"/>
                <w:sz w:val="28"/>
                <w:szCs w:val="28"/>
              </w:rPr>
              <w:t>Основным направлением в растениеводстве является первичное и элитное семеноводство озимой пшеницы и ярового ячменя, в животноводстве – молочное скотоводство. Принципиальная ставка компанией в технологии производства сельскохозяйственной продукции делается на применение самых современных разработок. Внедряется система глобального позиционирования всего транспортно-комбайного парка, полевые работы ведутся в соответствии с принципами позиционного землевладения. В числе приоритетов – эффективное использование естественных ресурсов земли. На всей обрабатываемой площади применяется нулевая технология обработки почвы, так называемый no-till или технология прямого посева.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</w:rPr>
              <w:t> </w:t>
            </w:r>
            <w:r w:rsidRPr="00427BB8">
              <w:rPr>
                <w:rFonts w:ascii="Times New Roman" w:hAnsi="Times New Roman"/>
                <w:sz w:val="28"/>
                <w:szCs w:val="28"/>
                <w:u w:val="single"/>
              </w:rPr>
              <w:t>http://www.inteco-agro.com/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2A5C3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Группа Компаний «Русагро» - один из крупнейших российских агропромышленных холдингов, развивающий сахарное и сельскохозяйственное бизнес-направления. </w:t>
            </w:r>
            <w:r w:rsidRPr="00427BB8">
              <w:rPr>
                <w:rFonts w:ascii="Times New Roman" w:hAnsi="Times New Roman"/>
                <w:sz w:val="28"/>
                <w:szCs w:val="28"/>
              </w:rPr>
              <w:t>Группа занимается выращиванием подсолнечника, его переработкой, производством и продажей сахара и других сельхозпродуктов. На начало 2008 г. в группу входит 6 сахарных заводов и Екатеринбургский масложиркомбинат, 38 сельхозпредприятий, 8 региональных торговых филиалов и управляющая компания. Производственные активы компании по техническому оснащению считаются одними из лучших в России. Сегодня «Русагро» производит более 10% всего российского сахара (на 2007 год).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  <w:u w:val="single"/>
              </w:rPr>
              <w:t>http://www.rusagrogroup.ru/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2A5C3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Группа компаний «Оптифуд» - входит в тройку лидеров крупнейших операторов российского рынка мяса птицы. </w:t>
            </w:r>
            <w:r w:rsidRPr="00427BB8">
              <w:rPr>
                <w:rFonts w:ascii="Times New Roman" w:hAnsi="Times New Roman"/>
                <w:sz w:val="28"/>
                <w:szCs w:val="28"/>
              </w:rPr>
              <w:t>Является многопрофильной структурой, обладающей высоким авторитетом как в России, так и за ее пределами. Активно развивается направление торговли свежими и замороженными фруктами и овощами. «Оптифуд» реализует проект создания в Ростовской области современного агрохолдинга по производству высококачественного мяса бройлеров с общим объемом 100 000 тонн в год.</w:t>
            </w:r>
          </w:p>
          <w:p w:rsidR="00117CA6" w:rsidRPr="00427BB8" w:rsidRDefault="00117CA6" w:rsidP="00427BB8">
            <w:pPr>
              <w:rPr>
                <w:rFonts w:ascii="Times New Roman" w:hAnsi="Times New Roman"/>
                <w:sz w:val="28"/>
                <w:szCs w:val="28"/>
              </w:rPr>
            </w:pPr>
            <w:r w:rsidRPr="00427BB8">
              <w:rPr>
                <w:rFonts w:ascii="Times New Roman" w:hAnsi="Times New Roman"/>
                <w:sz w:val="28"/>
                <w:szCs w:val="28"/>
                <w:u w:val="single"/>
              </w:rPr>
              <w:t>http://www.optifood.ru/</w:t>
            </w:r>
          </w:p>
        </w:tc>
      </w:tr>
    </w:tbl>
    <w:p w:rsidR="00117CA6" w:rsidRPr="00427BB8" w:rsidRDefault="00117CA6" w:rsidP="00427BB8">
      <w:pPr>
        <w:rPr>
          <w:rFonts w:ascii="Times New Roman" w:hAnsi="Times New Roman"/>
          <w:sz w:val="28"/>
          <w:szCs w:val="28"/>
          <w:lang w:val="ru-RU"/>
        </w:rPr>
      </w:pPr>
    </w:p>
    <w:p w:rsidR="00593F46" w:rsidRPr="00427BB8" w:rsidRDefault="00593F46" w:rsidP="00427BB8">
      <w:pPr>
        <w:rPr>
          <w:rFonts w:ascii="Times New Roman" w:hAnsi="Times New Roman"/>
          <w:sz w:val="28"/>
          <w:szCs w:val="28"/>
          <w:lang w:val="ru-RU"/>
        </w:rPr>
      </w:pPr>
    </w:p>
    <w:p w:rsidR="00593F46" w:rsidRPr="00427BB8" w:rsidRDefault="00593F46" w:rsidP="00427BB8">
      <w:pPr>
        <w:rPr>
          <w:rFonts w:ascii="Times New Roman" w:hAnsi="Times New Roman"/>
          <w:sz w:val="28"/>
          <w:szCs w:val="28"/>
          <w:lang w:val="ru-RU"/>
        </w:rPr>
      </w:pPr>
    </w:p>
    <w:p w:rsidR="00593F46" w:rsidRPr="00427BB8" w:rsidRDefault="00593F46" w:rsidP="00427BB8">
      <w:pPr>
        <w:rPr>
          <w:rFonts w:ascii="Times New Roman" w:hAnsi="Times New Roman"/>
          <w:sz w:val="28"/>
          <w:szCs w:val="28"/>
          <w:lang w:val="ru-RU"/>
        </w:rPr>
      </w:pPr>
    </w:p>
    <w:p w:rsidR="00593F46" w:rsidRPr="00427BB8" w:rsidRDefault="00593F46" w:rsidP="00427BB8">
      <w:pPr>
        <w:rPr>
          <w:rFonts w:ascii="Times New Roman" w:hAnsi="Times New Roman"/>
          <w:sz w:val="28"/>
          <w:szCs w:val="28"/>
          <w:lang w:val="ru-RU"/>
        </w:rPr>
      </w:pPr>
    </w:p>
    <w:p w:rsidR="00593F46" w:rsidRDefault="00593F46" w:rsidP="00427BB8">
      <w:pPr>
        <w:rPr>
          <w:rFonts w:ascii="Times New Roman" w:hAnsi="Times New Roman"/>
          <w:sz w:val="28"/>
          <w:szCs w:val="28"/>
          <w:lang w:val="ru-RU"/>
        </w:rPr>
      </w:pPr>
    </w:p>
    <w:p w:rsidR="002A5C3D" w:rsidRPr="00427BB8" w:rsidRDefault="002A5C3D" w:rsidP="00427BB8">
      <w:pPr>
        <w:rPr>
          <w:rFonts w:ascii="Times New Roman" w:hAnsi="Times New Roman"/>
          <w:sz w:val="28"/>
          <w:szCs w:val="28"/>
          <w:lang w:val="ru-RU"/>
        </w:rPr>
      </w:pPr>
    </w:p>
    <w:p w:rsidR="00427BB8" w:rsidRPr="0084421D" w:rsidRDefault="0084421D" w:rsidP="00EC0FB4">
      <w:pPr>
        <w:numPr>
          <w:ilvl w:val="0"/>
          <w:numId w:val="1"/>
        </w:numPr>
        <w:jc w:val="center"/>
        <w:rPr>
          <w:rFonts w:ascii="Times New Roman" w:hAnsi="Times New Roman"/>
          <w:b/>
          <w:sz w:val="32"/>
          <w:szCs w:val="32"/>
          <w:lang w:val="ru-RU"/>
        </w:rPr>
      </w:pPr>
      <w:bookmarkStart w:id="0" w:name="_Toc188706571"/>
      <w:r w:rsidRPr="0084421D">
        <w:rPr>
          <w:rFonts w:ascii="Times New Roman" w:hAnsi="Times New Roman"/>
          <w:b/>
          <w:sz w:val="32"/>
          <w:szCs w:val="32"/>
          <w:lang w:val="ru-RU"/>
        </w:rPr>
        <w:t xml:space="preserve">Долгосрочное социально-экономическое развитие  </w:t>
      </w:r>
      <w:r w:rsidR="00A40119">
        <w:rPr>
          <w:rFonts w:ascii="Times New Roman" w:hAnsi="Times New Roman"/>
          <w:b/>
          <w:sz w:val="32"/>
          <w:szCs w:val="32"/>
          <w:lang w:val="ru-RU"/>
        </w:rPr>
        <w:t>Северо-Западного</w:t>
      </w:r>
      <w:r w:rsidR="00427BB8" w:rsidRPr="0084421D">
        <w:rPr>
          <w:rFonts w:ascii="Times New Roman" w:hAnsi="Times New Roman"/>
          <w:b/>
          <w:sz w:val="32"/>
          <w:szCs w:val="32"/>
          <w:lang w:val="ru-RU"/>
        </w:rPr>
        <w:t xml:space="preserve">  федеральн</w:t>
      </w:r>
      <w:r w:rsidR="00A40119">
        <w:rPr>
          <w:rFonts w:ascii="Times New Roman" w:hAnsi="Times New Roman"/>
          <w:b/>
          <w:sz w:val="32"/>
          <w:szCs w:val="32"/>
          <w:lang w:val="ru-RU"/>
        </w:rPr>
        <w:t>ого</w:t>
      </w:r>
      <w:r w:rsidR="00427BB8" w:rsidRPr="0084421D">
        <w:rPr>
          <w:rFonts w:ascii="Times New Roman" w:hAnsi="Times New Roman"/>
          <w:b/>
          <w:sz w:val="32"/>
          <w:szCs w:val="32"/>
          <w:lang w:val="ru-RU"/>
        </w:rPr>
        <w:t xml:space="preserve"> округ</w:t>
      </w:r>
      <w:r w:rsidR="00A40119">
        <w:rPr>
          <w:rFonts w:ascii="Times New Roman" w:hAnsi="Times New Roman"/>
          <w:b/>
          <w:sz w:val="32"/>
          <w:szCs w:val="32"/>
          <w:lang w:val="ru-RU"/>
        </w:rPr>
        <w:t>а</w:t>
      </w:r>
    </w:p>
    <w:p w:rsidR="00427BB8" w:rsidRPr="00427BB8" w:rsidRDefault="00427BB8" w:rsidP="00427BB8">
      <w:pPr>
        <w:rPr>
          <w:rFonts w:ascii="Times New Roman" w:hAnsi="Times New Roman"/>
          <w:sz w:val="28"/>
          <w:szCs w:val="28"/>
          <w:lang w:val="ru-RU"/>
        </w:rPr>
      </w:pPr>
    </w:p>
    <w:p w:rsidR="00427BB8" w:rsidRPr="00427BB8" w:rsidRDefault="00427BB8" w:rsidP="00427BB8">
      <w:pPr>
        <w:rPr>
          <w:rFonts w:ascii="Times New Roman" w:hAnsi="Times New Roman"/>
          <w:sz w:val="28"/>
          <w:szCs w:val="28"/>
          <w:lang w:val="ru-RU"/>
        </w:rPr>
      </w:pPr>
    </w:p>
    <w:p w:rsidR="00427BB8" w:rsidRPr="00427BB8" w:rsidRDefault="00427BB8" w:rsidP="00427BB8">
      <w:pPr>
        <w:rPr>
          <w:rFonts w:ascii="Times New Roman" w:hAnsi="Times New Roman"/>
          <w:sz w:val="28"/>
          <w:szCs w:val="28"/>
        </w:rPr>
      </w:pPr>
      <w:r w:rsidRPr="00427BB8">
        <w:rPr>
          <w:rFonts w:ascii="Times New Roman" w:hAnsi="Times New Roman"/>
          <w:sz w:val="28"/>
          <w:szCs w:val="28"/>
          <w:lang w:val="ru-RU"/>
        </w:rPr>
        <w:t xml:space="preserve">Преимущества Северо-Западного федерального округа определяются наличием в его составе второй по величине городской агломерации страны – города Санкт-Петербурга, географическим положением - соседством с развитыми странами Европейского Союза и выходом к важнейшим морским торговым путям, включая Северный морской путь, а также наличие ресурсной базы для топливной, металлургической, химической и лесной отраслей. </w:t>
      </w:r>
      <w:r w:rsidRPr="00427BB8">
        <w:rPr>
          <w:rFonts w:ascii="Times New Roman" w:hAnsi="Times New Roman"/>
          <w:sz w:val="28"/>
          <w:szCs w:val="28"/>
        </w:rPr>
        <w:t>Особое место в Северо-Западном федеральном округе занимает эксклавная Калининградская область, структура экономики которой изменилась под влиянием режима особой экономической зоны.</w:t>
      </w:r>
    </w:p>
    <w:p w:rsidR="002A5C3D" w:rsidRDefault="002A5C3D" w:rsidP="00427BB8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27BB8" w:rsidRPr="002A5C3D" w:rsidRDefault="00427BB8" w:rsidP="00427BB8">
      <w:pPr>
        <w:rPr>
          <w:rFonts w:ascii="Times New Roman" w:hAnsi="Times New Roman"/>
          <w:color w:val="000000"/>
          <w:sz w:val="28"/>
          <w:szCs w:val="28"/>
          <w:lang w:val="ru-RU"/>
        </w:rPr>
      </w:pPr>
      <w:r w:rsidRPr="002A5C3D">
        <w:rPr>
          <w:rFonts w:ascii="Times New Roman" w:hAnsi="Times New Roman"/>
          <w:color w:val="000000"/>
          <w:sz w:val="28"/>
          <w:szCs w:val="28"/>
          <w:lang w:val="ru-RU"/>
        </w:rPr>
        <w:t>Однако реализация экономического потенциала Северо-Западного федерального округа сдерживается низким уровнем внутренней связности округа из-за слаборазвитой инфраструктуры и редкой сети городов, в особенности, в северной части округа.</w:t>
      </w:r>
    </w:p>
    <w:p w:rsidR="002A5C3D" w:rsidRDefault="002A5C3D" w:rsidP="00427BB8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27BB8" w:rsidRPr="002A5C3D" w:rsidRDefault="00427BB8" w:rsidP="00427BB8">
      <w:pPr>
        <w:rPr>
          <w:rFonts w:ascii="Times New Roman" w:hAnsi="Times New Roman"/>
          <w:color w:val="000000"/>
          <w:sz w:val="28"/>
          <w:szCs w:val="28"/>
          <w:lang w:val="ru-RU"/>
        </w:rPr>
      </w:pPr>
      <w:r w:rsidRPr="002A5C3D">
        <w:rPr>
          <w:rFonts w:ascii="Times New Roman" w:hAnsi="Times New Roman"/>
          <w:color w:val="000000"/>
          <w:sz w:val="28"/>
          <w:szCs w:val="28"/>
          <w:lang w:val="ru-RU"/>
        </w:rPr>
        <w:t xml:space="preserve">Стратегия развития округа основана на использовании накопленного инновационного потенциала Санкт-Петербургской агломерации, а также выгодного местоположения для транзита экспортной продукции и развития импортозамещающих отраслей экономики; в северной части округа - на освоении природных ресурсов на длительную перспективу с расширением транзитных функций и развитием городов-центров, связывающих слабоосвоенную территорию. </w:t>
      </w:r>
    </w:p>
    <w:p w:rsidR="002A5C3D" w:rsidRDefault="002A5C3D" w:rsidP="00427BB8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27BB8" w:rsidRPr="00427BB8" w:rsidRDefault="00427BB8" w:rsidP="00427BB8">
      <w:pPr>
        <w:rPr>
          <w:rFonts w:ascii="Times New Roman" w:hAnsi="Times New Roman"/>
          <w:color w:val="000000"/>
          <w:sz w:val="28"/>
          <w:szCs w:val="28"/>
        </w:rPr>
      </w:pPr>
      <w:r w:rsidRPr="002A5C3D">
        <w:rPr>
          <w:rFonts w:ascii="Times New Roman" w:hAnsi="Times New Roman"/>
          <w:color w:val="000000"/>
          <w:sz w:val="28"/>
          <w:szCs w:val="28"/>
          <w:lang w:val="ru-RU"/>
        </w:rPr>
        <w:t xml:space="preserve">Санкт-Петербург обладает потенциалом развития как центра инноваций, информационных технологий, научных разработок и прикладных исследований, высокотехнологичных производств; в нем усиливается концентрация финансовых, банковских и образовательных услуг. </w:t>
      </w:r>
      <w:r w:rsidRPr="00427BB8">
        <w:rPr>
          <w:rFonts w:ascii="Times New Roman" w:hAnsi="Times New Roman"/>
          <w:color w:val="000000"/>
          <w:sz w:val="28"/>
          <w:szCs w:val="28"/>
        </w:rPr>
        <w:t xml:space="preserve">В долгосрочной перспективе потенциал развития агломерации Санкт-Петербурга будет расширяться на всю территорию Ленинградской области, а также на Псковскую и Новгородскую области. </w:t>
      </w:r>
    </w:p>
    <w:p w:rsidR="002A5C3D" w:rsidRDefault="002A5C3D" w:rsidP="00427BB8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27BB8" w:rsidRPr="00427BB8" w:rsidRDefault="00427BB8" w:rsidP="00427BB8">
      <w:pPr>
        <w:rPr>
          <w:rFonts w:ascii="Times New Roman" w:hAnsi="Times New Roman"/>
          <w:color w:val="000000"/>
          <w:sz w:val="28"/>
          <w:szCs w:val="28"/>
        </w:rPr>
      </w:pPr>
      <w:r w:rsidRPr="002A5C3D">
        <w:rPr>
          <w:rFonts w:ascii="Times New Roman" w:hAnsi="Times New Roman"/>
          <w:color w:val="000000"/>
          <w:sz w:val="28"/>
          <w:szCs w:val="28"/>
          <w:lang w:val="ru-RU"/>
        </w:rPr>
        <w:t xml:space="preserve">Перспективы промышленного роста Северо-Западного федерального округа связаны, в основном, с развитием в системе Санкт-Петербургской агломерации высокотехнологичных импортозамещающих отраслей обрабатывающей промышленности - военно-промышленного комплекса, судостроения, автомобилестроения,  приборостроения и электротехники, а также химии, деревообработки, пищевой отрасли. </w:t>
      </w:r>
      <w:r w:rsidRPr="00427BB8">
        <w:rPr>
          <w:rFonts w:ascii="Times New Roman" w:hAnsi="Times New Roman"/>
          <w:color w:val="000000"/>
          <w:sz w:val="28"/>
          <w:szCs w:val="28"/>
        </w:rPr>
        <w:t xml:space="preserve">В среднесрочной перспективе производство автомобилей и автокомпонентов, биофармацевтика могут войти в число лидирующих отраслей при значительной модернизации с помощью иностранных инвестиций. Особую роль играет развитие судостроения, включая оборудование для добычи нефти и газа на шельфе, на базе военно-промышленного комплекса Архангельска и Северодвинска. </w:t>
      </w:r>
    </w:p>
    <w:p w:rsidR="002A5C3D" w:rsidRDefault="002A5C3D" w:rsidP="00427BB8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27BB8" w:rsidRPr="002A5C3D" w:rsidRDefault="00427BB8" w:rsidP="00427BB8">
      <w:pPr>
        <w:rPr>
          <w:rFonts w:ascii="Times New Roman" w:hAnsi="Times New Roman"/>
          <w:color w:val="000000"/>
          <w:sz w:val="28"/>
          <w:szCs w:val="28"/>
          <w:lang w:val="ru-RU"/>
        </w:rPr>
      </w:pPr>
      <w:r w:rsidRPr="002A5C3D">
        <w:rPr>
          <w:rFonts w:ascii="Times New Roman" w:hAnsi="Times New Roman"/>
          <w:color w:val="000000"/>
          <w:sz w:val="28"/>
          <w:szCs w:val="28"/>
          <w:lang w:val="ru-RU"/>
        </w:rPr>
        <w:t>В восточной части округа выделяется Вологодско-Череповецкая агломерация, развитие которой связано с металлургическим и химическим производством, машиностроением, пищевой, лесной и лесоперерабатывающей промышленностью.</w:t>
      </w:r>
    </w:p>
    <w:p w:rsidR="002A5C3D" w:rsidRDefault="002A5C3D" w:rsidP="00427BB8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27BB8" w:rsidRPr="002A5C3D" w:rsidRDefault="00427BB8" w:rsidP="00427BB8">
      <w:pPr>
        <w:rPr>
          <w:rFonts w:ascii="Times New Roman" w:hAnsi="Times New Roman"/>
          <w:color w:val="000000"/>
          <w:sz w:val="28"/>
          <w:szCs w:val="28"/>
          <w:lang w:val="ru-RU"/>
        </w:rPr>
      </w:pPr>
      <w:r w:rsidRPr="002A5C3D">
        <w:rPr>
          <w:rFonts w:ascii="Times New Roman" w:hAnsi="Times New Roman"/>
          <w:color w:val="000000"/>
          <w:sz w:val="28"/>
          <w:szCs w:val="28"/>
          <w:lang w:val="ru-RU"/>
        </w:rPr>
        <w:t>В Карелии в перспективе возможно формирование лесопромышленного кластера на базе существующих лесопромышленных комплексов и целлюлозо-бумажных производств в районах Петрозаводска, Сортавалы, Медвежьегорска, Костомукши.</w:t>
      </w:r>
    </w:p>
    <w:p w:rsidR="002A5C3D" w:rsidRDefault="002A5C3D" w:rsidP="00427BB8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27BB8" w:rsidRPr="00427BB8" w:rsidRDefault="00427BB8" w:rsidP="00427BB8">
      <w:pPr>
        <w:rPr>
          <w:rFonts w:ascii="Times New Roman" w:hAnsi="Times New Roman"/>
          <w:color w:val="000000"/>
          <w:sz w:val="28"/>
          <w:szCs w:val="28"/>
        </w:rPr>
      </w:pPr>
      <w:r w:rsidRPr="002A5C3D">
        <w:rPr>
          <w:rFonts w:ascii="Times New Roman" w:hAnsi="Times New Roman"/>
          <w:color w:val="000000"/>
          <w:sz w:val="28"/>
          <w:szCs w:val="28"/>
          <w:lang w:val="ru-RU"/>
        </w:rPr>
        <w:t xml:space="preserve">Туристско-рекреационный потенциал Северо-Западного федерального округа значителен и разнообразен; эта специализация окажет заметное влияние на развитие территорий: Санкт-Петербург, Новгородская и Псковская области и Карелия образуют историко-культурный кластер, природные ландшафты Карелии и Валдая могут служить основой для развития экологического туризма, зона Финского залива и Калининградская область имеют потенциал для развития приморской рекреации. </w:t>
      </w:r>
      <w:r w:rsidRPr="00427BB8">
        <w:rPr>
          <w:rFonts w:ascii="Times New Roman" w:hAnsi="Times New Roman"/>
          <w:color w:val="000000"/>
          <w:sz w:val="28"/>
          <w:szCs w:val="28"/>
        </w:rPr>
        <w:t>Сравнительная близость к основным российским и европейским туристическим рынкам создают условия для развития туристических маршрутов по известным историко-культурным объектам Севера (Соловецкие острова, исторические городов Русского Севера - Каргополь и иные). Для стимулирования развития рекреационных услуг необходимо развитие сети автомобильных дорог, морских и озерных причалов. В перспективе возможно более активное туристическое освоение территорий Крайнего Севера (Северный полюс, Земля Франца-Иосифа, архипелаг Шпицберген).</w:t>
      </w:r>
    </w:p>
    <w:p w:rsidR="002A5C3D" w:rsidRDefault="002A5C3D" w:rsidP="00427BB8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27BB8" w:rsidRPr="00427BB8" w:rsidRDefault="00427BB8" w:rsidP="00427BB8">
      <w:pPr>
        <w:rPr>
          <w:rFonts w:ascii="Times New Roman" w:hAnsi="Times New Roman"/>
          <w:color w:val="000000"/>
          <w:sz w:val="28"/>
          <w:szCs w:val="28"/>
        </w:rPr>
      </w:pPr>
      <w:r w:rsidRPr="002A5C3D">
        <w:rPr>
          <w:rFonts w:ascii="Times New Roman" w:hAnsi="Times New Roman"/>
          <w:color w:val="000000"/>
          <w:sz w:val="28"/>
          <w:szCs w:val="28"/>
          <w:lang w:val="ru-RU"/>
        </w:rPr>
        <w:t xml:space="preserve">Определяющими специализациями северных регионов округа являются добыча и транспортировка природных ресурсов. </w:t>
      </w:r>
      <w:r w:rsidRPr="00427BB8">
        <w:rPr>
          <w:rFonts w:ascii="Times New Roman" w:hAnsi="Times New Roman"/>
          <w:color w:val="000000"/>
          <w:sz w:val="28"/>
          <w:szCs w:val="28"/>
        </w:rPr>
        <w:t>На территории Мурманской области будет развиваться горно-добывающая (на базе апатитов, нефелинов, руд черных и цветных металлов), металлургическая и газоперерабатывающая промышленность (на базе сырья газоносных шельфовых месторождений Баренцева моря и в перспективе – всей западной части Арктики) с транспортировкой продукции с высокой добавленной стоимости, а также сырья через мурманский порт на мировые рынки.</w:t>
      </w:r>
    </w:p>
    <w:p w:rsidR="002A5C3D" w:rsidRDefault="002A5C3D" w:rsidP="00427BB8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27BB8" w:rsidRPr="00427BB8" w:rsidRDefault="00427BB8" w:rsidP="00427BB8">
      <w:pPr>
        <w:rPr>
          <w:rFonts w:ascii="Times New Roman" w:hAnsi="Times New Roman"/>
          <w:color w:val="000000"/>
          <w:sz w:val="28"/>
          <w:szCs w:val="28"/>
        </w:rPr>
      </w:pPr>
      <w:r w:rsidRPr="002A5C3D">
        <w:rPr>
          <w:rFonts w:ascii="Times New Roman" w:hAnsi="Times New Roman"/>
          <w:color w:val="000000"/>
          <w:sz w:val="28"/>
          <w:szCs w:val="28"/>
          <w:lang w:val="ru-RU"/>
        </w:rPr>
        <w:t xml:space="preserve">Архангельская область, Республика Коми, Ненецкий автономный округ образуют ведущую ресурсную зону всей европейской части России. </w:t>
      </w:r>
      <w:r w:rsidRPr="00427BB8">
        <w:rPr>
          <w:rFonts w:ascii="Times New Roman" w:hAnsi="Times New Roman"/>
          <w:color w:val="000000"/>
          <w:sz w:val="28"/>
          <w:szCs w:val="28"/>
        </w:rPr>
        <w:t xml:space="preserve">Ее развитие связано с добычей и транспортировкой углеводородов, угля, рудного сырья Тимано-Печорской провинции и нерудного сырья месторождения им. М.В.Ломоносова, продукции лесопромышленного комплекса, который формирует перспективный территориально-производственный кластер, включающий лесозаготовку, деревообработку, целлюлозо-бумажное и лесохимическое производство). </w:t>
      </w:r>
    </w:p>
    <w:p w:rsidR="002A5C3D" w:rsidRDefault="002A5C3D" w:rsidP="00427BB8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27BB8" w:rsidRPr="00427BB8" w:rsidRDefault="00427BB8" w:rsidP="00427BB8">
      <w:pPr>
        <w:rPr>
          <w:rFonts w:ascii="Times New Roman" w:hAnsi="Times New Roman"/>
          <w:color w:val="000000"/>
          <w:sz w:val="28"/>
          <w:szCs w:val="28"/>
        </w:rPr>
      </w:pPr>
      <w:r w:rsidRPr="002A5C3D">
        <w:rPr>
          <w:rFonts w:ascii="Times New Roman" w:hAnsi="Times New Roman"/>
          <w:color w:val="000000"/>
          <w:sz w:val="28"/>
          <w:szCs w:val="28"/>
          <w:lang w:val="ru-RU"/>
        </w:rPr>
        <w:t xml:space="preserve">Преимущества приграничного положения и выхода на страны Европейского Союза должны усиливаться развитием международных транспортных коридоров. </w:t>
      </w:r>
      <w:r w:rsidRPr="00427BB8">
        <w:rPr>
          <w:rFonts w:ascii="Times New Roman" w:hAnsi="Times New Roman"/>
          <w:color w:val="000000"/>
          <w:sz w:val="28"/>
          <w:szCs w:val="28"/>
        </w:rPr>
        <w:t xml:space="preserve">Необходимо комплексное развитие транспортной системы Санкт-Петербургской агломерации - формирование транспортно-логистических узлов (авиахаба на базе аэропорта Пулково в Санкт-Петербурге, портов в Финском заливе с соответствующими специализациями и инфраструктурой, обустройство пунктов пропуска через государственную границу), строительство Западного скоростного диаметра в Санкт-Петербурге, соединяющего Большой морской порт Санкт-Петербурга с Кольцевой автомобильной дорогой и сетью автомобильных дорог в Российской Федерации, завершение строительства скоростной автомагистрали и развитие скоростного железнодорожного сообщения Москва-Санкт-Петербург-Хельсинки для интеграции зон экономического роста крупнейших агломераций друг с другом и европейскими странами, а также обеспечение этих зон роста дополнительными энергоресурсами. </w:t>
      </w:r>
    </w:p>
    <w:p w:rsidR="002A5C3D" w:rsidRDefault="002A5C3D" w:rsidP="00427BB8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27BB8" w:rsidRPr="00427BB8" w:rsidRDefault="00427BB8" w:rsidP="00427BB8">
      <w:pPr>
        <w:rPr>
          <w:rFonts w:ascii="Times New Roman" w:hAnsi="Times New Roman"/>
          <w:color w:val="000000"/>
          <w:sz w:val="28"/>
          <w:szCs w:val="28"/>
        </w:rPr>
      </w:pPr>
      <w:r w:rsidRPr="002A5C3D">
        <w:rPr>
          <w:rFonts w:ascii="Times New Roman" w:hAnsi="Times New Roman"/>
          <w:color w:val="000000"/>
          <w:sz w:val="28"/>
          <w:szCs w:val="28"/>
          <w:lang w:val="ru-RU"/>
        </w:rPr>
        <w:t xml:space="preserve">Важное значение имеет строительство и реконструкция автодорожных подходов к морским и речным портам, аэропортам, крупным транспортным узлам, направленные на расширение возможности увеличения пропускной способности действующих морских портов на территории Северо-Западного федерального круга, расположенных в зоне плотной застройки городов и не имеющих территориальных ресурсов для дальнейшего развития (в том числе морские порты Санкт-Петербурга, Мурманска, Архангельска). </w:t>
      </w:r>
      <w:r w:rsidRPr="00427BB8">
        <w:rPr>
          <w:rFonts w:ascii="Times New Roman" w:hAnsi="Times New Roman"/>
          <w:color w:val="000000"/>
          <w:sz w:val="28"/>
          <w:szCs w:val="28"/>
        </w:rPr>
        <w:t xml:space="preserve">На Севере важное значение имеет строительство участка железной дороги, которая свяжет Пермь и Архангельск. </w:t>
      </w:r>
    </w:p>
    <w:p w:rsidR="002A5C3D" w:rsidRDefault="002A5C3D" w:rsidP="00427BB8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27BB8" w:rsidRPr="002A5C3D" w:rsidRDefault="00427BB8" w:rsidP="00427BB8">
      <w:pPr>
        <w:rPr>
          <w:rFonts w:ascii="Times New Roman" w:hAnsi="Times New Roman"/>
          <w:color w:val="000000"/>
          <w:sz w:val="28"/>
          <w:szCs w:val="28"/>
          <w:lang w:val="ru-RU"/>
        </w:rPr>
      </w:pPr>
      <w:r w:rsidRPr="002A5C3D">
        <w:rPr>
          <w:rFonts w:ascii="Times New Roman" w:hAnsi="Times New Roman"/>
          <w:color w:val="000000"/>
          <w:sz w:val="28"/>
          <w:szCs w:val="28"/>
          <w:lang w:val="ru-RU"/>
        </w:rPr>
        <w:t>Важное значение для развития Северного экономического региона имеет создание государством условий для направления частных инвестиций в техническую и технологическую реновацию базовых отраслей: морской добычи нефтегазовых ресурсов, целлюлозно-бумажной отрасли, лесозаготовки и лесопереработки, прежде всего в Архангельской области и Республике Коми (с восстановлением сырьевой базы лесозаготовок в районах с более развитой транспортной инфраструктурой), рыбной отрасли (с обеспечением прозрачности процессов добычи, переработки и реализации водных биоресурсов, обновлением технического ресурса рыболовецкого и транспортного морского флота, основных фондов и технологий в области переработки рыбной продукции).</w:t>
      </w:r>
    </w:p>
    <w:p w:rsidR="002A5C3D" w:rsidRDefault="002A5C3D" w:rsidP="00427BB8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27BB8" w:rsidRPr="00427BB8" w:rsidRDefault="00427BB8" w:rsidP="00427BB8">
      <w:pPr>
        <w:rPr>
          <w:rFonts w:ascii="Times New Roman" w:hAnsi="Times New Roman"/>
          <w:color w:val="000000"/>
          <w:sz w:val="28"/>
          <w:szCs w:val="28"/>
        </w:rPr>
      </w:pPr>
      <w:r w:rsidRPr="002A5C3D">
        <w:rPr>
          <w:rFonts w:ascii="Times New Roman" w:hAnsi="Times New Roman"/>
          <w:color w:val="000000"/>
          <w:sz w:val="28"/>
          <w:szCs w:val="28"/>
          <w:lang w:val="ru-RU"/>
        </w:rPr>
        <w:t xml:space="preserve">Большинство городских поселений Европейского Севера России монофункциональны, их развитие зависит от конъюнктуры мировых цен на минеральные и лесные ресурсы и применения государством мер поддержки развития сервисных и инфраструктурных отраслей при одновременном стимулировании миграций избыточного населения из монопрофильных городских поселений с целью снижения рисков безработицы при ухудшении конъюнктуры цен на сырье. </w:t>
      </w:r>
      <w:r w:rsidRPr="00427BB8">
        <w:rPr>
          <w:rFonts w:ascii="Times New Roman" w:hAnsi="Times New Roman"/>
          <w:color w:val="000000"/>
          <w:sz w:val="28"/>
          <w:szCs w:val="28"/>
        </w:rPr>
        <w:t>Исключением является центр атомного судостроения в Архангельской области, имеющий стратегическое значение для обеспечения национальной безопасности страны.</w:t>
      </w:r>
    </w:p>
    <w:p w:rsidR="002A5C3D" w:rsidRDefault="002A5C3D" w:rsidP="00427BB8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427BB8" w:rsidRPr="002A5C3D" w:rsidRDefault="00427BB8" w:rsidP="00427BB8">
      <w:pPr>
        <w:rPr>
          <w:rFonts w:ascii="Times New Roman" w:hAnsi="Times New Roman"/>
          <w:color w:val="000000"/>
          <w:sz w:val="28"/>
          <w:szCs w:val="28"/>
          <w:lang w:val="ru-RU"/>
        </w:rPr>
      </w:pPr>
      <w:r w:rsidRPr="002A5C3D">
        <w:rPr>
          <w:rFonts w:ascii="Times New Roman" w:hAnsi="Times New Roman"/>
          <w:color w:val="000000"/>
          <w:sz w:val="28"/>
          <w:szCs w:val="28"/>
          <w:lang w:val="ru-RU"/>
        </w:rPr>
        <w:t>В отношении эксклавной Калининградской области необходимы специальные меры поддержки развития и интеграции в экономику Европы и России путем развития импортозамещающих отраслей, улучшения институциональных условий для экспорта собственной продукции, упрощения и удешевления транзита через территорию сопредельных государств.</w:t>
      </w:r>
      <w:bookmarkEnd w:id="0"/>
    </w:p>
    <w:p w:rsidR="00427BB8" w:rsidRPr="00427BB8" w:rsidRDefault="00427BB8" w:rsidP="00427BB8">
      <w:pPr>
        <w:rPr>
          <w:rFonts w:ascii="Times New Roman" w:hAnsi="Times New Roman"/>
          <w:sz w:val="28"/>
          <w:szCs w:val="28"/>
          <w:lang w:val="ru-RU"/>
        </w:rPr>
      </w:pPr>
      <w:bookmarkStart w:id="1" w:name="_GoBack"/>
      <w:bookmarkEnd w:id="1"/>
    </w:p>
    <w:sectPr w:rsidR="00427BB8" w:rsidRPr="00427BB8" w:rsidSect="00EC0FB4">
      <w:footerReference w:type="default" r:id="rId7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45A" w:rsidRDefault="006A045A" w:rsidP="00EC0FB4">
      <w:r>
        <w:separator/>
      </w:r>
    </w:p>
  </w:endnote>
  <w:endnote w:type="continuationSeparator" w:id="0">
    <w:p w:rsidR="006A045A" w:rsidRDefault="006A045A" w:rsidP="00EC0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FB4" w:rsidRDefault="00EC0FB4">
    <w:pPr>
      <w:pStyle w:val="af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33645">
      <w:rPr>
        <w:noProof/>
      </w:rPr>
      <w:t>3</w:t>
    </w:r>
    <w:r>
      <w:fldChar w:fldCharType="end"/>
    </w:r>
  </w:p>
  <w:p w:rsidR="00EC0FB4" w:rsidRDefault="00EC0FB4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45A" w:rsidRDefault="006A045A" w:rsidP="00EC0FB4">
      <w:r>
        <w:separator/>
      </w:r>
    </w:p>
  </w:footnote>
  <w:footnote w:type="continuationSeparator" w:id="0">
    <w:p w:rsidR="006A045A" w:rsidRDefault="006A045A" w:rsidP="00EC0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C52051"/>
    <w:multiLevelType w:val="hybridMultilevel"/>
    <w:tmpl w:val="5D12F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2158"/>
    <w:rsid w:val="00044536"/>
    <w:rsid w:val="000A66A4"/>
    <w:rsid w:val="00117CA6"/>
    <w:rsid w:val="00126D5E"/>
    <w:rsid w:val="00232158"/>
    <w:rsid w:val="002A5C3D"/>
    <w:rsid w:val="00376BCF"/>
    <w:rsid w:val="00427BB8"/>
    <w:rsid w:val="004D0ED2"/>
    <w:rsid w:val="004E7531"/>
    <w:rsid w:val="00530260"/>
    <w:rsid w:val="00593F46"/>
    <w:rsid w:val="006A045A"/>
    <w:rsid w:val="00733645"/>
    <w:rsid w:val="007C0AEF"/>
    <w:rsid w:val="0084421D"/>
    <w:rsid w:val="0085178F"/>
    <w:rsid w:val="0085224A"/>
    <w:rsid w:val="00A40119"/>
    <w:rsid w:val="00AD7DEC"/>
    <w:rsid w:val="00B90A61"/>
    <w:rsid w:val="00C017C7"/>
    <w:rsid w:val="00DB5E00"/>
    <w:rsid w:val="00EC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7D040C-19CD-4B3C-8E3C-F3B8E6CBE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536"/>
    <w:pPr>
      <w:ind w:firstLine="360"/>
    </w:pPr>
    <w:rPr>
      <w:sz w:val="22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044536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044536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044536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044536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044536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044536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uiPriority w:val="9"/>
    <w:qFormat/>
    <w:rsid w:val="00044536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044536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44536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044536"/>
    <w:rPr>
      <w:rFonts w:ascii="Cambria" w:eastAsia="Times New Roman" w:hAnsi="Cambria" w:cs="Times New Roman"/>
      <w:color w:val="4F81BD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32158"/>
    <w:rPr>
      <w:rFonts w:cs="Times New Roman"/>
      <w:color w:val="04469A"/>
      <w:sz w:val="22"/>
      <w:szCs w:val="22"/>
      <w:u w:val="single"/>
    </w:rPr>
  </w:style>
  <w:style w:type="character" w:styleId="a4">
    <w:name w:val="Emphasis"/>
    <w:uiPriority w:val="20"/>
    <w:qFormat/>
    <w:rsid w:val="00044536"/>
    <w:rPr>
      <w:b/>
      <w:bCs/>
      <w:i/>
      <w:iCs/>
      <w:color w:val="5A5A5A"/>
    </w:rPr>
  </w:style>
  <w:style w:type="paragraph" w:styleId="a5">
    <w:name w:val="Normal (Web)"/>
    <w:basedOn w:val="a"/>
    <w:uiPriority w:val="99"/>
    <w:unhideWhenUsed/>
    <w:rsid w:val="0023215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uiPriority w:val="22"/>
    <w:qFormat/>
    <w:rsid w:val="00044536"/>
    <w:rPr>
      <w:b/>
      <w:bCs/>
      <w:spacing w:val="0"/>
    </w:rPr>
  </w:style>
  <w:style w:type="character" w:customStyle="1" w:styleId="10">
    <w:name w:val="Заголовок 1 Знак"/>
    <w:basedOn w:val="a0"/>
    <w:link w:val="1"/>
    <w:uiPriority w:val="9"/>
    <w:rsid w:val="00044536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44536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44536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44536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044536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044536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044536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44536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7">
    <w:name w:val="caption"/>
    <w:basedOn w:val="a"/>
    <w:next w:val="a"/>
    <w:uiPriority w:val="35"/>
    <w:qFormat/>
    <w:rsid w:val="00044536"/>
    <w:rPr>
      <w:b/>
      <w:bCs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rsid w:val="00044536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9">
    <w:name w:val="Назва Знак"/>
    <w:basedOn w:val="a0"/>
    <w:link w:val="a8"/>
    <w:uiPriority w:val="10"/>
    <w:rsid w:val="00044536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a">
    <w:name w:val="Subtitle"/>
    <w:basedOn w:val="a"/>
    <w:next w:val="a"/>
    <w:link w:val="ab"/>
    <w:uiPriority w:val="11"/>
    <w:qFormat/>
    <w:rsid w:val="00044536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b">
    <w:name w:val="Підзаголовок Знак"/>
    <w:basedOn w:val="a0"/>
    <w:link w:val="aa"/>
    <w:uiPriority w:val="11"/>
    <w:rsid w:val="00044536"/>
    <w:rPr>
      <w:rFonts w:ascii="Calibri"/>
      <w:i/>
      <w:iCs/>
      <w:sz w:val="24"/>
      <w:szCs w:val="24"/>
    </w:rPr>
  </w:style>
  <w:style w:type="paragraph" w:customStyle="1" w:styleId="ac">
    <w:name w:val="Без интервала"/>
    <w:basedOn w:val="a"/>
    <w:link w:val="ad"/>
    <w:uiPriority w:val="1"/>
    <w:qFormat/>
    <w:rsid w:val="00044536"/>
    <w:pPr>
      <w:ind w:firstLine="0"/>
    </w:pPr>
  </w:style>
  <w:style w:type="character" w:customStyle="1" w:styleId="ad">
    <w:name w:val="Без интервала Знак"/>
    <w:basedOn w:val="a0"/>
    <w:link w:val="ac"/>
    <w:uiPriority w:val="1"/>
    <w:rsid w:val="00044536"/>
  </w:style>
  <w:style w:type="paragraph" w:customStyle="1" w:styleId="ae">
    <w:name w:val="Абзац списка"/>
    <w:basedOn w:val="a"/>
    <w:uiPriority w:val="34"/>
    <w:qFormat/>
    <w:rsid w:val="00044536"/>
    <w:pPr>
      <w:ind w:left="720"/>
      <w:contextualSpacing/>
    </w:pPr>
  </w:style>
  <w:style w:type="paragraph" w:customStyle="1" w:styleId="21">
    <w:name w:val="Цитата 2"/>
    <w:basedOn w:val="a"/>
    <w:next w:val="a"/>
    <w:link w:val="22"/>
    <w:uiPriority w:val="29"/>
    <w:qFormat/>
    <w:rsid w:val="00044536"/>
    <w:rPr>
      <w:rFonts w:ascii="Cambria" w:hAnsi="Cambria"/>
      <w:i/>
      <w:iCs/>
      <w:color w:val="5A5A5A"/>
    </w:rPr>
  </w:style>
  <w:style w:type="character" w:customStyle="1" w:styleId="22">
    <w:name w:val="Цитата 2 Знак"/>
    <w:basedOn w:val="a0"/>
    <w:link w:val="21"/>
    <w:uiPriority w:val="29"/>
    <w:rsid w:val="00044536"/>
    <w:rPr>
      <w:rFonts w:ascii="Cambria" w:eastAsia="Times New Roman" w:hAnsi="Cambria" w:cs="Times New Roman"/>
      <w:i/>
      <w:iCs/>
      <w:color w:val="5A5A5A"/>
    </w:rPr>
  </w:style>
  <w:style w:type="paragraph" w:customStyle="1" w:styleId="af">
    <w:name w:val="Выделенная цитата"/>
    <w:basedOn w:val="a"/>
    <w:next w:val="a"/>
    <w:link w:val="af0"/>
    <w:uiPriority w:val="30"/>
    <w:qFormat/>
    <w:rsid w:val="00044536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f0">
    <w:name w:val="Выделенная цитата Знак"/>
    <w:basedOn w:val="a0"/>
    <w:link w:val="af"/>
    <w:uiPriority w:val="30"/>
    <w:rsid w:val="00044536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af1">
    <w:name w:val="Слабое выделение"/>
    <w:uiPriority w:val="19"/>
    <w:qFormat/>
    <w:rsid w:val="00044536"/>
    <w:rPr>
      <w:i/>
      <w:iCs/>
      <w:color w:val="5A5A5A"/>
    </w:rPr>
  </w:style>
  <w:style w:type="character" w:customStyle="1" w:styleId="af2">
    <w:name w:val="Сильное выделение"/>
    <w:uiPriority w:val="21"/>
    <w:qFormat/>
    <w:rsid w:val="00044536"/>
    <w:rPr>
      <w:b/>
      <w:bCs/>
      <w:i/>
      <w:iCs/>
      <w:color w:val="4F81BD"/>
      <w:sz w:val="22"/>
      <w:szCs w:val="22"/>
    </w:rPr>
  </w:style>
  <w:style w:type="character" w:customStyle="1" w:styleId="af3">
    <w:name w:val="Слабая ссылка"/>
    <w:uiPriority w:val="31"/>
    <w:qFormat/>
    <w:rsid w:val="00044536"/>
    <w:rPr>
      <w:color w:val="auto"/>
      <w:u w:val="single" w:color="9BBB59"/>
    </w:rPr>
  </w:style>
  <w:style w:type="character" w:customStyle="1" w:styleId="af4">
    <w:name w:val="Сильная ссылка"/>
    <w:basedOn w:val="a0"/>
    <w:uiPriority w:val="32"/>
    <w:qFormat/>
    <w:rsid w:val="00044536"/>
    <w:rPr>
      <w:b/>
      <w:bCs/>
      <w:color w:val="76923C"/>
      <w:u w:val="single" w:color="9BBB59"/>
    </w:rPr>
  </w:style>
  <w:style w:type="character" w:customStyle="1" w:styleId="af5">
    <w:name w:val="Название книги"/>
    <w:basedOn w:val="a0"/>
    <w:uiPriority w:val="33"/>
    <w:qFormat/>
    <w:rsid w:val="00044536"/>
    <w:rPr>
      <w:rFonts w:ascii="Cambria" w:eastAsia="Times New Roman" w:hAnsi="Cambria" w:cs="Times New Roman"/>
      <w:b/>
      <w:bCs/>
      <w:i/>
      <w:iCs/>
      <w:color w:val="auto"/>
    </w:rPr>
  </w:style>
  <w:style w:type="paragraph" w:customStyle="1" w:styleId="af6">
    <w:name w:val="Заголовок оглавления"/>
    <w:basedOn w:val="1"/>
    <w:next w:val="a"/>
    <w:uiPriority w:val="39"/>
    <w:semiHidden/>
    <w:unhideWhenUsed/>
    <w:qFormat/>
    <w:rsid w:val="00044536"/>
    <w:pPr>
      <w:outlineLvl w:val="9"/>
    </w:pPr>
  </w:style>
  <w:style w:type="paragraph" w:styleId="af7">
    <w:name w:val="Body Text"/>
    <w:basedOn w:val="a"/>
    <w:link w:val="af8"/>
    <w:uiPriority w:val="99"/>
    <w:semiHidden/>
    <w:unhideWhenUsed/>
    <w:rsid w:val="00427BB8"/>
    <w:pPr>
      <w:spacing w:after="120"/>
    </w:pPr>
  </w:style>
  <w:style w:type="character" w:customStyle="1" w:styleId="af8">
    <w:name w:val="Основний текст Знак"/>
    <w:basedOn w:val="a0"/>
    <w:link w:val="af7"/>
    <w:uiPriority w:val="99"/>
    <w:semiHidden/>
    <w:rsid w:val="00427BB8"/>
    <w:rPr>
      <w:sz w:val="22"/>
      <w:szCs w:val="22"/>
      <w:lang w:val="en-US" w:eastAsia="en-US" w:bidi="en-US"/>
    </w:rPr>
  </w:style>
  <w:style w:type="paragraph" w:styleId="af9">
    <w:name w:val="Body Text First Indent"/>
    <w:basedOn w:val="a"/>
    <w:link w:val="afa"/>
    <w:uiPriority w:val="99"/>
    <w:semiHidden/>
    <w:unhideWhenUsed/>
    <w:rsid w:val="00427BB8"/>
    <w:pPr>
      <w:spacing w:before="100" w:beforeAutospacing="1" w:after="100" w:afterAutospacing="1"/>
      <w:ind w:firstLine="0"/>
    </w:pPr>
    <w:rPr>
      <w:rFonts w:ascii="Tahoma" w:hAnsi="Tahoma" w:cs="Tahoma"/>
      <w:lang w:val="ru-RU" w:eastAsia="ru-RU" w:bidi="ar-SA"/>
    </w:rPr>
  </w:style>
  <w:style w:type="character" w:customStyle="1" w:styleId="afa">
    <w:name w:val="Червоний рядок Знак"/>
    <w:basedOn w:val="af8"/>
    <w:link w:val="af9"/>
    <w:uiPriority w:val="99"/>
    <w:semiHidden/>
    <w:rsid w:val="00427BB8"/>
    <w:rPr>
      <w:rFonts w:ascii="Tahoma" w:hAnsi="Tahoma" w:cs="Tahoma"/>
      <w:sz w:val="22"/>
      <w:szCs w:val="22"/>
      <w:lang w:val="en-US" w:eastAsia="en-US" w:bidi="en-US"/>
    </w:rPr>
  </w:style>
  <w:style w:type="paragraph" w:styleId="afb">
    <w:name w:val="header"/>
    <w:basedOn w:val="a"/>
    <w:link w:val="afc"/>
    <w:uiPriority w:val="99"/>
    <w:semiHidden/>
    <w:unhideWhenUsed/>
    <w:rsid w:val="00EC0FB4"/>
    <w:pPr>
      <w:tabs>
        <w:tab w:val="center" w:pos="4677"/>
        <w:tab w:val="right" w:pos="9355"/>
      </w:tabs>
    </w:pPr>
  </w:style>
  <w:style w:type="character" w:customStyle="1" w:styleId="afc">
    <w:name w:val="Верхній колонтитул Знак"/>
    <w:basedOn w:val="a0"/>
    <w:link w:val="afb"/>
    <w:uiPriority w:val="99"/>
    <w:semiHidden/>
    <w:rsid w:val="00EC0FB4"/>
    <w:rPr>
      <w:sz w:val="22"/>
      <w:szCs w:val="22"/>
      <w:lang w:val="en-US" w:eastAsia="en-US" w:bidi="en-US"/>
    </w:rPr>
  </w:style>
  <w:style w:type="paragraph" w:styleId="afd">
    <w:name w:val="footer"/>
    <w:basedOn w:val="a"/>
    <w:link w:val="afe"/>
    <w:uiPriority w:val="99"/>
    <w:unhideWhenUsed/>
    <w:rsid w:val="00EC0FB4"/>
    <w:pPr>
      <w:tabs>
        <w:tab w:val="center" w:pos="4677"/>
        <w:tab w:val="right" w:pos="9355"/>
      </w:tabs>
    </w:pPr>
  </w:style>
  <w:style w:type="character" w:customStyle="1" w:styleId="afe">
    <w:name w:val="Нижній колонтитул Знак"/>
    <w:basedOn w:val="a0"/>
    <w:link w:val="afd"/>
    <w:uiPriority w:val="99"/>
    <w:rsid w:val="00EC0FB4"/>
    <w:rPr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3295</Words>
  <Characters>18784</Characters>
  <Application>Microsoft Office Word</Application>
  <DocSecurity>0</DocSecurity>
  <Lines>156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1</Company>
  <LinksUpToDate>false</LinksUpToDate>
  <CharactersWithSpaces>22035</CharactersWithSpaces>
  <SharedDoc>false</SharedDoc>
  <HLinks>
    <vt:vector size="78" baseType="variant">
      <vt:variant>
        <vt:i4>6422576</vt:i4>
      </vt:variant>
      <vt:variant>
        <vt:i4>36</vt:i4>
      </vt:variant>
      <vt:variant>
        <vt:i4>0</vt:i4>
      </vt:variant>
      <vt:variant>
        <vt:i4>5</vt:i4>
      </vt:variant>
      <vt:variant>
        <vt:lpwstr>http://www.optifood.ru/</vt:lpwstr>
      </vt:variant>
      <vt:variant>
        <vt:lpwstr/>
      </vt:variant>
      <vt:variant>
        <vt:i4>8257596</vt:i4>
      </vt:variant>
      <vt:variant>
        <vt:i4>33</vt:i4>
      </vt:variant>
      <vt:variant>
        <vt:i4>0</vt:i4>
      </vt:variant>
      <vt:variant>
        <vt:i4>5</vt:i4>
      </vt:variant>
      <vt:variant>
        <vt:lpwstr>http://www.rusagrogroup.ru/</vt:lpwstr>
      </vt:variant>
      <vt:variant>
        <vt:lpwstr/>
      </vt:variant>
      <vt:variant>
        <vt:i4>8257638</vt:i4>
      </vt:variant>
      <vt:variant>
        <vt:i4>30</vt:i4>
      </vt:variant>
      <vt:variant>
        <vt:i4>0</vt:i4>
      </vt:variant>
      <vt:variant>
        <vt:i4>5</vt:i4>
      </vt:variant>
      <vt:variant>
        <vt:lpwstr>http://www.inteco-agro.com/</vt:lpwstr>
      </vt:variant>
      <vt:variant>
        <vt:lpwstr/>
      </vt:variant>
      <vt:variant>
        <vt:i4>2031641</vt:i4>
      </vt:variant>
      <vt:variant>
        <vt:i4>27</vt:i4>
      </vt:variant>
      <vt:variant>
        <vt:i4>0</vt:i4>
      </vt:variant>
      <vt:variant>
        <vt:i4>5</vt:i4>
      </vt:variant>
      <vt:variant>
        <vt:lpwstr>http://www.bunge.ru/</vt:lpwstr>
      </vt:variant>
      <vt:variant>
        <vt:lpwstr/>
      </vt:variant>
      <vt:variant>
        <vt:i4>7471222</vt:i4>
      </vt:variant>
      <vt:variant>
        <vt:i4>24</vt:i4>
      </vt:variant>
      <vt:variant>
        <vt:i4>0</vt:i4>
      </vt:variant>
      <vt:variant>
        <vt:i4>5</vt:i4>
      </vt:variant>
      <vt:variant>
        <vt:lpwstr>http://www.apkhleb.ru/</vt:lpwstr>
      </vt:variant>
      <vt:variant>
        <vt:lpwstr/>
      </vt:variant>
      <vt:variant>
        <vt:i4>1507410</vt:i4>
      </vt:variant>
      <vt:variant>
        <vt:i4>21</vt:i4>
      </vt:variant>
      <vt:variant>
        <vt:i4>0</vt:i4>
      </vt:variant>
      <vt:variant>
        <vt:i4>5</vt:i4>
      </vt:variant>
      <vt:variant>
        <vt:lpwstr>http://www.agrosgroup.ru/</vt:lpwstr>
      </vt:variant>
      <vt:variant>
        <vt:lpwstr/>
      </vt:variant>
      <vt:variant>
        <vt:i4>6488097</vt:i4>
      </vt:variant>
      <vt:variant>
        <vt:i4>18</vt:i4>
      </vt:variant>
      <vt:variant>
        <vt:i4>0</vt:i4>
      </vt:variant>
      <vt:variant>
        <vt:i4>5</vt:i4>
      </vt:variant>
      <vt:variant>
        <vt:lpwstr>http://www.prodimex.ru/</vt:lpwstr>
      </vt:variant>
      <vt:variant>
        <vt:lpwstr/>
      </vt:variant>
      <vt:variant>
        <vt:i4>4391002</vt:i4>
      </vt:variant>
      <vt:variant>
        <vt:i4>15</vt:i4>
      </vt:variant>
      <vt:variant>
        <vt:i4>0</vt:i4>
      </vt:variant>
      <vt:variant>
        <vt:i4>5</vt:i4>
      </vt:variant>
      <vt:variant>
        <vt:lpwstr>http://www.arkada-apk.ru/</vt:lpwstr>
      </vt:variant>
      <vt:variant>
        <vt:lpwstr/>
      </vt:variant>
      <vt:variant>
        <vt:i4>8257642</vt:i4>
      </vt:variant>
      <vt:variant>
        <vt:i4>12</vt:i4>
      </vt:variant>
      <vt:variant>
        <vt:i4>0</vt:i4>
      </vt:variant>
      <vt:variant>
        <vt:i4>5</vt:i4>
      </vt:variant>
      <vt:variant>
        <vt:lpwstr>http://www.raz.ru/</vt:lpwstr>
      </vt:variant>
      <vt:variant>
        <vt:lpwstr/>
      </vt:variant>
      <vt:variant>
        <vt:i4>3866665</vt:i4>
      </vt:variant>
      <vt:variant>
        <vt:i4>9</vt:i4>
      </vt:variant>
      <vt:variant>
        <vt:i4>0</vt:i4>
      </vt:variant>
      <vt:variant>
        <vt:i4>5</vt:i4>
      </vt:variant>
      <vt:variant>
        <vt:lpwstr>http://www.cherkizovo-group.ru/</vt:lpwstr>
      </vt:variant>
      <vt:variant>
        <vt:lpwstr/>
      </vt:variant>
      <vt:variant>
        <vt:i4>7733356</vt:i4>
      </vt:variant>
      <vt:variant>
        <vt:i4>6</vt:i4>
      </vt:variant>
      <vt:variant>
        <vt:i4>0</vt:i4>
      </vt:variant>
      <vt:variant>
        <vt:i4>5</vt:i4>
      </vt:variant>
      <vt:variant>
        <vt:lpwstr>http://www.ogo.ru/</vt:lpwstr>
      </vt:variant>
      <vt:variant>
        <vt:lpwstr/>
      </vt:variant>
      <vt:variant>
        <vt:i4>1769566</vt:i4>
      </vt:variant>
      <vt:variant>
        <vt:i4>3</vt:i4>
      </vt:variant>
      <vt:variant>
        <vt:i4>0</vt:i4>
      </vt:variant>
      <vt:variant>
        <vt:i4>5</vt:i4>
      </vt:variant>
      <vt:variant>
        <vt:lpwstr>http://www.stniva.ru/</vt:lpwstr>
      </vt:variant>
      <vt:variant>
        <vt:lpwstr/>
      </vt:variant>
      <vt:variant>
        <vt:i4>1310797</vt:i4>
      </vt:variant>
      <vt:variant>
        <vt:i4>0</vt:i4>
      </vt:variant>
      <vt:variant>
        <vt:i4>0</vt:i4>
      </vt:variant>
      <vt:variant>
        <vt:i4>5</vt:i4>
      </vt:variant>
      <vt:variant>
        <vt:lpwstr>http://www.mosselprom.ru/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Irina</cp:lastModifiedBy>
  <cp:revision>2</cp:revision>
  <dcterms:created xsi:type="dcterms:W3CDTF">2014-11-13T08:03:00Z</dcterms:created>
  <dcterms:modified xsi:type="dcterms:W3CDTF">2014-11-13T08:03:00Z</dcterms:modified>
</cp:coreProperties>
</file>