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B74F18" w:rsidRDefault="00B74F18" w:rsidP="005027C1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caps/>
          <w:sz w:val="28"/>
          <w:szCs w:val="28"/>
        </w:rPr>
      </w:pPr>
    </w:p>
    <w:p w:rsidR="00B74F18" w:rsidRPr="005027C1" w:rsidRDefault="005027C1" w:rsidP="005027C1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caps/>
          <w:sz w:val="28"/>
          <w:szCs w:val="28"/>
          <w:lang w:val="ru-RU"/>
        </w:rPr>
      </w:pPr>
      <w:r>
        <w:rPr>
          <w:rFonts w:ascii="Times New Roman" w:hAnsi="Times New Roman"/>
          <w:caps/>
          <w:sz w:val="28"/>
          <w:szCs w:val="28"/>
          <w:lang w:val="ru-RU"/>
        </w:rPr>
        <w:t>Тема</w:t>
      </w:r>
    </w:p>
    <w:p w:rsidR="00B74F18" w:rsidRDefault="00B74F18" w:rsidP="005027C1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caps/>
          <w:sz w:val="28"/>
          <w:szCs w:val="28"/>
        </w:rPr>
      </w:pPr>
    </w:p>
    <w:p w:rsidR="00013420" w:rsidRPr="00B74F18" w:rsidRDefault="00013420" w:rsidP="005027C1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caps/>
          <w:sz w:val="28"/>
          <w:szCs w:val="28"/>
          <w:lang w:val="ru-RU"/>
        </w:rPr>
      </w:pPr>
      <w:r w:rsidRPr="00B74F18">
        <w:rPr>
          <w:rFonts w:ascii="Times New Roman" w:hAnsi="Times New Roman"/>
          <w:caps/>
          <w:sz w:val="28"/>
          <w:szCs w:val="28"/>
          <w:lang w:val="ru-RU"/>
        </w:rPr>
        <w:t>Размещение ветряных и водяных мельниц</w:t>
      </w:r>
      <w:r w:rsidR="00B74F18">
        <w:rPr>
          <w:rFonts w:ascii="Times New Roman" w:hAnsi="Times New Roman"/>
          <w:caps/>
          <w:sz w:val="28"/>
          <w:szCs w:val="28"/>
        </w:rPr>
        <w:t xml:space="preserve"> </w:t>
      </w:r>
      <w:r w:rsidRPr="00B74F18">
        <w:rPr>
          <w:rFonts w:ascii="Times New Roman" w:hAnsi="Times New Roman"/>
          <w:caps/>
          <w:sz w:val="28"/>
          <w:szCs w:val="28"/>
          <w:lang w:val="ru-RU"/>
        </w:rPr>
        <w:t>Рязанской губернии (</w:t>
      </w:r>
      <w:r w:rsidRPr="00B74F18">
        <w:rPr>
          <w:rFonts w:ascii="Times New Roman" w:hAnsi="Times New Roman"/>
          <w:caps/>
          <w:sz w:val="28"/>
          <w:szCs w:val="28"/>
        </w:rPr>
        <w:t>XIX</w:t>
      </w:r>
      <w:r w:rsidRPr="00B74F18">
        <w:rPr>
          <w:rFonts w:ascii="Times New Roman" w:hAnsi="Times New Roman"/>
          <w:caps/>
          <w:sz w:val="28"/>
          <w:szCs w:val="28"/>
          <w:lang w:val="ru-RU"/>
        </w:rPr>
        <w:t xml:space="preserve"> – первая половина </w:t>
      </w:r>
      <w:r w:rsidRPr="00B74F18">
        <w:rPr>
          <w:rFonts w:ascii="Times New Roman" w:hAnsi="Times New Roman"/>
          <w:caps/>
          <w:sz w:val="28"/>
          <w:szCs w:val="28"/>
        </w:rPr>
        <w:t>XX</w:t>
      </w:r>
      <w:r w:rsidRPr="00B74F18">
        <w:rPr>
          <w:rFonts w:ascii="Times New Roman" w:hAnsi="Times New Roman"/>
          <w:caps/>
          <w:sz w:val="28"/>
          <w:szCs w:val="28"/>
          <w:lang w:val="ru-RU"/>
        </w:rPr>
        <w:t xml:space="preserve"> вв.)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027C1" w:rsidRDefault="005027C1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Ретроспективное исследование ориентировано на выявление территориальной организации возобновляемой энергетики в Рязанской (губернии) области. Основные акцен</w:t>
      </w:r>
      <w:r w:rsidR="00B74F18">
        <w:rPr>
          <w:rFonts w:ascii="Times New Roman" w:hAnsi="Times New Roman"/>
          <w:sz w:val="28"/>
          <w:szCs w:val="28"/>
          <w:lang w:val="ru-RU"/>
        </w:rPr>
        <w:t>ты определены в сфере социально</w:t>
      </w:r>
      <w:r w:rsidR="00B74F18">
        <w:rPr>
          <w:rFonts w:ascii="Times New Roman" w:hAnsi="Times New Roman"/>
          <w:sz w:val="28"/>
          <w:szCs w:val="28"/>
        </w:rPr>
        <w:t xml:space="preserve"> 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экономических факторов, предопределивших количественные и качественные изменения потенциала гидравлических и ветряных мельниц и «территориальные сдвиги» в их размещении. В работе учтены видоизменения региона в ходе административных реформ в </w:t>
      </w:r>
      <w:r w:rsidRPr="00B74F18">
        <w:rPr>
          <w:rFonts w:ascii="Times New Roman" w:hAnsi="Times New Roman"/>
          <w:sz w:val="28"/>
          <w:szCs w:val="28"/>
        </w:rPr>
        <w:t>XX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веке (рис. 1).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Анализ рисунка свидетельствует, что трансформация границ имеет важные географические следствия. Ранее Рязанская губерния имела большую протяженность с севера на юг, чем с запада на восток, что обеспечивало большее разнообразие природных условий и способствовало ярко выраженной дифференциации территории на земледельческий юг (Степная сторона), зону смешанного хозяйства в центральной части (Рязанская сторона) и промышленно развитый север (Мещерская сторона). При этом губернский город Рязань наиболее соответствовал требованию его (оптимума) центрального положения по отношению к губернии в целом.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 целом, в результате административных реформ регион несколько «сместился» к востоку и одновременно «ужался» к условному центру, то есть стал сравнительно более «восточным». Несмотря на некоторое «приращение» Рязанской области за счет других регионов, «обмен» был качественно не равнозначен, поскольку в состав других областей отошли наиболее промышленно развитые и аграрно-значимые территории.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Использование ветряных и водяных мельниц в Рязанской губернии (</w:t>
      </w:r>
      <w:r w:rsidRPr="00B74F18">
        <w:rPr>
          <w:rFonts w:ascii="Times New Roman" w:hAnsi="Times New Roman"/>
          <w:sz w:val="28"/>
          <w:szCs w:val="28"/>
        </w:rPr>
        <w:t>XIX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в.). В рассматриваемое время в Российской империи паровые машины и технологии на их основе только входили в употребление и, несмотря на «железнодорожный бум» и общее пополнение двигательного парка, энергетическая основа аграрного производства мало изменилась. Таким образом, еще продолжался исторический период, когда мускульная сила рабочего скота, водяное и ветряное колесо являлись почти единственным средством силового привода механизмов в сельском хозяйстве. </w:t>
      </w:r>
    </w:p>
    <w:p w:rsidR="00013420" w:rsidRPr="00B74F18" w:rsidRDefault="00BD2A69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Описание: 939889A6" style="width:446.25pt;height:425.25pt;visibility:visible">
            <v:imagedata r:id="rId4" o:title="939889A6"/>
          </v:shape>
        </w:pic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Рис. 1. Изменения административно-территориальных границ</w:t>
      </w:r>
      <w:r w:rsidR="008D4E5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Рязанской губернии (области) в </w:t>
      </w:r>
      <w:r w:rsidRPr="00B74F18">
        <w:rPr>
          <w:rFonts w:ascii="Times New Roman" w:hAnsi="Times New Roman"/>
          <w:sz w:val="28"/>
          <w:szCs w:val="28"/>
        </w:rPr>
        <w:t>XIX</w:t>
      </w:r>
      <w:r w:rsidR="005027C1">
        <w:rPr>
          <w:rFonts w:ascii="Times New Roman" w:hAnsi="Times New Roman"/>
          <w:sz w:val="28"/>
          <w:szCs w:val="28"/>
          <w:lang w:val="ru-RU"/>
        </w:rPr>
        <w:t xml:space="preserve"> в.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1. Территории, вышедшие из состава Рязанской губернии (области).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2. Территории, вошедшие в состав Рязанской губернии (области).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smartTag w:uri="urn:schemas-microsoft-com:office:smarttags" w:element="metricconverter">
        <w:smartTagPr>
          <w:attr w:name="ProductID" w:val="1922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1922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– год входа-выхода территории в (из) состав (а) губернии (области).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027C1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 Рязанской губернии энергия рек широко использовалась и, в промышленности, особенно в металлургии для силового привода </w:t>
      </w:r>
      <w:r w:rsidR="005027C1">
        <w:rPr>
          <w:rFonts w:ascii="Times New Roman" w:hAnsi="Times New Roman"/>
          <w:sz w:val="28"/>
          <w:szCs w:val="28"/>
          <w:lang w:val="ru-RU"/>
        </w:rPr>
        <w:t>механических молотов и станков.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Однако вследствие доминирования аграрного сектора более масштабное хозяйственное использование ресурсов энергии ветра и рек было характерно для мукомольной отрасли (табл. 1, рис. 2). </w:t>
      </w:r>
    </w:p>
    <w:p w:rsidR="005027C1" w:rsidRDefault="005027C1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Таблица 1 </w:t>
      </w:r>
    </w:p>
    <w:p w:rsidR="00013420" w:rsidRPr="00B74F18" w:rsidRDefault="00013420" w:rsidP="00B74F18">
      <w:pPr>
        <w:pStyle w:val="3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74F18">
        <w:rPr>
          <w:rFonts w:ascii="Times New Roman" w:hAnsi="Times New Roman"/>
          <w:sz w:val="28"/>
          <w:szCs w:val="28"/>
        </w:rPr>
        <w:t xml:space="preserve">Размещение мельниц по уездам Рязанской губернии в </w:t>
      </w:r>
      <w:smartTag w:uri="urn:schemas-microsoft-com:office:smarttags" w:element="metricconverter">
        <w:smartTagPr>
          <w:attr w:name="ProductID" w:val="1860 г"/>
        </w:smartTagPr>
        <w:r w:rsidRPr="00B74F18">
          <w:rPr>
            <w:rFonts w:ascii="Times New Roman" w:hAnsi="Times New Roman"/>
            <w:sz w:val="28"/>
            <w:szCs w:val="28"/>
          </w:rPr>
          <w:t>1860 г</w:t>
        </w:r>
      </w:smartTag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6"/>
        <w:gridCol w:w="1503"/>
        <w:gridCol w:w="1697"/>
        <w:gridCol w:w="2056"/>
        <w:gridCol w:w="2374"/>
        <w:gridCol w:w="730"/>
      </w:tblGrid>
      <w:tr w:rsidR="00013420" w:rsidRPr="005027C1" w:rsidTr="005027C1">
        <w:tc>
          <w:tcPr>
            <w:tcW w:w="0" w:type="auto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п/п</w:t>
            </w:r>
          </w:p>
        </w:tc>
        <w:tc>
          <w:tcPr>
            <w:tcW w:w="0" w:type="auto"/>
            <w:vAlign w:val="center"/>
          </w:tcPr>
          <w:p w:rsidR="00013420" w:rsidRPr="005027C1" w:rsidRDefault="00013420" w:rsidP="00B74F18">
            <w:pPr>
              <w:pStyle w:val="8"/>
              <w:widowControl w:val="0"/>
              <w:spacing w:before="0" w:after="0" w:line="360" w:lineRule="auto"/>
              <w:jc w:val="both"/>
              <w:rPr>
                <w:i w:val="0"/>
                <w:sz w:val="20"/>
                <w:szCs w:val="20"/>
              </w:rPr>
            </w:pPr>
            <w:r w:rsidRPr="005027C1">
              <w:rPr>
                <w:i w:val="0"/>
                <w:sz w:val="20"/>
                <w:szCs w:val="20"/>
              </w:rPr>
              <w:t>Уезд</w:t>
            </w:r>
          </w:p>
        </w:tc>
        <w:tc>
          <w:tcPr>
            <w:tcW w:w="1697" w:type="dxa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Число водяных мельниц</w:t>
            </w:r>
          </w:p>
        </w:tc>
        <w:tc>
          <w:tcPr>
            <w:tcW w:w="2056" w:type="dxa"/>
            <w:vAlign w:val="center"/>
          </w:tcPr>
          <w:p w:rsidR="00013420" w:rsidRPr="005027C1" w:rsidRDefault="00013420" w:rsidP="005027C1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027C1">
              <w:rPr>
                <w:rFonts w:ascii="Times New Roman" w:hAnsi="Times New Roman"/>
                <w:sz w:val="20"/>
                <w:szCs w:val="20"/>
                <w:lang w:val="ru-RU"/>
              </w:rPr>
              <w:t>Число поставов на водяных мельницах</w:t>
            </w:r>
          </w:p>
        </w:tc>
        <w:tc>
          <w:tcPr>
            <w:tcW w:w="0" w:type="auto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Число ветряных мельниц</w:t>
            </w:r>
          </w:p>
        </w:tc>
        <w:tc>
          <w:tcPr>
            <w:tcW w:w="0" w:type="auto"/>
            <w:vAlign w:val="center"/>
          </w:tcPr>
          <w:p w:rsidR="00013420" w:rsidRPr="005027C1" w:rsidRDefault="00013420" w:rsidP="00B74F18">
            <w:pPr>
              <w:pStyle w:val="1"/>
              <w:keepNext w:val="0"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5027C1">
              <w:rPr>
                <w:sz w:val="20"/>
                <w:szCs w:val="20"/>
              </w:rPr>
              <w:t>Итого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Скопинский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261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299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pStyle w:val="2"/>
              <w:keepNext w:val="0"/>
              <w:widowControl w:val="0"/>
              <w:spacing w:before="0" w:after="0" w:line="360" w:lineRule="auto"/>
              <w:jc w:val="both"/>
              <w:rPr>
                <w:rFonts w:ascii="Times New Roman" w:hAnsi="Times New Roman" w:cs="Times New Roman"/>
                <w:b w:val="0"/>
                <w:i w:val="0"/>
                <w:sz w:val="20"/>
                <w:szCs w:val="20"/>
              </w:rPr>
            </w:pPr>
            <w:r w:rsidRPr="005027C1">
              <w:rPr>
                <w:rFonts w:ascii="Times New Roman" w:hAnsi="Times New Roman" w:cs="Times New Roman"/>
                <w:b w:val="0"/>
                <w:i w:val="0"/>
                <w:sz w:val="20"/>
                <w:szCs w:val="20"/>
              </w:rPr>
              <w:t>Раненбургский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173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226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Пронский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Ряжский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139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132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175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5.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Михайловский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6.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Зарайский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118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7.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Рязанский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8.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Данковский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Сапожковский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131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10.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Егорьевский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11.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Спасский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</w:tr>
      <w:tr w:rsidR="00013420" w:rsidRPr="005027C1" w:rsidTr="005027C1"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12.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Касимовский</w:t>
            </w:r>
          </w:p>
        </w:tc>
        <w:tc>
          <w:tcPr>
            <w:tcW w:w="1697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2056" w:type="dxa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0" w:type="auto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</w:tr>
      <w:tr w:rsidR="00013420" w:rsidRPr="005027C1" w:rsidTr="005027C1">
        <w:tc>
          <w:tcPr>
            <w:tcW w:w="0" w:type="auto"/>
            <w:gridSpan w:val="2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Итого</w:t>
            </w:r>
          </w:p>
        </w:tc>
        <w:tc>
          <w:tcPr>
            <w:tcW w:w="1697" w:type="dxa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2056" w:type="dxa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1199</w:t>
            </w:r>
          </w:p>
        </w:tc>
        <w:tc>
          <w:tcPr>
            <w:tcW w:w="0" w:type="auto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1258</w:t>
            </w:r>
          </w:p>
        </w:tc>
        <w:tc>
          <w:tcPr>
            <w:tcW w:w="0" w:type="auto"/>
            <w:vAlign w:val="center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1648</w:t>
            </w:r>
          </w:p>
        </w:tc>
      </w:tr>
    </w:tbl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 xml:space="preserve">Примечание. Перечень уездов приведен в </w:t>
      </w:r>
      <w:r w:rsidR="005027C1">
        <w:rPr>
          <w:rFonts w:ascii="Times New Roman" w:hAnsi="Times New Roman"/>
          <w:sz w:val="28"/>
          <w:szCs w:val="24"/>
          <w:lang w:val="ru-RU"/>
        </w:rPr>
        <w:t>порядке убывания числа мельниц.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Согласно представленным данным, в губернии всего насчитывалось 1648 мельниц (1258 ветряных и 390 водяных). При анализе аспектов размещения и концентрации силовых мукомольных агрегатов прослеживается и подтверждается прямая корреляционная связь специализации сельского хозяйства с дифференциацией историко-географических частей региона.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 Степной южной стороне при доминировании зерновых уездов (почти 66 % всей пашни губернии) насчитывалось 1250 водяных и ветряных мельниц, или свыше 76 % их общего количества.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 Мещерской северной («заокской») стороне нечерноземные почвы и мелкоконтурность пахотных земель определили малолюдный тип сельских поселений с их преимущественной концентрацией на незаболоченных участках (район Великих озер, Спас-Клепики, Тума, Касимов, Елатьма). Сами населенные пункты группировались на песчаных возвышениях, что позволяло избежать подтоплений в половодье (в период «большой воды» водяные мельницы не работали). Комплекс лимитирующих факторов предопределял «оазисный», или «очаговый», тип расселения, зерноводства и соответственно, размещения мукомольных мельниц.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На фоне разительных контрастов между югом и севером региона правобережная Рязанская сторона характеризовалась «переходными» показателями концентрации мельниц. В сравнении с Мещерой таксон отличался более плотным заселением и смешанной специализацией хозяйства (с высокой долей торговли и промыслов). Кроме того, эта территория использовалась для транзитной перевозки хлеба из южных губерний в столичные центры Российской империи (г. Санкт-Петербург, Москва).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BD2A69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shape id="Рисунок 2" o:spid="_x0000_i1026" type="#_x0000_t75" alt="Описание: B22AB15B" style="width:452.25pt;height:308.25pt;visibility:visible">
            <v:imagedata r:id="rId5" o:title="B22AB15B"/>
          </v:shape>
        </w:pic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Рис. 2. География гидравлической (А) и ветряной (Б) энергетики</w:t>
      </w:r>
      <w:r w:rsidR="005027C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Рязанской губернии (по состоянию на конец </w:t>
      </w:r>
      <w:r w:rsidRPr="00B74F18">
        <w:rPr>
          <w:rFonts w:ascii="Times New Roman" w:hAnsi="Times New Roman"/>
          <w:sz w:val="28"/>
          <w:szCs w:val="28"/>
        </w:rPr>
        <w:t>XIX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начало </w:t>
      </w:r>
      <w:r w:rsidRPr="00B74F18">
        <w:rPr>
          <w:rFonts w:ascii="Times New Roman" w:hAnsi="Times New Roman"/>
          <w:sz w:val="28"/>
          <w:szCs w:val="28"/>
        </w:rPr>
        <w:t>XX</w:t>
      </w:r>
      <w:r w:rsidR="005027C1">
        <w:rPr>
          <w:rFonts w:ascii="Times New Roman" w:hAnsi="Times New Roman"/>
          <w:sz w:val="28"/>
          <w:szCs w:val="28"/>
          <w:lang w:val="ru-RU"/>
        </w:rPr>
        <w:t xml:space="preserve"> века)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Именно по территории Рязанской стороны проходила главная «хлебная артерия» – «транспортно-инфраструктурный жгут», состоящий из железных дорог, сухопутных имперских трактов, внутренневодных маршрутов (р. Ока), основных центров хранения и переработки зерна. Показательно, всего в Рязанской и Степной стороне функционировала 321 водяная мельница (более 82 % общего числа водяных мельниц в губернии).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Суммарная мощность мельниц разных видов в пределах Рязанской губернии составляла 37 357 кВт: 54,5 % на ветряных агрегатах и 45,5 % на гидроэнергетических установках. Таким образом, гидроустановки, количественно уступая ветряным агрегатам более чем в 3 раза, имели потенциал установленной мощности всего на 17 % ниже. Важен и другой вывод: прямое соответствие концентрации мощности мельниц хозяйственной специализации историко-географических частей региона: 27 844 кВт мощности всех мельниц было сосредоточено в уездах Степной стороны (74,5 %).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Совокупность природных и социально-экономических факторов определяет возможность многокритериального зонирования территории региона по концентрации ветряных и водяных мельниц в XIX в. (рис. 3).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Первая условная зона локализована в пределах Мещерской стороны (36 % площади и с концентрацией 29 % населения губернии). Доля пашни в структуре сельскохозяйственных угодий составляла 30 % (16 % урожая ржи по губернии), что предопределяло невысокую концентрацию предприятий по первичной обработке зерновых культур: 157 ветряных мельниц и 73 водяные.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Суммарная мощность мукомольных силовых агрегатов была определена в 5123 кВт, а финансовая ценность их эксплуатации оценена в 75 тыс. руб. серебром в год (доля по губернии – 13,7 %). Социально-экономические факторы в зоне признаны определяющими в размещении мельниц, что обусловило «очаговый» характер их локализации.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Вторая условная зона включала Рязанскую сторону и северную часть Степной стороны, охватывая 23 % площади и 25,4 % населения губернии. В зоне доля пашни составляла пропорцию 1:5 (от доли по губернии), где получали до 23 % урожая зерновых. Суммарная мощность 329 ветряных и 90 водяных мельниц составляла 9950 кВт (24,4 % показателя по губернии). Финансовая ценность эксплуатации мельниц достигала почти 148 тыс. руб. серебром в год (доля по губернии – 27 %).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Транспортно-географическое положение второй зоны изначально предопределило доминирование речного транспорта в вывозе зерна. С конца </w:t>
      </w:r>
      <w:r w:rsidRPr="00B74F18">
        <w:rPr>
          <w:rFonts w:ascii="Times New Roman" w:hAnsi="Times New Roman"/>
          <w:sz w:val="28"/>
          <w:szCs w:val="28"/>
        </w:rPr>
        <w:t>XIX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в. основной грузооборот продукции мукомольного производства перешел к железнодорожному транспорту, получившему широкое развитие в этот период. В обоих случаях наблюдалась «привязка» концентрации мельниц к транспортным «жгутам», центрам торговли хлебом и перевалочным базам, что определило линейный характер их пространственной локализации (транспортная сеть, р. Ока, сложившаяся система расселения).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Третья условная зона – Степная сторона – охватывала свыше 41 % площади губернии, где проживало почти 39 % всего населения. Доля пашни в структуре сельскохозяйственных угодий превышала 54 % губернского показателя. Здесь выращивалось до 61 % валового урожая зерна губернии.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Благоприятные предпосылки природно-ресурсного и хозяйственного характера предопределили широкое развитие мукомольной отрасли, насчитывавшей 1020 ветряных и водяных мельниц суммарной мощностью 22,6 тыс. кВт (60 % общего потенциала по всей губернии). Финансовая ценность их эксплуатации составляла почти 326 тыс. руб. серебром в год, или свыше 59 % данного показателя по губернии. </w:t>
      </w:r>
    </w:p>
    <w:p w:rsidR="00013420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Территория занимала выгодное транспортно-географическое положение на пересечении транзитных путей и торговли хлебом в масштабе всей страны.</w:t>
      </w:r>
    </w:p>
    <w:p w:rsidR="005027C1" w:rsidRDefault="005027C1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:rsidR="00013420" w:rsidRPr="00B74F18" w:rsidRDefault="00BD2A69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shape id="Рисунок 3" o:spid="_x0000_i1027" type="#_x0000_t75" alt="Описание: 6327639B" style="width:261.75pt;height:357.75pt;visibility:visible">
            <v:imagedata r:id="rId6" o:title="6327639B"/>
          </v:shape>
        </w:pict>
      </w:r>
    </w:p>
    <w:p w:rsidR="00013420" w:rsidRPr="00B74F18" w:rsidRDefault="00013420" w:rsidP="005027C1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Рис. 3. Зонирование Рязанской губернии</w:t>
      </w:r>
      <w:r w:rsidR="005027C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74F18">
        <w:rPr>
          <w:rFonts w:ascii="Times New Roman" w:hAnsi="Times New Roman"/>
          <w:sz w:val="28"/>
          <w:szCs w:val="28"/>
          <w:lang w:val="ru-RU"/>
        </w:rPr>
        <w:t>по концентрации ветряных и водяных мельниц (</w:t>
      </w:r>
      <w:r w:rsidRPr="00B74F18">
        <w:rPr>
          <w:rFonts w:ascii="Times New Roman" w:hAnsi="Times New Roman"/>
          <w:sz w:val="28"/>
          <w:szCs w:val="28"/>
        </w:rPr>
        <w:t>XIX</w:t>
      </w:r>
      <w:r w:rsidR="005027C1">
        <w:rPr>
          <w:rFonts w:ascii="Times New Roman" w:hAnsi="Times New Roman"/>
          <w:sz w:val="28"/>
          <w:szCs w:val="28"/>
          <w:lang w:val="ru-RU"/>
        </w:rPr>
        <w:t xml:space="preserve"> в.) </w:t>
      </w:r>
      <w:r w:rsidRPr="00B74F18">
        <w:rPr>
          <w:rFonts w:ascii="Times New Roman" w:hAnsi="Times New Roman"/>
          <w:sz w:val="28"/>
          <w:szCs w:val="28"/>
          <w:lang w:val="ru-RU"/>
        </w:rPr>
        <w:t>1. Мещерская сторона. 2. Рязанс</w:t>
      </w:r>
      <w:r w:rsidR="005027C1">
        <w:rPr>
          <w:rFonts w:ascii="Times New Roman" w:hAnsi="Times New Roman"/>
          <w:sz w:val="28"/>
          <w:szCs w:val="28"/>
          <w:lang w:val="ru-RU"/>
        </w:rPr>
        <w:t>кая сторона. 3. Степная сторона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Специфика зоны изначально предопределила значимость гужевого и частично речного вида транспорта, а со второй половины </w:t>
      </w:r>
      <w:r w:rsidRPr="00B74F18">
        <w:rPr>
          <w:rFonts w:ascii="Times New Roman" w:hAnsi="Times New Roman"/>
          <w:sz w:val="28"/>
          <w:szCs w:val="28"/>
        </w:rPr>
        <w:t>XIX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в. – железнодорожного.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Важно отметить географическую привязку мельниц к транспортным артериям и перевалочным базам хлебной торговли, исторически сложившейся системе расселения с доминированием зерновой специализации земледелия, что обусловило ареально-узловой характер пространственной локализации и концентрации мельниц (транспортная сеть, р. Проня и ее притоки).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Использование ветряных и водяных мельниц в Рязанской (губернии) области (первая половина </w:t>
      </w:r>
      <w:r w:rsidRPr="00B74F18">
        <w:rPr>
          <w:rFonts w:ascii="Times New Roman" w:hAnsi="Times New Roman"/>
          <w:sz w:val="28"/>
          <w:szCs w:val="28"/>
        </w:rPr>
        <w:t>XX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в.). В начале </w:t>
      </w:r>
      <w:r w:rsidRPr="00B74F18">
        <w:rPr>
          <w:rFonts w:ascii="Times New Roman" w:hAnsi="Times New Roman"/>
          <w:sz w:val="28"/>
          <w:szCs w:val="28"/>
        </w:rPr>
        <w:t>XX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века уровень «машинизации» сельскохозяйственного производства в России несколько повысился, но не удовлетворял значительно возросшие потребности. Так, по состоянию на </w:t>
      </w:r>
      <w:smartTag w:uri="urn:schemas-microsoft-com:office:smarttags" w:element="metricconverter">
        <w:smartTagPr>
          <w:attr w:name="ProductID" w:val="190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только 39 % крестьянских хозяйств Рязанской губернии пользовались машинным способом обработки продуктов земледелия [12.С.59,98]. Поэтому в начале века (</w:t>
      </w:r>
      <w:smartTag w:uri="urn:schemas-microsoft-com:office:smarttags" w:element="metricconverter">
        <w:smartTagPr>
          <w:attr w:name="ProductID" w:val="190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.), ветряные и водяные мельницы сохранили свою высокую хозяйственную значимость (табл. </w:t>
      </w:r>
      <w:r w:rsidRPr="00B74F18">
        <w:rPr>
          <w:rFonts w:ascii="Times New Roman" w:hAnsi="Times New Roman"/>
          <w:sz w:val="28"/>
          <w:szCs w:val="28"/>
        </w:rPr>
        <w:t>2).</w:t>
      </w:r>
    </w:p>
    <w:p w:rsidR="005027C1" w:rsidRDefault="005027C1" w:rsidP="00B74F18">
      <w:pPr>
        <w:pStyle w:val="9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013420" w:rsidRPr="00B74F18" w:rsidRDefault="00013420" w:rsidP="00B74F18">
      <w:pPr>
        <w:pStyle w:val="9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F18">
        <w:rPr>
          <w:rFonts w:ascii="Times New Roman" w:hAnsi="Times New Roman" w:cs="Times New Roman"/>
          <w:sz w:val="28"/>
          <w:szCs w:val="28"/>
        </w:rPr>
        <w:t>Таблица 2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Количество мельниц в Рязанской губернии (1860–1922 гг.), единиц</w:t>
      </w:r>
    </w:p>
    <w:tbl>
      <w:tblPr>
        <w:tblW w:w="4481" w:type="pct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67"/>
        <w:gridCol w:w="1774"/>
        <w:gridCol w:w="1772"/>
        <w:gridCol w:w="1772"/>
        <w:gridCol w:w="1592"/>
      </w:tblGrid>
      <w:tr w:rsidR="00013420" w:rsidRPr="005027C1" w:rsidTr="005027C1">
        <w:trPr>
          <w:cantSplit/>
        </w:trPr>
        <w:tc>
          <w:tcPr>
            <w:tcW w:w="972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Вид мельниц</w:t>
            </w:r>
          </w:p>
        </w:tc>
        <w:tc>
          <w:tcPr>
            <w:tcW w:w="1034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1860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1905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1915</w:t>
            </w:r>
          </w:p>
        </w:tc>
        <w:tc>
          <w:tcPr>
            <w:tcW w:w="928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1922</w:t>
            </w:r>
          </w:p>
        </w:tc>
      </w:tr>
      <w:tr w:rsidR="00013420" w:rsidRPr="005027C1" w:rsidTr="005027C1">
        <w:trPr>
          <w:cantSplit/>
        </w:trPr>
        <w:tc>
          <w:tcPr>
            <w:tcW w:w="972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Ветряные</w:t>
            </w:r>
          </w:p>
        </w:tc>
        <w:tc>
          <w:tcPr>
            <w:tcW w:w="1034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1258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1262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974</w:t>
            </w:r>
          </w:p>
        </w:tc>
        <w:tc>
          <w:tcPr>
            <w:tcW w:w="928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702</w:t>
            </w:r>
          </w:p>
        </w:tc>
      </w:tr>
      <w:tr w:rsidR="00013420" w:rsidRPr="005027C1" w:rsidTr="005027C1">
        <w:trPr>
          <w:cantSplit/>
        </w:trPr>
        <w:tc>
          <w:tcPr>
            <w:tcW w:w="972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Водяные</w:t>
            </w:r>
          </w:p>
        </w:tc>
        <w:tc>
          <w:tcPr>
            <w:tcW w:w="1034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313</w:t>
            </w:r>
          </w:p>
        </w:tc>
        <w:tc>
          <w:tcPr>
            <w:tcW w:w="928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288</w:t>
            </w:r>
          </w:p>
        </w:tc>
      </w:tr>
      <w:tr w:rsidR="00013420" w:rsidRPr="005027C1" w:rsidTr="005027C1">
        <w:trPr>
          <w:cantSplit/>
        </w:trPr>
        <w:tc>
          <w:tcPr>
            <w:tcW w:w="972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Тепловые</w:t>
            </w:r>
          </w:p>
        </w:tc>
        <w:tc>
          <w:tcPr>
            <w:tcW w:w="1034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–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1033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233</w:t>
            </w:r>
          </w:p>
        </w:tc>
        <w:tc>
          <w:tcPr>
            <w:tcW w:w="928" w:type="pct"/>
          </w:tcPr>
          <w:p w:rsidR="00013420" w:rsidRPr="005027C1" w:rsidRDefault="00013420" w:rsidP="00B74F18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027C1">
              <w:rPr>
                <w:rFonts w:ascii="Times New Roman" w:hAnsi="Times New Roman"/>
                <w:sz w:val="20"/>
                <w:szCs w:val="20"/>
              </w:rPr>
              <w:t>346</w:t>
            </w:r>
          </w:p>
        </w:tc>
      </w:tr>
    </w:tbl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В условиях доминирующей трехпольной системы земледелия и роста населения производитель реально мог выжить только за счет экстенсивного наращивания посевных площадей. Однако после отмены крепостного права крестьяне потеряли значительную часть обрабатываемой земли, а последующие события только усугубили ситуацию: «После проведения железных дорог, изменения цен на хлеб и землю усилилось обеднение населения» (</w:t>
      </w:r>
      <w:smartTag w:uri="urn:schemas-microsoft-com:office:smarttags" w:element="metricconverter">
        <w:smartTagPr>
          <w:attr w:name="ProductID" w:val="1893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1893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.) [4.С.7]. В результате с 1895–1900 гг. по 1909–1913 гг. обеспеченность населения хлебом собственного производства из расчета на душу населения сократилась на 32,3 %. Поэтому не случайно, а вполне закономерно, что в целом за период 1887–1913 гг. в губернии увеличивалась доля пашни в структуре сельскохозяйственных угодий (на 10,6 %).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При этом важно обратить внимание на следующую закономерность: за рассматриваемый период посевные площади выросли не только и даже не столько за счет роста посевного клина под потребительской рожью. Низкие цены на хлеб и малоземелье вынуждали крестьян искать эффективные источники накопления капитала для выкупа земли, что вело к росту доли пашни под рыночно ориентированные культуры (картофель, овес, гречиха и др.). Снижение объема экспорта российского зерна и его дешевизна после мирового кризиса в </w:t>
      </w:r>
      <w:smartTag w:uri="urn:schemas-microsoft-com:office:smarttags" w:element="metricconverter">
        <w:smartTagPr>
          <w:attr w:name="ProductID" w:val="1894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1894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способствовали развитию крахмалопаточных и винокуренных заводов. В результате доля пашни под рожью в губернии уменьшилась с 51 % в </w:t>
      </w:r>
      <w:smartTag w:uri="urn:schemas-microsoft-com:office:smarttags" w:element="metricconverter">
        <w:smartTagPr>
          <w:attr w:name="ProductID" w:val="1897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1897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до 41 % в </w:t>
      </w:r>
      <w:smartTag w:uri="urn:schemas-microsoft-com:office:smarttags" w:element="metricconverter">
        <w:smartTagPr>
          <w:attr w:name="ProductID" w:val="1903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1903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[11.С.51,71]. </w:t>
      </w:r>
    </w:p>
    <w:p w:rsidR="005027C1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Одновременно, рост населения как объективный фактор определял закономерное перераспределение структуры сельхозугодий региона. Согласно расчетам В.К. Яцунского, численность населения увеличилась на 65 % за период 1867–1905 гг.: с 1438 тыс. человек </w:t>
      </w:r>
      <w:r w:rsidR="005027C1">
        <w:rPr>
          <w:rFonts w:ascii="Times New Roman" w:hAnsi="Times New Roman"/>
          <w:sz w:val="28"/>
          <w:szCs w:val="28"/>
          <w:lang w:val="ru-RU"/>
        </w:rPr>
        <w:t>до 2128 тыс. человек.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 как результат, с </w:t>
      </w:r>
      <w:smartTag w:uri="urn:schemas-microsoft-com:office:smarttags" w:element="metricconverter">
        <w:smartTagPr>
          <w:attr w:name="ProductID" w:val="190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вновь наблюдается рост доли запашного клина под рожью до показателя 46,7 </w:t>
      </w:r>
      <w:r w:rsidR="005027C1">
        <w:rPr>
          <w:rFonts w:ascii="Times New Roman" w:hAnsi="Times New Roman"/>
          <w:sz w:val="28"/>
          <w:szCs w:val="28"/>
          <w:lang w:val="ru-RU"/>
        </w:rPr>
        <w:t>% площади с/х угодий.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Таким образом, рост населения предельно обострил проблему недостатка пашни, что вынуждало крестьян сокращать посевы овса и увеличивать площади под потребительской рожью; получила развитие практика передачи земли помещиками в аренду сельским общинам. В годы Столыпинской аграрной реформы большую часть этой земли выкупили сельские товаропроизводители через Крестьянский банк и его филиалы на местах. Основная часть приобретенной земли использовалась под посевы потребительской ржи, занявшей уже в </w:t>
      </w:r>
      <w:smartTag w:uri="urn:schemas-microsoft-com:office:smarttags" w:element="metricconverter">
        <w:smartTagPr>
          <w:attr w:name="ProductID" w:val="1913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1913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до 55 % всей пашни губернии.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В период 1914–1916 гг. массовые мобилизации на фронты Первой мировой войны привели к массовому оттоку мужчин из села. Этот процесс, наряду с ростом военных потребностей, имел ряд значимых последствий. Снова произошло снижение доли пашни под рожью (с 55 до 49 %), но одновременно увеличились посевные площади под овсом (рост потребностей для снабжения кавалерии фуражом), льном (возможность использования исключительно женского труда), кормовыми культурами (травы) и гречихой (поздний посев этой культуры давал возможность растянуть период полевых работ). В результате произошло сокращение пахотных земель на 6 % по Рязанской губернии и на 11 % в целом по Нечернозе</w:t>
      </w:r>
      <w:r w:rsidR="005027C1">
        <w:rPr>
          <w:rFonts w:ascii="Times New Roman" w:hAnsi="Times New Roman"/>
          <w:sz w:val="28"/>
          <w:szCs w:val="28"/>
          <w:lang w:val="ru-RU"/>
        </w:rPr>
        <w:t>мью Российской империи.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С учетом недосева, переводом части пашни под кормовые и технические культуры снизилась и хозяйственная потребность в мельницах (табл. 2). Число ветряных мельниц по состоянию на </w:t>
      </w:r>
      <w:smartTag w:uri="urn:schemas-microsoft-com:office:smarttags" w:element="metricconverter">
        <w:smartTagPr>
          <w:attr w:name="ProductID" w:val="191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сократилось на 288 единиц, или на 23 % уровня </w:t>
      </w:r>
      <w:smartTag w:uri="urn:schemas-microsoft-com:office:smarttags" w:element="metricconverter">
        <w:smartTagPr>
          <w:attr w:name="ProductID" w:val="190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Показатели снижения водяных мельниц за тот же период минимальны, всего 2,2 % (на 7 единиц). Одновременно увеличился более чем в 5,5 раза суммарный потенциал тепловых мельниц: 46 единиц в </w:t>
      </w:r>
      <w:smartTag w:uri="urn:schemas-microsoft-com:office:smarttags" w:element="metricconverter">
        <w:smartTagPr>
          <w:attr w:name="ProductID" w:val="190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1905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и 233 в </w:t>
      </w:r>
      <w:smartTag w:uri="urn:schemas-microsoft-com:office:smarttags" w:element="metricconverter">
        <w:smartTagPr>
          <w:attr w:name="ProductID" w:val="191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Именно они выполняли основную «компенсирующую» функцию. Вместе с тем сохранилась общая тенденция преимущественной концентрации мельниц в Степной стороне губернии: 542 ветряные мельницы (57 % общего числа в губернии), 154 водяные (49 %) и 126 паровых (свыше 54 %) [6; 10; 13].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Более значительное сокращение мельниц произошло в 1916–1920 гг. Страну охватил глубокий общеэкономический кризис. В условиях хозяйственной разрухи, голода горожане и демобилизованные из армии хлынули в сельскую местность. Только за 1916–1917 гг. численность сельского населения увеличилась на 500 тыс. человек, или почти на 20 % общей численности Рязанской губернии. Рост самостоятельных и жизнеспособных хозяйств за этот же период был отмечен всего на 10 %. В регионе по состоянию на </w:t>
      </w:r>
      <w:smartTag w:uri="urn:schemas-microsoft-com:office:smarttags" w:element="metricconverter">
        <w:smartTagPr>
          <w:attr w:name="ProductID" w:val="1917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1917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насчитывалось 37 % безлошадных крестьянских хозяйств, более 10,1 % хозяйств не сеяли вообще [13.С.92,331].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Период Гражданской войны характеризовался максимальным уровнем заброшенности пашни (в Рязанской губернии – 23 %, в целом по Нечерноземью России – 32 %) [13.С.92]. Основными причинами сокращения посевных площадей являлись: тяжесть продовольственного налога; отсутствие рынков свободного сбыта; плохие урожаи; недостаток семян и орудий производства; уравнительные переделы земли и т.п. В результате были утрачены экономически обоснованные стимулы для расширения запашного клина. Неблагоприятно изменилась и демографическая ситуация: в 1920 году на 100 мужчин в Рязанской губернии приходилось 127 женщин (в </w:t>
      </w:r>
      <w:smartTag w:uri="urn:schemas-microsoft-com:office:smarttags" w:element="metricconverter">
        <w:smartTagPr>
          <w:attr w:name="ProductID" w:val="1897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1897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– 111,1 женщина); сильно уменьшилась доля возрастов трудоспособного населения. В довоенное время при средней урожайности собирали почти 77 млн пудов зерна в год, а за 1917–1921 годы не более 30 млн пудов. Для поддержания даже прожиточного минимума не хватало 29 млн пудов. И, как следствие, регион охватил массовый голод, к тому же </w:t>
      </w:r>
      <w:smartTag w:uri="urn:schemas-microsoft-com:office:smarttags" w:element="metricconverter">
        <w:smartTagPr>
          <w:attr w:name="ProductID" w:val="1921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1921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был крайне засушливым [11.С.81–82; 12.С.42–53,244].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 как следствие, произошла резкая «натурализация» земледелия. При распашке, составлявшей 56,5 % площади губернии, фактически отсутствовал резерв даже для экстенсивного расширения пашни. Наблюдалось максимальное сокращение посевов рыночных культур (овес, картофель, гречиха, масличные и многолетние травы) и соответствующее расширение площадей под потребительские культуры: рожь на 9,2 % и особенно просо. Просо выносливо в засуху, и поэтому им засевали основные площади, ранее занятые гречихой. Здесь показателен следующий факт: по состоянию на </w:t>
      </w:r>
      <w:smartTag w:uri="urn:schemas-microsoft-com:office:smarttags" w:element="metricconverter">
        <w:smartTagPr>
          <w:attr w:name="ProductID" w:val="1860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1860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насчитывалось 154 ветряные просорушки, на </w:t>
      </w:r>
      <w:smartTag w:uri="urn:schemas-microsoft-com:office:smarttags" w:element="metricconverter">
        <w:smartTagPr>
          <w:attr w:name="ProductID" w:val="1917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1917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– 733, а в </w:t>
      </w:r>
      <w:smartTag w:uri="urn:schemas-microsoft-com:office:smarttags" w:element="metricconverter">
        <w:smartTagPr>
          <w:attr w:name="ProductID" w:val="1922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1922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их число превышало</w:t>
      </w:r>
      <w:r w:rsidR="008D4E54">
        <w:rPr>
          <w:rFonts w:ascii="Times New Roman" w:hAnsi="Times New Roman"/>
          <w:sz w:val="28"/>
          <w:szCs w:val="28"/>
          <w:lang w:val="ru-RU"/>
        </w:rPr>
        <w:t xml:space="preserve"> 1300 единиц</w:t>
      </w:r>
      <w:r w:rsidRPr="00B74F18">
        <w:rPr>
          <w:rFonts w:ascii="Times New Roman" w:hAnsi="Times New Roman"/>
          <w:sz w:val="28"/>
          <w:szCs w:val="28"/>
          <w:lang w:val="ru-RU"/>
        </w:rPr>
        <w:t>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Устоявшаяся трехпольная система земледелия объективно не могла увеличить производительность и урожайность зерновых. Так, технология трехполья могло «прокормить» только при условии средней плотности населения не более 40 человек на 1 кв. версту. Приток горожан в сельскую местность привел к резкому увеличению показателя (65 человек на 1 кв. версту). Общая численность населения в Рязанской губернии по состоянию на начало 1920-х гг. превышала 2,6 млн человек, увеличившись сравнительно с 1860 года почти на 86 % (на 1,2 млн человек) при одновременном резком сокращении сбора урожая ржи (на 50 %).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 сложившейся ситуации стабилизация аграрного сектора являлась важным условием возрождения экономики, что сдерживалось целым комплексом причин и не в последнюю очередь ее слабой энергетической базой. Определенные надежды возлагались на реализацию плана ГОЭЛРО, а в ее контексте и на развитие гидравлической и ветряной энергетики.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Однако отсутствие материально-технических и финансовых средств выступало жестким лимитирующим фактором для восстановления хозяйства. Необходимо было решить проблему накопления первичного капитала, что в условиях экономической и политической изоляции Советской России могло быть реализовано только за счет внутренних ресурсов. Это предопределило общую стратегию государства и принятие курса новой экономической политики (нэп – 1921–1925 гг.).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Именно в годы нэпа была прекращена практика уравнительного распределения земли, характерная для периода «военного коммунизма». В результате прослеживается стремление населения к расширению посевных площадей, постепенно исчезает проблема недосева. К началу </w:t>
      </w:r>
      <w:smartTag w:uri="urn:schemas-microsoft-com:office:smarttags" w:element="metricconverter">
        <w:smartTagPr>
          <w:attr w:name="ProductID" w:val="1923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1923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были ликвидированы последствия массового голода, усиливается рост многопольных севооборотов. Начали «работать» предпосылки, стимулирующие частного товаропроизводителя на расширение производства, что привело к восстановлению оптового рынка сельскохозяйственной продукции.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Неслучайно, что именно в этот период отмечается стремление к машинизации и электрификации производственных процессов, однако материально-технические возможности потенциальных пользователей были жестко ограничены. Поэтому из мукомольных предприятий особое экономическое значение приобрели мельницы на основе гидравлической и ветряной энергии. Эффективность производства привлекала в мукомольную промышленность частного инвестора, а активность мелких предпринимателей способствовала восстановлению и росту потенциала тепловых мельниц. Наращивался потенциал отечественной промышленности по производству мукомольного оборудования. Рассматриваемые аспекты способствовали возрождению мукомольного производства в губернии (табл. 2).</w:t>
      </w:r>
    </w:p>
    <w:p w:rsidR="00013420" w:rsidRPr="00B74F18" w:rsidRDefault="00013420" w:rsidP="00B74F18">
      <w:pPr>
        <w:pStyle w:val="a3"/>
        <w:widowControl w:val="0"/>
        <w:spacing w:line="360" w:lineRule="auto"/>
        <w:ind w:firstLine="709"/>
        <w:rPr>
          <w:szCs w:val="28"/>
        </w:rPr>
      </w:pPr>
      <w:r w:rsidRPr="00B74F18">
        <w:rPr>
          <w:szCs w:val="28"/>
        </w:rPr>
        <w:t xml:space="preserve">Данные таблицы свидетельствуют о заметно возросшем уровне машинизации в мукомольной промышленности. В </w:t>
      </w:r>
      <w:smartTag w:uri="urn:schemas-microsoft-com:office:smarttags" w:element="metricconverter">
        <w:smartTagPr>
          <w:attr w:name="ProductID" w:val="1922 г"/>
        </w:smartTagPr>
        <w:r w:rsidRPr="00B74F18">
          <w:rPr>
            <w:szCs w:val="28"/>
          </w:rPr>
          <w:t>1922 г</w:t>
        </w:r>
      </w:smartTag>
      <w:r w:rsidRPr="00B74F18">
        <w:rPr>
          <w:szCs w:val="28"/>
        </w:rPr>
        <w:t xml:space="preserve">. потенциал тепловых мельниц почти на 49 % превышал показатели относительно более «благополучного» </w:t>
      </w:r>
      <w:smartTag w:uri="urn:schemas-microsoft-com:office:smarttags" w:element="metricconverter">
        <w:smartTagPr>
          <w:attr w:name="ProductID" w:val="1915 г"/>
        </w:smartTagPr>
        <w:r w:rsidRPr="00B74F18">
          <w:rPr>
            <w:szCs w:val="28"/>
          </w:rPr>
          <w:t>1915 г</w:t>
        </w:r>
      </w:smartTag>
      <w:r w:rsidRPr="00B74F18">
        <w:rPr>
          <w:szCs w:val="28"/>
        </w:rPr>
        <w:t xml:space="preserve">. Всего в Рязанской губернии насчитывалось 702 ветряные мельницы и 288 водяных. 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Именно в годы нэпа стала актуальной передача государством мелких и убыточных предприятий в частные руки на правах аренды. Условия аренды были выгодными, оговаривалась только обязанность арендаторов провести капитальный и текущий ремонт оборудования. Уже по состоянию на </w:t>
      </w:r>
      <w:smartTag w:uri="urn:schemas-microsoft-com:office:smarttags" w:element="metricconverter">
        <w:smartTagPr>
          <w:attr w:name="ProductID" w:val="1924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1924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из общего числа действующих ветряных и водяных мельниц более 80 % были восстановлены частными предпринимателями, арендующими их у государства. Как известно, в </w:t>
      </w:r>
      <w:r w:rsidRPr="00B74F18">
        <w:rPr>
          <w:rFonts w:ascii="Times New Roman" w:hAnsi="Times New Roman"/>
          <w:sz w:val="28"/>
          <w:szCs w:val="28"/>
        </w:rPr>
        <w:t>XIX</w:t>
      </w:r>
      <w:r w:rsidRPr="00B74F18">
        <w:rPr>
          <w:rFonts w:ascii="Times New Roman" w:hAnsi="Times New Roman"/>
          <w:sz w:val="28"/>
          <w:szCs w:val="28"/>
          <w:lang w:val="ru-RU"/>
        </w:rPr>
        <w:t xml:space="preserve"> в. такая форма обслуживания и содержания была характерна в основном для сельской общины.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Всего в распоряжении губернского продовольственного комитета насчитывалось 173 действующие водяные мельницы, из них 8 эксплуатировались губернским трестом «Хлебопродукт». Это были наиболее крупные гидросиловые установки, производящие в месяц до 600 тыс. пудов муки. Оставшиеся 165 мельниц на основе реализации постановления Совнаркома РСФСР от 12 ноября </w:t>
      </w:r>
      <w:smartTag w:uri="urn:schemas-microsoft-com:office:smarttags" w:element="metricconverter">
        <w:smartTagPr>
          <w:attr w:name="ProductID" w:val="1923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1923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«О передаче бездействующего арендного фонда мелких промышленных предприятий в ведение низовых административных организаций» были переданы в ведение уездных, исполнительных комитетов трудящихся (уисполком) [7–8]. Всего в государственных организациях насчитывалось: 10 паровых мельниц (с годовой производительностью 416 тыс. пудов муки); 1 водяная мельница; 1 ветряная (2,4 тыс. пудов в год); 1 турбинная как разновидность водяной мельницы (108 т</w:t>
      </w:r>
      <w:r w:rsidR="008D4E54">
        <w:rPr>
          <w:rFonts w:ascii="Times New Roman" w:hAnsi="Times New Roman"/>
          <w:sz w:val="28"/>
          <w:szCs w:val="28"/>
          <w:lang w:val="ru-RU"/>
        </w:rPr>
        <w:t>ыс. пудов муки в год)</w:t>
      </w:r>
      <w:r w:rsidRPr="00B74F18">
        <w:rPr>
          <w:rFonts w:ascii="Times New Roman" w:hAnsi="Times New Roman"/>
          <w:sz w:val="28"/>
          <w:szCs w:val="28"/>
          <w:lang w:val="ru-RU"/>
        </w:rPr>
        <w:t>.</w:t>
      </w:r>
    </w:p>
    <w:p w:rsidR="00013420" w:rsidRPr="00B74F18" w:rsidRDefault="00013420" w:rsidP="00B74F18">
      <w:pPr>
        <w:pStyle w:val="a5"/>
        <w:widowControl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На начало на </w:t>
      </w:r>
      <w:smartTag w:uri="urn:schemas-microsoft-com:office:smarttags" w:element="metricconverter">
        <w:smartTagPr>
          <w:attr w:name="ProductID" w:val="192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в губернии насчитывалось 175 водяных и 10 паровых мельниц. Более точные данные отсутствуют, так как принятая в </w:t>
      </w:r>
      <w:smartTag w:uri="urn:schemas-microsoft-com:office:smarttags" w:element="metricconverter">
        <w:smartTagPr>
          <w:attr w:name="ProductID" w:val="1918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1918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 xml:space="preserve">. практика статистического учета так называемых «цензовых» предприятий создает объективные информационные трудности. К «цензовым» относились предприятия с количеством рабочих не менее 30 человек или имеющие тепловой двигатель при 16 рабочих. Соответственно в статистический учет не включалась основная часть ветряных и водяных мельниц. В виде исключения регистрировались мельницы с действующим числом не менее 5 помольных единиц (технологических поставов) независимо от количества занятых </w:t>
      </w:r>
      <w:r w:rsidR="008D4E54">
        <w:rPr>
          <w:rFonts w:ascii="Times New Roman" w:hAnsi="Times New Roman"/>
          <w:sz w:val="28"/>
          <w:szCs w:val="28"/>
          <w:lang w:val="ru-RU"/>
        </w:rPr>
        <w:t>в производстве рабочих</w:t>
      </w:r>
      <w:r w:rsidRPr="00B74F18">
        <w:rPr>
          <w:rFonts w:ascii="Times New Roman" w:hAnsi="Times New Roman"/>
          <w:sz w:val="28"/>
          <w:szCs w:val="28"/>
          <w:lang w:val="ru-RU"/>
        </w:rPr>
        <w:t>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Информация по ветряным мельницам еще более противоречива, даже по ведомственному учету. Ситуация осложняется в связи с проведением административной реформы в губернии. Вместе с тем </w:t>
      </w:r>
      <w:smartTag w:uri="urn:schemas-microsoft-com:office:smarttags" w:element="metricconverter">
        <w:smartTagPr>
          <w:attr w:name="ProductID" w:val="1925 г"/>
        </w:smartTagPr>
        <w:r w:rsidRPr="00B74F18">
          <w:rPr>
            <w:rFonts w:ascii="Times New Roman" w:hAnsi="Times New Roman"/>
            <w:sz w:val="28"/>
            <w:szCs w:val="28"/>
            <w:lang w:val="ru-RU"/>
          </w:rPr>
          <w:t>1925 г</w:t>
        </w:r>
      </w:smartTag>
      <w:r w:rsidRPr="00B74F18">
        <w:rPr>
          <w:rFonts w:ascii="Times New Roman" w:hAnsi="Times New Roman"/>
          <w:sz w:val="28"/>
          <w:szCs w:val="28"/>
          <w:lang w:val="ru-RU"/>
        </w:rPr>
        <w:t>. знаменателен как начальный этап стабилизации кризиса и одновременно как начало нового периода в хозяйственном использовании ресурсов энергии ветра и рек. В последующие десятилетия планомерный рост потенциала тепловых мельниц закономерно привел к сокращению потенциала ветряных и водяных мельниц. Не считая периода Великой Отечественной войны, все очевиднее проявлялись признаки экономической нецелесообразности эксплуатации ветряных и водяных мельниц. В результате действующий потенциал мукомольной промышленности на основе возобновляемой энергии к середине 1950-х гг. сократился минимум вдвое и был представлен 138 ветряными и 85 гидравлическими ме</w:t>
      </w:r>
      <w:r w:rsidR="008D4E54">
        <w:rPr>
          <w:rFonts w:ascii="Times New Roman" w:hAnsi="Times New Roman"/>
          <w:sz w:val="28"/>
          <w:szCs w:val="28"/>
          <w:lang w:val="ru-RU"/>
        </w:rPr>
        <w:t>льницам.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 xml:space="preserve">К концу 1950-х гг. успехи сельской электрификации в Рязанской области привели к началу массового процесса консервации ветряных и водяных мельниц. С начала 1960-х гг. эти силовые агрегаты полностью потеряли свою хозяйственную значимость. </w:t>
      </w:r>
    </w:p>
    <w:p w:rsidR="00013420" w:rsidRPr="00B74F18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027C1" w:rsidRDefault="005027C1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:rsidR="00013420" w:rsidRDefault="00013420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74F18">
        <w:rPr>
          <w:rFonts w:ascii="Times New Roman" w:hAnsi="Times New Roman"/>
          <w:sz w:val="28"/>
          <w:szCs w:val="28"/>
          <w:lang w:val="ru-RU"/>
        </w:rPr>
        <w:t>Литература</w:t>
      </w:r>
    </w:p>
    <w:p w:rsidR="005027C1" w:rsidRPr="00B74F18" w:rsidRDefault="005027C1" w:rsidP="00B74F1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13420" w:rsidRPr="00B74F18" w:rsidRDefault="00013420" w:rsidP="005027C1">
      <w:pPr>
        <w:widowControl w:val="0"/>
        <w:tabs>
          <w:tab w:val="left" w:pos="360"/>
        </w:tabs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1. Атаев З.А. Территориальная организация локальной энергетики ЦЭР России: Монография / З.А. Атаев ; Ряз. гос. ун-т им. С.А. Есенина. – М. ; Рязань : Изд-во МПСИ, 2006. – 344 с., 15 с. ил.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 xml:space="preserve">2. Атаева Н.А. Использование энергии ветра и рек в Рязанской (губернии) области в </w:t>
      </w:r>
      <w:r w:rsidRPr="00B74F18">
        <w:rPr>
          <w:rFonts w:ascii="Times New Roman" w:hAnsi="Times New Roman"/>
          <w:sz w:val="28"/>
          <w:szCs w:val="24"/>
        </w:rPr>
        <w:t>XIX</w:t>
      </w:r>
      <w:r w:rsidRPr="00B74F18">
        <w:rPr>
          <w:rFonts w:ascii="Times New Roman" w:hAnsi="Times New Roman"/>
          <w:sz w:val="28"/>
          <w:szCs w:val="24"/>
          <w:lang w:val="ru-RU"/>
        </w:rPr>
        <w:t>–</w:t>
      </w:r>
      <w:r w:rsidRPr="00B74F18">
        <w:rPr>
          <w:rFonts w:ascii="Times New Roman" w:hAnsi="Times New Roman"/>
          <w:sz w:val="28"/>
          <w:szCs w:val="24"/>
        </w:rPr>
        <w:t>XX</w:t>
      </w:r>
      <w:r w:rsidRPr="00B74F18">
        <w:rPr>
          <w:rFonts w:ascii="Times New Roman" w:hAnsi="Times New Roman"/>
          <w:sz w:val="28"/>
          <w:szCs w:val="24"/>
          <w:lang w:val="ru-RU"/>
        </w:rPr>
        <w:t xml:space="preserve"> вв.: экономико-географический аспект: Дис. … канд. геогр. наук / Ростовский гос. ун-т. – Ростов-на-Дону, 2004. – 194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3. БЭС. Т. 60. Холангит – Цянь / Гл. ред. О.Ю. Шмидт. – М.: Советская энциклопедия, 1934. – 799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4. Волконский Н.С. Неурожай в Рязанской губернии: Рассказ. – Рязань: Типолитография Н.Д. Малашкина, 1893. – 62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5. Историческая география России. Вопросы географии: Сб. / Геогр. о-во СССР; Под ред. Б.А. Рыбакова, Н.П. Никитина, Я.Е. Водарского. – М.: Мысль, 1970. – № 83. – 216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6. Материалы для географии и статистики России (собранные офицерами Генерального штаба): Рязанская губерния / Сост. М. Баранович. – СПб.: Общественная польза, 1860. – 551 с.</w:t>
      </w:r>
    </w:p>
    <w:p w:rsidR="00013420" w:rsidRPr="00B74F18" w:rsidRDefault="00013420" w:rsidP="005027C1">
      <w:pPr>
        <w:pStyle w:val="a3"/>
        <w:widowControl w:val="0"/>
        <w:spacing w:line="360" w:lineRule="auto"/>
      </w:pPr>
      <w:r w:rsidRPr="00B74F18">
        <w:t>7. Материалы мукомольного подотдела при Рязанском губернском продовольственном комитете. Списки мельниц по уездам губернии за 1919–1920 гг. // ГАРО. Ф. Р-324, оп. 1, д. 5.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8. Материалы Рязанской губернской плановой комиссии. Сектор сводного планирования; мукомольный подотдел при Рязанском губернском продовольственном комитете; состояние мельничного хозяйства по уездам Рязанской губернии за 1922–1924 гг. // ГАРО. Ф. Р-324, оп. 1, д. 250.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 xml:space="preserve">9. Материалы Рязанской областной плановой комиссии исполнительного комитета Рязанского областного Совета депутатов трудящихся. Промышленный сектор. Документы о строительстве, реконструкции и количестве мельниц в системе «Облмельтреста» за </w:t>
      </w:r>
      <w:smartTag w:uri="urn:schemas-microsoft-com:office:smarttags" w:element="metricconverter">
        <w:smartTagPr>
          <w:attr w:name="ProductID" w:val="1954 г"/>
        </w:smartTagPr>
        <w:r w:rsidRPr="00B74F18">
          <w:rPr>
            <w:rFonts w:ascii="Times New Roman" w:hAnsi="Times New Roman"/>
            <w:sz w:val="28"/>
            <w:szCs w:val="24"/>
            <w:lang w:val="ru-RU"/>
          </w:rPr>
          <w:t>1954 г</w:t>
        </w:r>
      </w:smartTag>
      <w:r w:rsidRPr="00B74F18">
        <w:rPr>
          <w:rFonts w:ascii="Times New Roman" w:hAnsi="Times New Roman"/>
          <w:sz w:val="28"/>
          <w:szCs w:val="24"/>
          <w:lang w:val="ru-RU"/>
        </w:rPr>
        <w:t>. // ГАРО. Ф. Р-4775, оп. 3, д. 810.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10. Населенные места Рязанской губернии / Рязгубстатком; Под ред. И.И. Проходцева. – Рязань, 1906. – 693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11. Осипов В.В. Экономическая география Рязанской губернии. – Рязань: Рязгостиполитография, 1925. – Вып. 2. – 253 с.</w:t>
      </w:r>
    </w:p>
    <w:p w:rsidR="00013420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4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12. Рязанский губернский хозяйственный план на 1924–1925 гг. / Рязанская губернская плановая комиссия. – Рязань: Гостиполитография, 1925. – 444 с.</w:t>
      </w:r>
    </w:p>
    <w:p w:rsidR="00D422C7" w:rsidRPr="00B74F18" w:rsidRDefault="00013420" w:rsidP="005027C1">
      <w:pPr>
        <w:widowControl w:val="0"/>
        <w:spacing w:after="0" w:line="360" w:lineRule="auto"/>
        <w:jc w:val="both"/>
        <w:rPr>
          <w:rFonts w:ascii="Times New Roman" w:hAnsi="Times New Roman"/>
          <w:sz w:val="28"/>
          <w:lang w:val="ru-RU"/>
        </w:rPr>
      </w:pPr>
      <w:r w:rsidRPr="00B74F18">
        <w:rPr>
          <w:rFonts w:ascii="Times New Roman" w:hAnsi="Times New Roman"/>
          <w:sz w:val="28"/>
          <w:szCs w:val="24"/>
          <w:lang w:val="ru-RU"/>
        </w:rPr>
        <w:t>13. Справочник по Рязанской губернии. Промышленные заведения. Фабрики и заводы / Рязанская губземуправа. – Рязань: Типография Н.В. Любомудрова, 1917. – Вып. 3. – 21 с.</w:t>
      </w:r>
      <w:bookmarkStart w:id="0" w:name="_GoBack"/>
      <w:bookmarkEnd w:id="0"/>
    </w:p>
    <w:sectPr w:rsidR="00D422C7" w:rsidRPr="00B74F18" w:rsidSect="00B74F18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entury Schoolbook"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13420"/>
    <w:rsid w:val="00013420"/>
    <w:rsid w:val="00167CB5"/>
    <w:rsid w:val="001A097B"/>
    <w:rsid w:val="00254E15"/>
    <w:rsid w:val="00327349"/>
    <w:rsid w:val="005027C1"/>
    <w:rsid w:val="008D4E54"/>
    <w:rsid w:val="00904EA6"/>
    <w:rsid w:val="00B74F18"/>
    <w:rsid w:val="00B92C0F"/>
    <w:rsid w:val="00BD2A69"/>
    <w:rsid w:val="00D422C7"/>
    <w:rsid w:val="00F14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  <w14:defaultImageDpi w14:val="0"/>
  <w15:chartTrackingRefBased/>
  <w15:docId w15:val="{9A8B9038-7652-4492-99B2-DDFECF496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3420"/>
    <w:pPr>
      <w:spacing w:after="200" w:line="276" w:lineRule="auto"/>
    </w:pPr>
    <w:rPr>
      <w:rFonts w:ascii="Century Schoolbook" w:eastAsia="SimSun" w:hAnsi="Century Schoolbook" w:cs="Times New Roman"/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"/>
    <w:qFormat/>
    <w:rsid w:val="00013420"/>
    <w:pPr>
      <w:keepNext/>
      <w:spacing w:after="0" w:line="240" w:lineRule="auto"/>
      <w:outlineLvl w:val="0"/>
    </w:pPr>
    <w:rPr>
      <w:rFonts w:ascii="Times New Roman" w:eastAsia="Times New Roman" w:hAnsi="Times New Roman"/>
      <w:sz w:val="28"/>
      <w:szCs w:val="24"/>
      <w:lang w:val="ru-RU" w:eastAsia="ru-RU"/>
    </w:rPr>
  </w:style>
  <w:style w:type="paragraph" w:styleId="2">
    <w:name w:val="heading 2"/>
    <w:basedOn w:val="a"/>
    <w:next w:val="a"/>
    <w:link w:val="20"/>
    <w:uiPriority w:val="9"/>
    <w:qFormat/>
    <w:rsid w:val="000134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8">
    <w:name w:val="heading 8"/>
    <w:basedOn w:val="a"/>
    <w:next w:val="a"/>
    <w:link w:val="80"/>
    <w:uiPriority w:val="9"/>
    <w:qFormat/>
    <w:rsid w:val="00013420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"/>
    <w:qFormat/>
    <w:rsid w:val="00013420"/>
    <w:pPr>
      <w:spacing w:before="240" w:after="60"/>
      <w:outlineLvl w:val="8"/>
    </w:pPr>
    <w:rPr>
      <w:rFonts w:ascii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013420"/>
    <w:rPr>
      <w:rFonts w:ascii="Times New Roman" w:hAnsi="Times New Roman" w:cs="Times New Roman"/>
      <w:sz w:val="24"/>
      <w:szCs w:val="24"/>
      <w:lang w:val="x-none" w:eastAsia="ru-RU"/>
    </w:rPr>
  </w:style>
  <w:style w:type="character" w:customStyle="1" w:styleId="20">
    <w:name w:val="Заголовок 2 Знак"/>
    <w:link w:val="2"/>
    <w:uiPriority w:val="9"/>
    <w:locked/>
    <w:rsid w:val="00013420"/>
    <w:rPr>
      <w:rFonts w:ascii="Arial" w:eastAsia="SimSun" w:hAnsi="Arial" w:cs="Arial"/>
      <w:b/>
      <w:bCs/>
      <w:i/>
      <w:iCs/>
      <w:sz w:val="28"/>
      <w:szCs w:val="28"/>
      <w:lang w:val="en-US" w:eastAsia="x-none"/>
    </w:rPr>
  </w:style>
  <w:style w:type="character" w:customStyle="1" w:styleId="80">
    <w:name w:val="Заголовок 8 Знак"/>
    <w:link w:val="8"/>
    <w:uiPriority w:val="9"/>
    <w:locked/>
    <w:rsid w:val="00013420"/>
    <w:rPr>
      <w:rFonts w:ascii="Times New Roman" w:eastAsia="SimSun" w:hAnsi="Times New Roman" w:cs="Times New Roman"/>
      <w:i/>
      <w:iCs/>
      <w:sz w:val="24"/>
      <w:szCs w:val="24"/>
      <w:lang w:val="en-US" w:eastAsia="x-none"/>
    </w:rPr>
  </w:style>
  <w:style w:type="character" w:customStyle="1" w:styleId="90">
    <w:name w:val="Заголовок 9 Знак"/>
    <w:link w:val="9"/>
    <w:uiPriority w:val="9"/>
    <w:locked/>
    <w:rsid w:val="00013420"/>
    <w:rPr>
      <w:rFonts w:ascii="Arial" w:eastAsia="SimSun" w:hAnsi="Arial" w:cs="Arial"/>
      <w:lang w:val="en-US" w:eastAsia="x-none"/>
    </w:rPr>
  </w:style>
  <w:style w:type="paragraph" w:styleId="a3">
    <w:name w:val="Body Text"/>
    <w:basedOn w:val="a"/>
    <w:link w:val="a4"/>
    <w:uiPriority w:val="99"/>
    <w:semiHidden/>
    <w:rsid w:val="00013420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val="ru-RU" w:eastAsia="ru-RU"/>
    </w:rPr>
  </w:style>
  <w:style w:type="character" w:customStyle="1" w:styleId="a4">
    <w:name w:val="Основной текст Знак"/>
    <w:link w:val="a3"/>
    <w:uiPriority w:val="99"/>
    <w:semiHidden/>
    <w:locked/>
    <w:rsid w:val="00013420"/>
    <w:rPr>
      <w:rFonts w:ascii="Times New Roman" w:hAnsi="Times New Roman" w:cs="Times New Roman"/>
      <w:sz w:val="24"/>
      <w:szCs w:val="24"/>
      <w:lang w:val="x-none" w:eastAsia="ru-RU"/>
    </w:rPr>
  </w:style>
  <w:style w:type="paragraph" w:styleId="a5">
    <w:name w:val="Body Text Indent"/>
    <w:basedOn w:val="a"/>
    <w:link w:val="a6"/>
    <w:uiPriority w:val="99"/>
    <w:rsid w:val="00013420"/>
    <w:pPr>
      <w:spacing w:after="120"/>
      <w:ind w:left="283"/>
    </w:pPr>
  </w:style>
  <w:style w:type="character" w:customStyle="1" w:styleId="a6">
    <w:name w:val="Основной текст с отступом Знак"/>
    <w:link w:val="a5"/>
    <w:uiPriority w:val="99"/>
    <w:locked/>
    <w:rsid w:val="00013420"/>
    <w:rPr>
      <w:rFonts w:ascii="Century Schoolbook" w:eastAsia="SimSun" w:hAnsi="Century Schoolbook" w:cs="Times New Roman"/>
      <w:lang w:val="en-US" w:eastAsia="x-none"/>
    </w:rPr>
  </w:style>
  <w:style w:type="paragraph" w:styleId="3">
    <w:name w:val="Body Text Indent 3"/>
    <w:basedOn w:val="a"/>
    <w:link w:val="30"/>
    <w:uiPriority w:val="99"/>
    <w:semiHidden/>
    <w:rsid w:val="00013420"/>
    <w:pPr>
      <w:spacing w:after="120"/>
      <w:ind w:left="283"/>
    </w:pPr>
    <w:rPr>
      <w:rFonts w:ascii="Calibri" w:eastAsia="Times New Roman" w:hAnsi="Calibri"/>
      <w:sz w:val="16"/>
      <w:szCs w:val="16"/>
      <w:lang w:val="ru-RU" w:eastAsia="ru-RU"/>
    </w:rPr>
  </w:style>
  <w:style w:type="character" w:customStyle="1" w:styleId="30">
    <w:name w:val="Основной текст с отступом 3 Знак"/>
    <w:link w:val="3"/>
    <w:uiPriority w:val="99"/>
    <w:semiHidden/>
    <w:locked/>
    <w:rsid w:val="00013420"/>
    <w:rPr>
      <w:rFonts w:ascii="Calibri" w:hAnsi="Calibri" w:cs="Times New Roman"/>
      <w:sz w:val="16"/>
      <w:szCs w:val="16"/>
      <w:lang w:val="x-none" w:eastAsia="ru-RU"/>
    </w:rPr>
  </w:style>
  <w:style w:type="paragraph" w:customStyle="1" w:styleId="a7">
    <w:name w:val="Знак Знак Знак Знак Знак Знак Знак"/>
    <w:basedOn w:val="a"/>
    <w:rsid w:val="00013420"/>
    <w:pPr>
      <w:spacing w:after="160" w:line="240" w:lineRule="exact"/>
    </w:pPr>
    <w:rPr>
      <w:rFonts w:ascii="Verdana" w:eastAsia="Times New Roman" w:hAnsi="Verdana" w:cs="Verdana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D422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D422C7"/>
    <w:rPr>
      <w:rFonts w:ascii="Tahoma" w:eastAsia="SimSun" w:hAnsi="Tahoma" w:cs="Tahoma"/>
      <w:sz w:val="16"/>
      <w:szCs w:val="16"/>
      <w:lang w:val="en-US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3620</Words>
  <Characters>20640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авдеева</dc:creator>
  <cp:keywords/>
  <dc:description/>
  <cp:lastModifiedBy>admin</cp:lastModifiedBy>
  <cp:revision>2</cp:revision>
  <dcterms:created xsi:type="dcterms:W3CDTF">2014-03-22T13:15:00Z</dcterms:created>
  <dcterms:modified xsi:type="dcterms:W3CDTF">2014-03-22T13:15:00Z</dcterms:modified>
</cp:coreProperties>
</file>