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5D9" w:rsidRPr="00011582" w:rsidRDefault="00D535D9" w:rsidP="00011582">
      <w:pPr>
        <w:pStyle w:val="1"/>
        <w:keepNext w:val="0"/>
        <w:widowControl w:val="0"/>
        <w:spacing w:line="360" w:lineRule="auto"/>
        <w:ind w:firstLine="709"/>
        <w:contextualSpacing/>
        <w:jc w:val="both"/>
        <w:rPr>
          <w:szCs w:val="28"/>
        </w:rPr>
      </w:pPr>
      <w:r w:rsidRPr="00011582">
        <w:rPr>
          <w:szCs w:val="28"/>
        </w:rPr>
        <w:t>Наукова систематизація об’єктів політичної карти світу</w:t>
      </w:r>
    </w:p>
    <w:p w:rsidR="00011582" w:rsidRDefault="00011582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</w:p>
    <w:p w:rsidR="008C61D5" w:rsidRPr="00011582" w:rsidRDefault="004C649E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sz w:val="28"/>
          <w:szCs w:val="28"/>
          <w:lang w:val="uk-UA"/>
        </w:rPr>
        <w:t>Ватикан, Італія, Росія та Китай – держави, але перша є лише кварталом в межах столиці другої, а за розмірами державної території і чисельністю населення поступається двом останнім у мільйони разів.</w:t>
      </w:r>
      <w:r w:rsidR="00927E19" w:rsidRPr="00011582">
        <w:rPr>
          <w:sz w:val="28"/>
          <w:szCs w:val="28"/>
          <w:lang w:val="uk-UA"/>
        </w:rPr>
        <w:t xml:space="preserve"> </w:t>
      </w:r>
      <w:r w:rsidR="008C3E5D" w:rsidRPr="00011582">
        <w:rPr>
          <w:sz w:val="28"/>
          <w:szCs w:val="28"/>
          <w:lang w:val="uk-UA"/>
        </w:rPr>
        <w:t>Отже, в</w:t>
      </w:r>
      <w:r w:rsidR="00927E19" w:rsidRPr="00011582">
        <w:rPr>
          <w:sz w:val="28"/>
          <w:szCs w:val="28"/>
          <w:lang w:val="uk-UA"/>
        </w:rPr>
        <w:t>иникає потреба у певному впорядкуванні різноманітної кількісної та якісної інформації про об’єкти політичної карти світу.</w:t>
      </w:r>
    </w:p>
    <w:p w:rsidR="004C649E" w:rsidRPr="00011582" w:rsidRDefault="004C649E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sz w:val="28"/>
          <w:szCs w:val="28"/>
          <w:lang w:val="uk-UA"/>
        </w:rPr>
        <w:t xml:space="preserve">Саме розміри і географічне положення батьківщини становлять ті базові відомості із сфери усієї географічної науки, які національна (етнічна) свідомість засвоює першими. Відчувати масштаб, ранг своєї країни в ряду інших </w:t>
      </w:r>
      <w:r w:rsidR="00927E19" w:rsidRPr="00011582">
        <w:rPr>
          <w:sz w:val="28"/>
          <w:szCs w:val="28"/>
          <w:lang w:val="uk-UA"/>
        </w:rPr>
        <w:t>–</w:t>
      </w:r>
      <w:r w:rsidRPr="00011582">
        <w:rPr>
          <w:sz w:val="28"/>
          <w:szCs w:val="28"/>
          <w:lang w:val="uk-UA"/>
        </w:rPr>
        <w:t xml:space="preserve"> природна потреба громадянина. Але суб’єктивні відчуття не завжди співпадають з об’єктивним науковим знанням.</w:t>
      </w:r>
    </w:p>
    <w:p w:rsidR="008C61D5" w:rsidRPr="00011582" w:rsidRDefault="00FA418E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sz w:val="28"/>
          <w:szCs w:val="28"/>
          <w:lang w:val="uk-UA"/>
        </w:rPr>
        <w:t>Раніше вже відзначалося (див. лекцію № 4), що систематизація може здійснюватися різними шляхами.</w:t>
      </w:r>
      <w:r w:rsidR="00A61711" w:rsidRPr="00011582">
        <w:rPr>
          <w:sz w:val="28"/>
          <w:szCs w:val="28"/>
          <w:lang w:val="uk-UA"/>
        </w:rPr>
        <w:t xml:space="preserve"> Результати вертикальної (ознакової) систематизації країн можуть бути представленими у вигляді класифікації або типізації.</w:t>
      </w:r>
      <w:r w:rsidRPr="00011582">
        <w:rPr>
          <w:sz w:val="28"/>
          <w:szCs w:val="28"/>
          <w:lang w:val="uk-UA"/>
        </w:rPr>
        <w:t xml:space="preserve"> В основі класифікацій лежать певні кількісні параметри (наприклад, площа або чисельність населення</w:t>
      </w:r>
      <w:r w:rsidR="00B17319" w:rsidRPr="00011582">
        <w:rPr>
          <w:sz w:val="28"/>
          <w:szCs w:val="28"/>
          <w:lang w:val="uk-UA"/>
        </w:rPr>
        <w:t>, валовий національний продукт, середня або очікувана тривалість життя, індекс розвитку людського потенціалу тощо</w:t>
      </w:r>
      <w:r w:rsidRPr="00011582">
        <w:rPr>
          <w:sz w:val="28"/>
          <w:szCs w:val="28"/>
          <w:lang w:val="uk-UA"/>
        </w:rPr>
        <w:t>)</w:t>
      </w:r>
      <w:r w:rsidR="00EB3CAA" w:rsidRPr="00011582">
        <w:rPr>
          <w:sz w:val="28"/>
          <w:szCs w:val="28"/>
          <w:lang w:val="uk-UA"/>
        </w:rPr>
        <w:t xml:space="preserve">, </w:t>
      </w:r>
      <w:r w:rsidR="00A61711" w:rsidRPr="00011582">
        <w:rPr>
          <w:sz w:val="28"/>
          <w:szCs w:val="28"/>
          <w:lang w:val="uk-UA"/>
        </w:rPr>
        <w:t>які найбільш ґрунтовно</w:t>
      </w:r>
      <w:r w:rsidR="00EB3CAA" w:rsidRPr="00011582">
        <w:rPr>
          <w:sz w:val="28"/>
          <w:szCs w:val="28"/>
          <w:lang w:val="uk-UA"/>
        </w:rPr>
        <w:t xml:space="preserve"> характеризують країни.</w:t>
      </w:r>
    </w:p>
    <w:p w:rsidR="00CD09D9" w:rsidRPr="00011582" w:rsidRDefault="00CD09D9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sz w:val="28"/>
          <w:szCs w:val="28"/>
          <w:lang w:val="uk-UA"/>
        </w:rPr>
        <w:t xml:space="preserve">Диференціація країн за площею відображена у таблиці </w:t>
      </w:r>
      <w:r w:rsidR="00C516A2" w:rsidRPr="00011582">
        <w:rPr>
          <w:sz w:val="28"/>
          <w:szCs w:val="28"/>
          <w:lang w:val="uk-UA"/>
        </w:rPr>
        <w:t>13</w:t>
      </w:r>
      <w:r w:rsidRPr="00011582">
        <w:rPr>
          <w:sz w:val="28"/>
          <w:szCs w:val="28"/>
          <w:lang w:val="uk-UA"/>
        </w:rPr>
        <w:t>.</w:t>
      </w:r>
      <w:r w:rsidR="0031260B" w:rsidRPr="00011582">
        <w:rPr>
          <w:sz w:val="28"/>
          <w:szCs w:val="28"/>
          <w:lang w:val="uk-UA"/>
        </w:rPr>
        <w:t>1.</w:t>
      </w:r>
    </w:p>
    <w:p w:rsidR="00011582" w:rsidRDefault="00011582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</w:p>
    <w:p w:rsidR="008C61D5" w:rsidRPr="00011582" w:rsidRDefault="008C61D5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sz w:val="28"/>
          <w:szCs w:val="28"/>
          <w:lang w:val="uk-UA"/>
        </w:rPr>
        <w:t xml:space="preserve">Таблиця </w:t>
      </w:r>
      <w:r w:rsidR="00C516A2" w:rsidRPr="00011582">
        <w:rPr>
          <w:sz w:val="28"/>
          <w:szCs w:val="28"/>
          <w:lang w:val="uk-UA"/>
        </w:rPr>
        <w:t>13</w:t>
      </w:r>
      <w:r w:rsidRPr="00011582">
        <w:rPr>
          <w:sz w:val="28"/>
          <w:szCs w:val="28"/>
          <w:lang w:val="uk-UA"/>
        </w:rPr>
        <w:t>.</w:t>
      </w:r>
      <w:r w:rsidR="0031260B" w:rsidRPr="00011582">
        <w:rPr>
          <w:sz w:val="28"/>
          <w:szCs w:val="28"/>
          <w:lang w:val="uk-UA"/>
        </w:rPr>
        <w:t>1.</w:t>
      </w:r>
    </w:p>
    <w:p w:rsidR="008C61D5" w:rsidRPr="00011582" w:rsidRDefault="00FA418E" w:rsidP="00011582">
      <w:pPr>
        <w:widowControl w:val="0"/>
        <w:spacing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  <w:r w:rsidRPr="00011582">
        <w:rPr>
          <w:b/>
          <w:i/>
          <w:sz w:val="28"/>
          <w:szCs w:val="28"/>
          <w:lang w:val="uk-UA"/>
        </w:rPr>
        <w:t>Класифіка</w:t>
      </w:r>
      <w:r w:rsidR="008C61D5" w:rsidRPr="00011582">
        <w:rPr>
          <w:b/>
          <w:i/>
          <w:sz w:val="28"/>
          <w:szCs w:val="28"/>
          <w:lang w:val="uk-UA"/>
        </w:rPr>
        <w:t>ція</w:t>
      </w:r>
      <w:r w:rsidR="008C61D5" w:rsidRPr="00011582">
        <w:rPr>
          <w:b/>
          <w:sz w:val="28"/>
          <w:szCs w:val="28"/>
          <w:lang w:val="uk-UA"/>
        </w:rPr>
        <w:t xml:space="preserve"> країн світу за розмірами території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5"/>
        <w:gridCol w:w="1510"/>
        <w:gridCol w:w="1582"/>
        <w:gridCol w:w="2090"/>
        <w:gridCol w:w="2473"/>
      </w:tblGrid>
      <w:tr w:rsidR="00E71500" w:rsidRPr="00011582" w:rsidTr="00271B24">
        <w:tc>
          <w:tcPr>
            <w:tcW w:w="1970" w:type="dxa"/>
            <w:vAlign w:val="center"/>
          </w:tcPr>
          <w:p w:rsidR="00E71500" w:rsidRPr="00011582" w:rsidRDefault="00E71500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Група країн</w:t>
            </w:r>
          </w:p>
        </w:tc>
        <w:tc>
          <w:tcPr>
            <w:tcW w:w="1558" w:type="dxa"/>
            <w:vAlign w:val="center"/>
          </w:tcPr>
          <w:p w:rsidR="00E71500" w:rsidRPr="00011582" w:rsidRDefault="00E71500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Площа</w:t>
            </w:r>
          </w:p>
        </w:tc>
        <w:tc>
          <w:tcPr>
            <w:tcW w:w="1620" w:type="dxa"/>
            <w:vAlign w:val="center"/>
          </w:tcPr>
          <w:p w:rsidR="00E71500" w:rsidRPr="00011582" w:rsidRDefault="00E71500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Кількість країн</w:t>
            </w:r>
          </w:p>
        </w:tc>
        <w:tc>
          <w:tcPr>
            <w:tcW w:w="2160" w:type="dxa"/>
            <w:vAlign w:val="center"/>
          </w:tcPr>
          <w:p w:rsidR="00E71500" w:rsidRPr="00011582" w:rsidRDefault="00E71500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Частка суходолу, яку вони займають (%)</w:t>
            </w:r>
          </w:p>
        </w:tc>
        <w:tc>
          <w:tcPr>
            <w:tcW w:w="2546" w:type="dxa"/>
            <w:vAlign w:val="center"/>
          </w:tcPr>
          <w:p w:rsidR="00E71500" w:rsidRPr="00011582" w:rsidRDefault="00E71500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Приклади країн</w:t>
            </w:r>
          </w:p>
        </w:tc>
      </w:tr>
      <w:tr w:rsidR="00E71500" w:rsidRPr="00011582" w:rsidTr="00271B24">
        <w:tc>
          <w:tcPr>
            <w:tcW w:w="1970" w:type="dxa"/>
            <w:vAlign w:val="center"/>
          </w:tcPr>
          <w:p w:rsidR="00E71500" w:rsidRPr="00011582" w:rsidRDefault="00E71500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Гігантські</w:t>
            </w:r>
          </w:p>
        </w:tc>
        <w:tc>
          <w:tcPr>
            <w:tcW w:w="1558" w:type="dxa"/>
            <w:vAlign w:val="center"/>
          </w:tcPr>
          <w:p w:rsidR="00E71500" w:rsidRPr="00011582" w:rsidRDefault="00E71500" w:rsidP="00011582">
            <w:pPr>
              <w:widowControl w:val="0"/>
              <w:spacing w:line="360" w:lineRule="auto"/>
              <w:contextualSpacing/>
              <w:jc w:val="both"/>
              <w:rPr>
                <w:vertAlign w:val="superscript"/>
                <w:lang w:val="uk-UA"/>
              </w:rPr>
            </w:pPr>
            <w:r w:rsidRPr="00011582">
              <w:rPr>
                <w:lang w:val="uk-UA"/>
              </w:rPr>
              <w:t>&gt;3 млн. км</w:t>
            </w:r>
            <w:r w:rsidRPr="00011582">
              <w:rPr>
                <w:vertAlign w:val="superscript"/>
                <w:lang w:val="uk-UA"/>
              </w:rPr>
              <w:t>2</w:t>
            </w:r>
          </w:p>
        </w:tc>
        <w:tc>
          <w:tcPr>
            <w:tcW w:w="1620" w:type="dxa"/>
            <w:vAlign w:val="center"/>
          </w:tcPr>
          <w:p w:rsidR="00E71500" w:rsidRPr="00011582" w:rsidRDefault="00E71500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7</w:t>
            </w:r>
          </w:p>
        </w:tc>
        <w:tc>
          <w:tcPr>
            <w:tcW w:w="2160" w:type="dxa"/>
            <w:vAlign w:val="center"/>
          </w:tcPr>
          <w:p w:rsidR="00E71500" w:rsidRPr="00011582" w:rsidRDefault="003F5CBF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46,5</w:t>
            </w:r>
          </w:p>
        </w:tc>
        <w:tc>
          <w:tcPr>
            <w:tcW w:w="2546" w:type="dxa"/>
            <w:vAlign w:val="center"/>
          </w:tcPr>
          <w:p w:rsidR="00E71500" w:rsidRPr="00011582" w:rsidRDefault="003F5CBF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Росія, Канада, Китай, США, Бразилія, Австралія, Індія</w:t>
            </w:r>
          </w:p>
        </w:tc>
      </w:tr>
      <w:tr w:rsidR="00E71500" w:rsidRPr="00011582" w:rsidTr="00271B24">
        <w:tc>
          <w:tcPr>
            <w:tcW w:w="1970" w:type="dxa"/>
            <w:vAlign w:val="center"/>
          </w:tcPr>
          <w:p w:rsidR="00E71500" w:rsidRPr="00011582" w:rsidRDefault="00E71500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Великі</w:t>
            </w:r>
          </w:p>
        </w:tc>
        <w:tc>
          <w:tcPr>
            <w:tcW w:w="1558" w:type="dxa"/>
            <w:vAlign w:val="center"/>
          </w:tcPr>
          <w:p w:rsidR="00E71500" w:rsidRPr="00011582" w:rsidRDefault="003F5CBF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1-3 млн. км</w:t>
            </w:r>
            <w:r w:rsidRPr="00011582">
              <w:rPr>
                <w:vertAlign w:val="superscript"/>
                <w:lang w:val="uk-UA"/>
              </w:rPr>
              <w:t>2</w:t>
            </w:r>
          </w:p>
        </w:tc>
        <w:tc>
          <w:tcPr>
            <w:tcW w:w="1620" w:type="dxa"/>
            <w:vAlign w:val="center"/>
          </w:tcPr>
          <w:p w:rsidR="00E71500" w:rsidRPr="00011582" w:rsidRDefault="004862AA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23</w:t>
            </w:r>
          </w:p>
        </w:tc>
        <w:tc>
          <w:tcPr>
            <w:tcW w:w="2160" w:type="dxa"/>
            <w:vAlign w:val="center"/>
          </w:tcPr>
          <w:p w:rsidR="00E71500" w:rsidRPr="00011582" w:rsidRDefault="003F5CBF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28,5</w:t>
            </w:r>
          </w:p>
        </w:tc>
        <w:tc>
          <w:tcPr>
            <w:tcW w:w="2546" w:type="dxa"/>
            <w:vAlign w:val="center"/>
          </w:tcPr>
          <w:p w:rsidR="00E71500" w:rsidRPr="00011582" w:rsidRDefault="004862AA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Аргентина, Казахстан, ПАР, Саудівська Аравія, Мексика, Нігерія, Індонезія, Іран</w:t>
            </w:r>
            <w:r w:rsidR="00EB3CAA" w:rsidRPr="00011582">
              <w:rPr>
                <w:lang w:val="uk-UA"/>
              </w:rPr>
              <w:t>, Монголія</w:t>
            </w:r>
            <w:r w:rsidR="00334B2E" w:rsidRPr="00011582">
              <w:rPr>
                <w:lang w:val="uk-UA"/>
              </w:rPr>
              <w:t>, Перу, Судан</w:t>
            </w:r>
          </w:p>
        </w:tc>
      </w:tr>
      <w:tr w:rsidR="00E71500" w:rsidRPr="00011582" w:rsidTr="00271B24">
        <w:tc>
          <w:tcPr>
            <w:tcW w:w="1970" w:type="dxa"/>
            <w:vAlign w:val="center"/>
          </w:tcPr>
          <w:p w:rsidR="00E71500" w:rsidRPr="00011582" w:rsidRDefault="00E71500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Середні</w:t>
            </w:r>
          </w:p>
        </w:tc>
        <w:tc>
          <w:tcPr>
            <w:tcW w:w="1558" w:type="dxa"/>
            <w:vAlign w:val="center"/>
          </w:tcPr>
          <w:p w:rsidR="00E71500" w:rsidRPr="00011582" w:rsidRDefault="004862AA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250 тис. – 1 млн. км</w:t>
            </w:r>
            <w:r w:rsidRPr="00011582">
              <w:rPr>
                <w:vertAlign w:val="superscript"/>
                <w:lang w:val="uk-UA"/>
              </w:rPr>
              <w:t>2</w:t>
            </w:r>
          </w:p>
        </w:tc>
        <w:tc>
          <w:tcPr>
            <w:tcW w:w="1620" w:type="dxa"/>
            <w:vAlign w:val="center"/>
          </w:tcPr>
          <w:p w:rsidR="00E71500" w:rsidRPr="00011582" w:rsidRDefault="00B937B1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≈5</w:t>
            </w:r>
            <w:r w:rsidR="004862AA" w:rsidRPr="00011582">
              <w:rPr>
                <w:lang w:val="uk-UA"/>
              </w:rPr>
              <w:t>0</w:t>
            </w:r>
          </w:p>
        </w:tc>
        <w:tc>
          <w:tcPr>
            <w:tcW w:w="2160" w:type="dxa"/>
            <w:vAlign w:val="center"/>
          </w:tcPr>
          <w:p w:rsidR="00E71500" w:rsidRPr="00011582" w:rsidRDefault="0077118C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15</w:t>
            </w:r>
          </w:p>
        </w:tc>
        <w:tc>
          <w:tcPr>
            <w:tcW w:w="2546" w:type="dxa"/>
            <w:vAlign w:val="center"/>
          </w:tcPr>
          <w:p w:rsidR="00E71500" w:rsidRPr="00011582" w:rsidRDefault="004862AA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Україна, Туреччина, Пакистан, Франція, Мадагаскар, Іспанія, ФРН, Польща</w:t>
            </w:r>
            <w:r w:rsidR="00EB3CAA" w:rsidRPr="00011582">
              <w:rPr>
                <w:lang w:val="uk-UA"/>
              </w:rPr>
              <w:t>, Чилі</w:t>
            </w:r>
          </w:p>
        </w:tc>
      </w:tr>
      <w:tr w:rsidR="00E71500" w:rsidRPr="00011582" w:rsidTr="00271B24">
        <w:tc>
          <w:tcPr>
            <w:tcW w:w="1970" w:type="dxa"/>
            <w:vAlign w:val="center"/>
          </w:tcPr>
          <w:p w:rsidR="00E71500" w:rsidRPr="00011582" w:rsidRDefault="00E71500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Малі</w:t>
            </w:r>
          </w:p>
        </w:tc>
        <w:tc>
          <w:tcPr>
            <w:tcW w:w="1558" w:type="dxa"/>
            <w:vAlign w:val="center"/>
          </w:tcPr>
          <w:p w:rsidR="00E71500" w:rsidRPr="00011582" w:rsidRDefault="00D76884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3</w:t>
            </w:r>
            <w:r w:rsidR="004862AA" w:rsidRPr="00011582">
              <w:rPr>
                <w:lang w:val="uk-UA"/>
              </w:rPr>
              <w:t>-250 тис. км</w:t>
            </w:r>
            <w:r w:rsidR="004862AA" w:rsidRPr="00011582">
              <w:rPr>
                <w:vertAlign w:val="superscript"/>
                <w:lang w:val="uk-UA"/>
              </w:rPr>
              <w:t>2</w:t>
            </w:r>
          </w:p>
        </w:tc>
        <w:tc>
          <w:tcPr>
            <w:tcW w:w="1620" w:type="dxa"/>
            <w:vAlign w:val="center"/>
          </w:tcPr>
          <w:p w:rsidR="00E71500" w:rsidRPr="00011582" w:rsidRDefault="00B937B1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≈</w:t>
            </w:r>
            <w:r w:rsidR="004862AA" w:rsidRPr="00011582">
              <w:rPr>
                <w:lang w:val="uk-UA"/>
              </w:rPr>
              <w:t>100</w:t>
            </w:r>
          </w:p>
        </w:tc>
        <w:tc>
          <w:tcPr>
            <w:tcW w:w="2160" w:type="dxa"/>
            <w:vAlign w:val="center"/>
          </w:tcPr>
          <w:p w:rsidR="00E71500" w:rsidRPr="00011582" w:rsidRDefault="004862AA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10</w:t>
            </w:r>
          </w:p>
        </w:tc>
        <w:tc>
          <w:tcPr>
            <w:tcW w:w="2546" w:type="dxa"/>
            <w:vAlign w:val="center"/>
          </w:tcPr>
          <w:p w:rsidR="00E71500" w:rsidRPr="00011582" w:rsidRDefault="00B937B1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Латвія, Литва, Естонія, Угорщина, Чехія, Молдова</w:t>
            </w:r>
            <w:r w:rsidR="00334B2E" w:rsidRPr="00011582">
              <w:rPr>
                <w:lang w:val="uk-UA"/>
              </w:rPr>
              <w:t>, Македонія</w:t>
            </w:r>
          </w:p>
        </w:tc>
      </w:tr>
      <w:tr w:rsidR="00E71500" w:rsidRPr="00011582" w:rsidTr="00271B24">
        <w:tc>
          <w:tcPr>
            <w:tcW w:w="1970" w:type="dxa"/>
            <w:vAlign w:val="center"/>
          </w:tcPr>
          <w:p w:rsidR="00E71500" w:rsidRPr="00011582" w:rsidRDefault="00E71500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Карликові</w:t>
            </w:r>
          </w:p>
        </w:tc>
        <w:tc>
          <w:tcPr>
            <w:tcW w:w="1558" w:type="dxa"/>
            <w:vAlign w:val="center"/>
          </w:tcPr>
          <w:p w:rsidR="00E71500" w:rsidRPr="00011582" w:rsidRDefault="00D76884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&lt;3</w:t>
            </w:r>
            <w:r w:rsidR="004862AA" w:rsidRPr="00011582">
              <w:rPr>
                <w:lang w:val="uk-UA"/>
              </w:rPr>
              <w:t xml:space="preserve"> тис. км</w:t>
            </w:r>
            <w:r w:rsidR="004862AA" w:rsidRPr="00011582">
              <w:rPr>
                <w:vertAlign w:val="superscript"/>
                <w:lang w:val="uk-UA"/>
              </w:rPr>
              <w:t>2</w:t>
            </w:r>
          </w:p>
        </w:tc>
        <w:tc>
          <w:tcPr>
            <w:tcW w:w="1620" w:type="dxa"/>
            <w:vAlign w:val="center"/>
          </w:tcPr>
          <w:p w:rsidR="00E71500" w:rsidRPr="00011582" w:rsidRDefault="00B937B1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≈50</w:t>
            </w:r>
          </w:p>
        </w:tc>
        <w:tc>
          <w:tcPr>
            <w:tcW w:w="2160" w:type="dxa"/>
            <w:vAlign w:val="center"/>
          </w:tcPr>
          <w:p w:rsidR="00E71500" w:rsidRPr="00011582" w:rsidRDefault="0077118C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незначна</w:t>
            </w:r>
          </w:p>
        </w:tc>
        <w:tc>
          <w:tcPr>
            <w:tcW w:w="2546" w:type="dxa"/>
            <w:vAlign w:val="center"/>
          </w:tcPr>
          <w:p w:rsidR="00E71500" w:rsidRPr="00011582" w:rsidRDefault="00B937B1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Люксембург, Монако, Ліхтенштейн, Ватикан</w:t>
            </w:r>
          </w:p>
        </w:tc>
      </w:tr>
    </w:tbl>
    <w:p w:rsidR="008C61D5" w:rsidRPr="00011582" w:rsidRDefault="008C61D5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</w:p>
    <w:p w:rsidR="008C61D5" w:rsidRPr="00011582" w:rsidRDefault="0077118C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sz w:val="28"/>
          <w:szCs w:val="28"/>
          <w:lang w:val="uk-UA"/>
        </w:rPr>
        <w:t>Найбільшою країною світу за площею є Росія – 17, 1 млн. км</w:t>
      </w:r>
      <w:r w:rsidRPr="00011582">
        <w:rPr>
          <w:sz w:val="28"/>
          <w:szCs w:val="28"/>
          <w:vertAlign w:val="superscript"/>
          <w:lang w:val="uk-UA"/>
        </w:rPr>
        <w:t>2</w:t>
      </w:r>
      <w:r w:rsidR="003B2C6A" w:rsidRPr="00011582">
        <w:rPr>
          <w:sz w:val="28"/>
          <w:szCs w:val="28"/>
          <w:lang w:val="uk-UA"/>
        </w:rPr>
        <w:t xml:space="preserve"> (це 11,5% суходолу Землі)</w:t>
      </w:r>
      <w:r w:rsidRPr="00011582">
        <w:rPr>
          <w:sz w:val="28"/>
          <w:szCs w:val="28"/>
          <w:lang w:val="uk-UA"/>
        </w:rPr>
        <w:t>, найменшою – Ватикан (0,44 км</w:t>
      </w:r>
      <w:r w:rsidRPr="00011582">
        <w:rPr>
          <w:sz w:val="28"/>
          <w:szCs w:val="28"/>
          <w:vertAlign w:val="superscript"/>
          <w:lang w:val="uk-UA"/>
        </w:rPr>
        <w:t>2</w:t>
      </w:r>
      <w:r w:rsidRPr="00011582">
        <w:rPr>
          <w:sz w:val="28"/>
          <w:szCs w:val="28"/>
          <w:lang w:val="uk-UA"/>
        </w:rPr>
        <w:t xml:space="preserve"> або </w:t>
      </w:r>
      <w:smartTag w:uri="urn:schemas-microsoft-com:office:smarttags" w:element="metricconverter">
        <w:smartTagPr>
          <w:attr w:name="ProductID" w:val="44 га"/>
        </w:smartTagPr>
        <w:r w:rsidRPr="00011582">
          <w:rPr>
            <w:sz w:val="28"/>
            <w:szCs w:val="28"/>
            <w:lang w:val="uk-UA"/>
          </w:rPr>
          <w:t>44 га</w:t>
        </w:r>
      </w:smartTag>
      <w:r w:rsidRPr="00011582">
        <w:rPr>
          <w:sz w:val="28"/>
          <w:szCs w:val="28"/>
          <w:lang w:val="uk-UA"/>
        </w:rPr>
        <w:t>).</w:t>
      </w:r>
    </w:p>
    <w:p w:rsidR="00655B11" w:rsidRPr="00011582" w:rsidRDefault="00655B11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sz w:val="28"/>
          <w:szCs w:val="28"/>
          <w:lang w:val="uk-UA"/>
        </w:rPr>
        <w:t xml:space="preserve">Середні і малі країни мають свої переваги: </w:t>
      </w:r>
      <w:r w:rsidR="000334CA" w:rsidRPr="00011582">
        <w:rPr>
          <w:sz w:val="28"/>
          <w:szCs w:val="28"/>
          <w:lang w:val="uk-UA"/>
        </w:rPr>
        <w:t xml:space="preserve">компактність та згуртованість суспільства, економію на «фіктивних сферах» – армії, бюрократії. Натомість </w:t>
      </w:r>
      <w:r w:rsidR="00D62220" w:rsidRPr="00011582">
        <w:rPr>
          <w:sz w:val="28"/>
          <w:szCs w:val="28"/>
          <w:lang w:val="uk-UA"/>
        </w:rPr>
        <w:t>у них гостріше стоять проблеми залежності, зовнішнього економічного та етнокультурного «тиску», відпливу найкращих кадрів при напливі іммігрантів.</w:t>
      </w:r>
      <w:r w:rsidR="003D6958" w:rsidRPr="00011582">
        <w:rPr>
          <w:sz w:val="28"/>
          <w:szCs w:val="28"/>
          <w:lang w:val="uk-UA"/>
        </w:rPr>
        <w:t xml:space="preserve"> У гігантів все навпаки, хоча їх окремі райони мають ті ж проблеми. Великий простір породжує проблему «тертя» і внутрішніх зв’язків, котрі на околицях конкурують із зовнішніми (наприклад,</w:t>
      </w:r>
      <w:r w:rsidR="00BE2EF4" w:rsidRPr="00011582">
        <w:rPr>
          <w:sz w:val="28"/>
          <w:szCs w:val="28"/>
          <w:lang w:val="uk-UA"/>
        </w:rPr>
        <w:t xml:space="preserve"> як</w:t>
      </w:r>
      <w:r w:rsidR="003D6958" w:rsidRPr="00011582">
        <w:rPr>
          <w:sz w:val="28"/>
          <w:szCs w:val="28"/>
          <w:lang w:val="uk-UA"/>
        </w:rPr>
        <w:t xml:space="preserve"> в Канаді, чия «ойкумена» тягнеться вздовж кордону із США.</w:t>
      </w:r>
      <w:r w:rsidR="00847541" w:rsidRPr="00011582">
        <w:rPr>
          <w:sz w:val="28"/>
          <w:szCs w:val="28"/>
          <w:lang w:val="uk-UA"/>
        </w:rPr>
        <w:t xml:space="preserve"> А у США можливість «добігти» до канадського або мексиканського кордону є благом для злочинців і злом для правосуддя).</w:t>
      </w:r>
    </w:p>
    <w:p w:rsidR="003D0CFC" w:rsidRPr="00011582" w:rsidRDefault="003D0CFC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sz w:val="28"/>
          <w:szCs w:val="28"/>
          <w:lang w:val="uk-UA"/>
        </w:rPr>
        <w:t>Національна економіка гігантських і великих країн схильна до універсалізму, автаркії, мілітаризації, розвиток вглиб часто підмінюється банальним розширенням (</w:t>
      </w:r>
      <w:r w:rsidR="00CA1150" w:rsidRPr="00011582">
        <w:rPr>
          <w:sz w:val="28"/>
          <w:szCs w:val="28"/>
          <w:lang w:val="uk-UA"/>
        </w:rPr>
        <w:t xml:space="preserve">освоєнням нових </w:t>
      </w:r>
      <w:r w:rsidRPr="00011582">
        <w:rPr>
          <w:sz w:val="28"/>
          <w:szCs w:val="28"/>
          <w:lang w:val="uk-UA"/>
        </w:rPr>
        <w:t>територі</w:t>
      </w:r>
      <w:r w:rsidR="00CA1150" w:rsidRPr="00011582">
        <w:rPr>
          <w:sz w:val="28"/>
          <w:szCs w:val="28"/>
          <w:lang w:val="uk-UA"/>
        </w:rPr>
        <w:t>й – своєрідною внутрішньою колонізацією</w:t>
      </w:r>
      <w:r w:rsidRPr="00011582">
        <w:rPr>
          <w:sz w:val="28"/>
          <w:szCs w:val="28"/>
          <w:lang w:val="uk-UA"/>
        </w:rPr>
        <w:t>). Економікам гігантських</w:t>
      </w:r>
      <w:r w:rsidR="00244548" w:rsidRPr="00011582">
        <w:rPr>
          <w:sz w:val="28"/>
          <w:szCs w:val="28"/>
          <w:lang w:val="uk-UA"/>
        </w:rPr>
        <w:t xml:space="preserve"> країн не вдається пропускати певні стадії розвитку або проходити їх за прискореною програмою (слон більш неповороткий та менш вправний, ніж миша).</w:t>
      </w:r>
      <w:r w:rsidR="00BE2EF4" w:rsidRPr="00011582">
        <w:rPr>
          <w:sz w:val="28"/>
          <w:szCs w:val="28"/>
          <w:lang w:val="uk-UA"/>
        </w:rPr>
        <w:t xml:space="preserve"> На великих територіях </w:t>
      </w:r>
      <w:r w:rsidR="00CA1150" w:rsidRPr="00011582">
        <w:rPr>
          <w:sz w:val="28"/>
          <w:szCs w:val="28"/>
          <w:lang w:val="uk-UA"/>
        </w:rPr>
        <w:t xml:space="preserve">національній </w:t>
      </w:r>
      <w:r w:rsidR="00BE2EF4" w:rsidRPr="00011582">
        <w:rPr>
          <w:sz w:val="28"/>
          <w:szCs w:val="28"/>
          <w:lang w:val="uk-UA"/>
        </w:rPr>
        <w:t>економіці часто загрожує розпилення.</w:t>
      </w:r>
    </w:p>
    <w:p w:rsidR="008C61D5" w:rsidRPr="00011582" w:rsidRDefault="00334B2E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sz w:val="28"/>
          <w:szCs w:val="28"/>
          <w:lang w:val="uk-UA"/>
        </w:rPr>
        <w:t xml:space="preserve">Важливою характеристикою країн є </w:t>
      </w:r>
      <w:r w:rsidRPr="00011582">
        <w:rPr>
          <w:b/>
          <w:sz w:val="28"/>
          <w:szCs w:val="28"/>
          <w:lang w:val="uk-UA"/>
        </w:rPr>
        <w:t>чисельність їх населення</w:t>
      </w:r>
      <w:r w:rsidRPr="00011582">
        <w:rPr>
          <w:sz w:val="28"/>
          <w:szCs w:val="28"/>
          <w:lang w:val="uk-UA"/>
        </w:rPr>
        <w:t xml:space="preserve">, тому за цією ознакою також проводять </w:t>
      </w:r>
      <w:r w:rsidRPr="00011582">
        <w:rPr>
          <w:b/>
          <w:i/>
          <w:sz w:val="28"/>
          <w:szCs w:val="28"/>
          <w:lang w:val="uk-UA"/>
        </w:rPr>
        <w:t>класифікацію</w:t>
      </w:r>
      <w:r w:rsidRPr="00011582">
        <w:rPr>
          <w:sz w:val="28"/>
          <w:szCs w:val="28"/>
          <w:lang w:val="uk-UA"/>
        </w:rPr>
        <w:t xml:space="preserve"> (виділяються країни найбільші, значні, середні, дрібні).</w:t>
      </w:r>
    </w:p>
    <w:p w:rsidR="00334B2E" w:rsidRPr="00011582" w:rsidRDefault="00334B2E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sz w:val="28"/>
          <w:szCs w:val="28"/>
          <w:lang w:val="uk-UA"/>
        </w:rPr>
        <w:t xml:space="preserve">До </w:t>
      </w:r>
      <w:r w:rsidRPr="00011582">
        <w:rPr>
          <w:i/>
          <w:sz w:val="28"/>
          <w:szCs w:val="28"/>
          <w:lang w:val="uk-UA"/>
        </w:rPr>
        <w:t>найбільших</w:t>
      </w:r>
      <w:r w:rsidRPr="00011582">
        <w:rPr>
          <w:sz w:val="28"/>
          <w:szCs w:val="28"/>
          <w:lang w:val="uk-UA"/>
        </w:rPr>
        <w:t xml:space="preserve"> відносять країни, що мають більше 100 млн. осіб населення, зараз в світі таких налічується 11: Китай, Індія, США, Індонезія, Бразилія, Пакистан, Росія, Бангладеш, Японія, Нігерія, Мексика.</w:t>
      </w:r>
    </w:p>
    <w:p w:rsidR="00334B2E" w:rsidRPr="00011582" w:rsidRDefault="00334B2E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i/>
          <w:sz w:val="28"/>
          <w:szCs w:val="28"/>
          <w:lang w:val="uk-UA"/>
        </w:rPr>
        <w:t>Значні</w:t>
      </w:r>
      <w:r w:rsidRPr="00011582">
        <w:rPr>
          <w:sz w:val="28"/>
          <w:szCs w:val="28"/>
          <w:lang w:val="uk-UA"/>
        </w:rPr>
        <w:t xml:space="preserve"> країни мають від 40 до 100 млн. осіб населення: серед них знаходиться Україна, а також ФРН, Великобританія, Франція, Італія, Туреччина, Єгипет, Таїланд та інші.</w:t>
      </w:r>
    </w:p>
    <w:p w:rsidR="008C61D5" w:rsidRPr="00011582" w:rsidRDefault="00E0697B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i/>
          <w:sz w:val="28"/>
          <w:szCs w:val="28"/>
          <w:lang w:val="uk-UA"/>
        </w:rPr>
        <w:t>Середні</w:t>
      </w:r>
      <w:r w:rsidRPr="00011582">
        <w:rPr>
          <w:sz w:val="28"/>
          <w:szCs w:val="28"/>
          <w:lang w:val="uk-UA"/>
        </w:rPr>
        <w:t xml:space="preserve"> країни налічують від 1 до 40 млн. осіб. До них відносяться Алжир, Аргентина, Канада, Непал, Польща, Румунія, Танзанія, Уганда і т.д.</w:t>
      </w:r>
    </w:p>
    <w:p w:rsidR="00E0697B" w:rsidRPr="00011582" w:rsidRDefault="00F0007F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i/>
          <w:sz w:val="28"/>
          <w:szCs w:val="28"/>
          <w:lang w:val="uk-UA"/>
        </w:rPr>
        <w:t>Дрібні</w:t>
      </w:r>
      <w:r w:rsidRPr="00011582">
        <w:rPr>
          <w:sz w:val="28"/>
          <w:szCs w:val="28"/>
          <w:lang w:val="uk-UA"/>
        </w:rPr>
        <w:t xml:space="preserve"> мають менше 1 млн. осіб населення: Соломонові Острови, Барбадос, Бахрейн, Бруней, Вануату, Гренада, Джібуті, Домініка, Науру, Палау, Тонга, Тувалу та інші.</w:t>
      </w:r>
    </w:p>
    <w:p w:rsidR="00CC0BF0" w:rsidRPr="00011582" w:rsidRDefault="00704F9F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sz w:val="28"/>
          <w:szCs w:val="28"/>
          <w:lang w:val="uk-UA"/>
        </w:rPr>
        <w:t>Абсолютно найбільшою державою світу за чисельністю населення є Китай (1,3 млрд. мешканців). Найменшою державою світу є Ватикан (менше 1 тис. громадян), найменшою країною світу є британське володіння Піткерн</w:t>
      </w:r>
      <w:r w:rsidR="00B17319" w:rsidRPr="00011582">
        <w:rPr>
          <w:sz w:val="28"/>
          <w:szCs w:val="28"/>
          <w:lang w:val="uk-UA"/>
        </w:rPr>
        <w:t xml:space="preserve"> (72 мешканці), що загубилося у південно-східній частині Тихого океану.</w:t>
      </w:r>
    </w:p>
    <w:p w:rsidR="008C61D5" w:rsidRPr="00011582" w:rsidRDefault="00301989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sz w:val="28"/>
          <w:szCs w:val="28"/>
          <w:lang w:val="uk-UA"/>
        </w:rPr>
        <w:t>Однозначно оцінити</w:t>
      </w:r>
      <w:r w:rsidR="00917A8C" w:rsidRPr="00011582">
        <w:rPr>
          <w:sz w:val="28"/>
          <w:szCs w:val="28"/>
          <w:lang w:val="uk-UA"/>
        </w:rPr>
        <w:t xml:space="preserve"> значення цього показника неможливо. </w:t>
      </w:r>
      <w:r w:rsidR="005E1434" w:rsidRPr="00011582">
        <w:rPr>
          <w:sz w:val="28"/>
          <w:szCs w:val="28"/>
          <w:lang w:val="uk-UA"/>
        </w:rPr>
        <w:t xml:space="preserve">З одного боку, більше населення – більше трудових ресурсів, більше можливостей здійснювати </w:t>
      </w:r>
      <w:r w:rsidR="001B2B29" w:rsidRPr="00011582">
        <w:rPr>
          <w:sz w:val="28"/>
          <w:szCs w:val="28"/>
          <w:lang w:val="uk-UA"/>
        </w:rPr>
        <w:t xml:space="preserve">потужні господарські і політичні </w:t>
      </w:r>
      <w:r w:rsidR="005E1434" w:rsidRPr="00011582">
        <w:rPr>
          <w:sz w:val="28"/>
          <w:szCs w:val="28"/>
          <w:lang w:val="uk-UA"/>
        </w:rPr>
        <w:t>проекти; з іншого боку – з</w:t>
      </w:r>
      <w:r w:rsidR="00917A8C" w:rsidRPr="00011582">
        <w:rPr>
          <w:sz w:val="28"/>
          <w:szCs w:val="28"/>
          <w:lang w:val="uk-UA"/>
        </w:rPr>
        <w:t xml:space="preserve"> великим населенням часто пов’язані проблеми </w:t>
      </w:r>
      <w:r w:rsidR="003D0CFC" w:rsidRPr="00011582">
        <w:rPr>
          <w:sz w:val="28"/>
          <w:szCs w:val="28"/>
          <w:lang w:val="uk-UA"/>
        </w:rPr>
        <w:t>поєднання національної, регіональної і локальної ідентичності, а також соціальної політки. У найбільших країнах важко позбавитися контрастів: навіть якщо багатолюдна країна у середньому багатша, все рівно в ній більше число незаможних.</w:t>
      </w:r>
    </w:p>
    <w:p w:rsidR="00523D65" w:rsidRPr="00011582" w:rsidRDefault="00C57C47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sz w:val="28"/>
          <w:szCs w:val="28"/>
          <w:lang w:val="uk-UA"/>
        </w:rPr>
        <w:t xml:space="preserve">Для оцінки </w:t>
      </w:r>
      <w:r w:rsidRPr="00011582">
        <w:rPr>
          <w:b/>
          <w:sz w:val="28"/>
          <w:szCs w:val="28"/>
          <w:lang w:val="uk-UA"/>
        </w:rPr>
        <w:t>рівня економічного розвитку</w:t>
      </w:r>
      <w:r w:rsidRPr="00011582">
        <w:rPr>
          <w:sz w:val="28"/>
          <w:szCs w:val="28"/>
          <w:lang w:val="uk-UA"/>
        </w:rPr>
        <w:t xml:space="preserve"> можна використовувати такі показники як валовий </w:t>
      </w:r>
      <w:r w:rsidR="00534FD5" w:rsidRPr="00011582">
        <w:rPr>
          <w:sz w:val="28"/>
          <w:szCs w:val="28"/>
          <w:lang w:val="uk-UA"/>
        </w:rPr>
        <w:t xml:space="preserve">внутрішній </w:t>
      </w:r>
      <w:r w:rsidRPr="00011582">
        <w:rPr>
          <w:sz w:val="28"/>
          <w:szCs w:val="28"/>
          <w:lang w:val="uk-UA"/>
        </w:rPr>
        <w:t xml:space="preserve">продукт або валовий </w:t>
      </w:r>
      <w:r w:rsidR="00534FD5" w:rsidRPr="00011582">
        <w:rPr>
          <w:sz w:val="28"/>
          <w:szCs w:val="28"/>
          <w:lang w:val="uk-UA"/>
        </w:rPr>
        <w:t xml:space="preserve">національний </w:t>
      </w:r>
      <w:r w:rsidRPr="00011582">
        <w:rPr>
          <w:sz w:val="28"/>
          <w:szCs w:val="28"/>
          <w:lang w:val="uk-UA"/>
        </w:rPr>
        <w:t>продукт. З метою порівняння різних за чисельністю населення країн ці показники розраховуються на 1 особу.</w:t>
      </w:r>
    </w:p>
    <w:p w:rsidR="00C57C47" w:rsidRPr="00011582" w:rsidRDefault="00C57C47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b/>
          <w:sz w:val="28"/>
          <w:szCs w:val="28"/>
          <w:lang w:val="uk-UA"/>
        </w:rPr>
        <w:t>Валовий внутрішній продукт (ВВП)</w:t>
      </w:r>
      <w:r w:rsidRPr="00011582">
        <w:rPr>
          <w:sz w:val="28"/>
          <w:szCs w:val="28"/>
          <w:lang w:val="uk-UA"/>
        </w:rPr>
        <w:t xml:space="preserve"> – макропоказник економіки, який розраховується як сукупна вартість кінцевої продукції підприємств, галузей виробничої сфери і сфери послуг, вироблена на території країни, у т.ч. і тих підприємств, які належать іноземним власникам.</w:t>
      </w:r>
    </w:p>
    <w:p w:rsidR="00C57C47" w:rsidRPr="00011582" w:rsidRDefault="00C57C47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b/>
          <w:sz w:val="28"/>
          <w:szCs w:val="28"/>
          <w:lang w:val="uk-UA"/>
        </w:rPr>
        <w:t>Валовий національний продукт (ВНП)</w:t>
      </w:r>
      <w:r w:rsidRPr="00011582">
        <w:rPr>
          <w:sz w:val="28"/>
          <w:szCs w:val="28"/>
          <w:lang w:val="uk-UA"/>
        </w:rPr>
        <w:t xml:space="preserve"> – вартість товарів і послуг, вироблених національними суб’єктами підприємництва (заводами, фабриками, організаціями і приватними особами) за рік, незалежно від їх територіального місцезнаходження. Різниця між показниками ВВП і ВНП незначна (1-2%).</w:t>
      </w:r>
    </w:p>
    <w:p w:rsidR="00A54A16" w:rsidRPr="00011582" w:rsidRDefault="00A54A16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sz w:val="28"/>
          <w:szCs w:val="28"/>
          <w:lang w:val="uk-UA"/>
        </w:rPr>
        <w:t>Світовий банк реконструкції і розвитку (СБРР) спільно з Міжнародним Валютним Фонд</w:t>
      </w:r>
      <w:r w:rsidR="0031260B" w:rsidRPr="00011582">
        <w:rPr>
          <w:sz w:val="28"/>
          <w:szCs w:val="28"/>
          <w:lang w:val="uk-UA"/>
        </w:rPr>
        <w:t>ом (МВФ) розробили</w:t>
      </w:r>
      <w:r w:rsidRPr="00011582">
        <w:rPr>
          <w:sz w:val="28"/>
          <w:szCs w:val="28"/>
          <w:lang w:val="uk-UA"/>
        </w:rPr>
        <w:t xml:space="preserve"> методику такої класифікації країн (див. табл. </w:t>
      </w:r>
      <w:r w:rsidR="00C516A2" w:rsidRPr="00011582">
        <w:rPr>
          <w:sz w:val="28"/>
          <w:szCs w:val="28"/>
          <w:lang w:val="uk-UA"/>
        </w:rPr>
        <w:t>13</w:t>
      </w:r>
      <w:r w:rsidRPr="00011582">
        <w:rPr>
          <w:sz w:val="28"/>
          <w:szCs w:val="28"/>
          <w:lang w:val="uk-UA"/>
        </w:rPr>
        <w:t>.2)</w:t>
      </w:r>
      <w:r w:rsidR="0031260B" w:rsidRPr="00011582">
        <w:rPr>
          <w:sz w:val="28"/>
          <w:szCs w:val="28"/>
          <w:lang w:val="uk-UA"/>
        </w:rPr>
        <w:t xml:space="preserve"> на основі другого показника (ВНП на душу населення)</w:t>
      </w:r>
      <w:r w:rsidRPr="00011582">
        <w:rPr>
          <w:sz w:val="28"/>
          <w:szCs w:val="28"/>
          <w:lang w:val="uk-UA"/>
        </w:rPr>
        <w:t>.</w:t>
      </w:r>
      <w:r w:rsidR="004157B0" w:rsidRPr="00011582">
        <w:rPr>
          <w:sz w:val="28"/>
          <w:szCs w:val="28"/>
          <w:lang w:val="uk-UA"/>
        </w:rPr>
        <w:t xml:space="preserve"> Інколи цю класифікаційну схему так і називають «</w:t>
      </w:r>
      <w:r w:rsidR="004157B0" w:rsidRPr="00011582">
        <w:rPr>
          <w:i/>
          <w:sz w:val="28"/>
          <w:szCs w:val="28"/>
          <w:lang w:val="uk-UA"/>
        </w:rPr>
        <w:t>класифікацією Світового Банку</w:t>
      </w:r>
      <w:r w:rsidR="004157B0" w:rsidRPr="00011582">
        <w:rPr>
          <w:sz w:val="28"/>
          <w:szCs w:val="28"/>
          <w:lang w:val="uk-UA"/>
        </w:rPr>
        <w:t>»</w:t>
      </w:r>
      <w:r w:rsidR="00C5285A" w:rsidRPr="00011582">
        <w:rPr>
          <w:sz w:val="28"/>
          <w:szCs w:val="28"/>
          <w:lang w:val="uk-UA"/>
        </w:rPr>
        <w:t>, адже залежно від положення в ній країни можуть розраховувати на певні обсяги кредитів, різні терміни їх повертання, визначені розміри відсоткової ставки, деякі пільги тощо</w:t>
      </w:r>
      <w:r w:rsidR="004157B0" w:rsidRPr="00011582">
        <w:rPr>
          <w:sz w:val="28"/>
          <w:szCs w:val="28"/>
          <w:lang w:val="uk-UA"/>
        </w:rPr>
        <w:t>.</w:t>
      </w:r>
    </w:p>
    <w:p w:rsidR="00011582" w:rsidRDefault="00011582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</w:p>
    <w:p w:rsidR="00991001" w:rsidRPr="00011582" w:rsidRDefault="00991001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sz w:val="28"/>
          <w:szCs w:val="28"/>
          <w:lang w:val="uk-UA"/>
        </w:rPr>
        <w:t xml:space="preserve">Таблиця </w:t>
      </w:r>
      <w:r w:rsidR="00C516A2" w:rsidRPr="00011582">
        <w:rPr>
          <w:sz w:val="28"/>
          <w:szCs w:val="28"/>
          <w:lang w:val="uk-UA"/>
        </w:rPr>
        <w:t>13</w:t>
      </w:r>
      <w:r w:rsidR="0031260B" w:rsidRPr="00011582">
        <w:rPr>
          <w:sz w:val="28"/>
          <w:szCs w:val="28"/>
          <w:lang w:val="uk-UA"/>
        </w:rPr>
        <w:t>.</w:t>
      </w:r>
      <w:r w:rsidRPr="00011582">
        <w:rPr>
          <w:sz w:val="28"/>
          <w:szCs w:val="28"/>
          <w:lang w:val="uk-UA"/>
        </w:rPr>
        <w:t>2.</w:t>
      </w:r>
    </w:p>
    <w:p w:rsidR="00991001" w:rsidRPr="00011582" w:rsidRDefault="00991001" w:rsidP="00011582">
      <w:pPr>
        <w:widowControl w:val="0"/>
        <w:spacing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  <w:r w:rsidRPr="00011582">
        <w:rPr>
          <w:b/>
          <w:sz w:val="28"/>
          <w:szCs w:val="28"/>
          <w:lang w:val="uk-UA"/>
        </w:rPr>
        <w:t>Критерії оцінки рівня економічного розвитку країн світу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2"/>
        <w:gridCol w:w="2955"/>
        <w:gridCol w:w="3173"/>
      </w:tblGrid>
      <w:tr w:rsidR="008F4F5C" w:rsidRPr="00011582" w:rsidTr="00271B24">
        <w:tc>
          <w:tcPr>
            <w:tcW w:w="3528" w:type="dxa"/>
            <w:vAlign w:val="center"/>
          </w:tcPr>
          <w:p w:rsidR="008F4F5C" w:rsidRPr="00011582" w:rsidRDefault="008F4F5C" w:rsidP="00011582">
            <w:pPr>
              <w:widowControl w:val="0"/>
              <w:spacing w:line="360" w:lineRule="auto"/>
              <w:contextualSpacing/>
              <w:jc w:val="both"/>
              <w:rPr>
                <w:b/>
                <w:lang w:val="uk-UA"/>
              </w:rPr>
            </w:pPr>
            <w:r w:rsidRPr="00011582">
              <w:rPr>
                <w:b/>
                <w:lang w:val="uk-UA"/>
              </w:rPr>
              <w:t>Класи країн</w:t>
            </w:r>
          </w:p>
        </w:tc>
        <w:tc>
          <w:tcPr>
            <w:tcW w:w="3041" w:type="dxa"/>
          </w:tcPr>
          <w:p w:rsidR="008F4F5C" w:rsidRPr="00011582" w:rsidRDefault="008F4F5C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Рівень економічного розвитку</w:t>
            </w:r>
          </w:p>
        </w:tc>
        <w:tc>
          <w:tcPr>
            <w:tcW w:w="3285" w:type="dxa"/>
          </w:tcPr>
          <w:p w:rsidR="008F4F5C" w:rsidRPr="00011582" w:rsidRDefault="008F4F5C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ВНП на душу населення,</w:t>
            </w:r>
          </w:p>
          <w:p w:rsidR="008F4F5C" w:rsidRPr="00011582" w:rsidRDefault="008F4F5C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$ на рік</w:t>
            </w:r>
          </w:p>
        </w:tc>
      </w:tr>
      <w:tr w:rsidR="008F4F5C" w:rsidRPr="00011582" w:rsidTr="00271B24">
        <w:tc>
          <w:tcPr>
            <w:tcW w:w="3528" w:type="dxa"/>
            <w:vMerge w:val="restart"/>
            <w:vAlign w:val="center"/>
          </w:tcPr>
          <w:p w:rsidR="008F4F5C" w:rsidRPr="00011582" w:rsidRDefault="008F4F5C" w:rsidP="00011582">
            <w:pPr>
              <w:widowControl w:val="0"/>
              <w:spacing w:line="360" w:lineRule="auto"/>
              <w:contextualSpacing/>
              <w:jc w:val="both"/>
              <w:rPr>
                <w:b/>
                <w:i/>
                <w:lang w:val="uk-UA"/>
              </w:rPr>
            </w:pPr>
            <w:r w:rsidRPr="00011582">
              <w:rPr>
                <w:b/>
                <w:i/>
                <w:lang w:val="uk-UA"/>
              </w:rPr>
              <w:t>Високорозвинені країни</w:t>
            </w:r>
          </w:p>
        </w:tc>
        <w:tc>
          <w:tcPr>
            <w:tcW w:w="3041" w:type="dxa"/>
          </w:tcPr>
          <w:p w:rsidR="008F4F5C" w:rsidRPr="00011582" w:rsidRDefault="008F4F5C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дуже високий</w:t>
            </w:r>
          </w:p>
        </w:tc>
        <w:tc>
          <w:tcPr>
            <w:tcW w:w="3285" w:type="dxa"/>
          </w:tcPr>
          <w:p w:rsidR="008F4F5C" w:rsidRPr="00011582" w:rsidRDefault="00C43876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&gt; 20000</w:t>
            </w:r>
          </w:p>
        </w:tc>
      </w:tr>
      <w:tr w:rsidR="008F4F5C" w:rsidRPr="00011582" w:rsidTr="00271B24">
        <w:tc>
          <w:tcPr>
            <w:tcW w:w="3528" w:type="dxa"/>
            <w:vMerge/>
            <w:vAlign w:val="center"/>
          </w:tcPr>
          <w:p w:rsidR="008F4F5C" w:rsidRPr="00011582" w:rsidRDefault="008F4F5C" w:rsidP="00011582">
            <w:pPr>
              <w:widowControl w:val="0"/>
              <w:spacing w:line="360" w:lineRule="auto"/>
              <w:contextualSpacing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3041" w:type="dxa"/>
          </w:tcPr>
          <w:p w:rsidR="008F4F5C" w:rsidRPr="00011582" w:rsidRDefault="008F4F5C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високий</w:t>
            </w:r>
          </w:p>
        </w:tc>
        <w:tc>
          <w:tcPr>
            <w:tcW w:w="3285" w:type="dxa"/>
          </w:tcPr>
          <w:p w:rsidR="008F4F5C" w:rsidRPr="00011582" w:rsidRDefault="00C43876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10000 – 19999</w:t>
            </w:r>
          </w:p>
        </w:tc>
      </w:tr>
      <w:tr w:rsidR="008F4F5C" w:rsidRPr="00011582" w:rsidTr="00271B24">
        <w:tc>
          <w:tcPr>
            <w:tcW w:w="3528" w:type="dxa"/>
            <w:vMerge w:val="restart"/>
            <w:vAlign w:val="center"/>
          </w:tcPr>
          <w:p w:rsidR="008F4F5C" w:rsidRPr="00011582" w:rsidRDefault="008F4F5C" w:rsidP="00011582">
            <w:pPr>
              <w:widowControl w:val="0"/>
              <w:spacing w:line="360" w:lineRule="auto"/>
              <w:contextualSpacing/>
              <w:jc w:val="both"/>
              <w:rPr>
                <w:b/>
                <w:i/>
                <w:lang w:val="uk-UA"/>
              </w:rPr>
            </w:pPr>
            <w:r w:rsidRPr="00011582">
              <w:rPr>
                <w:b/>
                <w:i/>
                <w:lang w:val="uk-UA"/>
              </w:rPr>
              <w:t>Середньорозвинені країни</w:t>
            </w:r>
          </w:p>
        </w:tc>
        <w:tc>
          <w:tcPr>
            <w:tcW w:w="3041" w:type="dxa"/>
          </w:tcPr>
          <w:p w:rsidR="008F4F5C" w:rsidRPr="00011582" w:rsidRDefault="008F4F5C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середній</w:t>
            </w:r>
          </w:p>
        </w:tc>
        <w:tc>
          <w:tcPr>
            <w:tcW w:w="3285" w:type="dxa"/>
          </w:tcPr>
          <w:p w:rsidR="008F4F5C" w:rsidRPr="00011582" w:rsidRDefault="00C43876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5000 – 9999</w:t>
            </w:r>
          </w:p>
        </w:tc>
      </w:tr>
      <w:tr w:rsidR="008F4F5C" w:rsidRPr="00011582" w:rsidTr="00271B24">
        <w:tc>
          <w:tcPr>
            <w:tcW w:w="3528" w:type="dxa"/>
            <w:vMerge/>
            <w:vAlign w:val="center"/>
          </w:tcPr>
          <w:p w:rsidR="008F4F5C" w:rsidRPr="00011582" w:rsidRDefault="008F4F5C" w:rsidP="00011582">
            <w:pPr>
              <w:widowControl w:val="0"/>
              <w:spacing w:line="360" w:lineRule="auto"/>
              <w:contextualSpacing/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3041" w:type="dxa"/>
          </w:tcPr>
          <w:p w:rsidR="008F4F5C" w:rsidRPr="00011582" w:rsidRDefault="00DE3F6E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нижче середнього</w:t>
            </w:r>
          </w:p>
        </w:tc>
        <w:tc>
          <w:tcPr>
            <w:tcW w:w="3285" w:type="dxa"/>
          </w:tcPr>
          <w:p w:rsidR="008F4F5C" w:rsidRPr="00011582" w:rsidRDefault="00C43876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1000 – 4999</w:t>
            </w:r>
          </w:p>
        </w:tc>
      </w:tr>
      <w:tr w:rsidR="008F4F5C" w:rsidRPr="00011582" w:rsidTr="00271B24">
        <w:tc>
          <w:tcPr>
            <w:tcW w:w="3528" w:type="dxa"/>
            <w:vMerge w:val="restart"/>
            <w:vAlign w:val="center"/>
          </w:tcPr>
          <w:p w:rsidR="008F4F5C" w:rsidRPr="00011582" w:rsidRDefault="008F4F5C" w:rsidP="00011582">
            <w:pPr>
              <w:widowControl w:val="0"/>
              <w:spacing w:line="360" w:lineRule="auto"/>
              <w:contextualSpacing/>
              <w:jc w:val="both"/>
              <w:rPr>
                <w:b/>
                <w:i/>
                <w:lang w:val="uk-UA"/>
              </w:rPr>
            </w:pPr>
            <w:r w:rsidRPr="00011582">
              <w:rPr>
                <w:b/>
                <w:i/>
                <w:lang w:val="uk-UA"/>
              </w:rPr>
              <w:t>Низькорозвинені країни</w:t>
            </w:r>
          </w:p>
        </w:tc>
        <w:tc>
          <w:tcPr>
            <w:tcW w:w="3041" w:type="dxa"/>
          </w:tcPr>
          <w:p w:rsidR="008F4F5C" w:rsidRPr="00011582" w:rsidRDefault="00DD3B94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низький</w:t>
            </w:r>
          </w:p>
        </w:tc>
        <w:tc>
          <w:tcPr>
            <w:tcW w:w="3285" w:type="dxa"/>
          </w:tcPr>
          <w:p w:rsidR="008F4F5C" w:rsidRPr="00011582" w:rsidRDefault="00C43876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500 – 999</w:t>
            </w:r>
          </w:p>
        </w:tc>
      </w:tr>
      <w:tr w:rsidR="008F4F5C" w:rsidRPr="00011582" w:rsidTr="00271B24">
        <w:tc>
          <w:tcPr>
            <w:tcW w:w="3528" w:type="dxa"/>
            <w:vMerge/>
          </w:tcPr>
          <w:p w:rsidR="008F4F5C" w:rsidRPr="00011582" w:rsidRDefault="008F4F5C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</w:p>
        </w:tc>
        <w:tc>
          <w:tcPr>
            <w:tcW w:w="3041" w:type="dxa"/>
          </w:tcPr>
          <w:p w:rsidR="008F4F5C" w:rsidRPr="00011582" w:rsidRDefault="00DD3B94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дуже низький</w:t>
            </w:r>
          </w:p>
        </w:tc>
        <w:tc>
          <w:tcPr>
            <w:tcW w:w="3285" w:type="dxa"/>
          </w:tcPr>
          <w:p w:rsidR="008F4F5C" w:rsidRPr="00011582" w:rsidRDefault="00C43876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&lt; 500</w:t>
            </w:r>
          </w:p>
        </w:tc>
      </w:tr>
    </w:tbl>
    <w:p w:rsidR="00991001" w:rsidRPr="00011582" w:rsidRDefault="00991001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</w:p>
    <w:p w:rsidR="004C649E" w:rsidRPr="00011582" w:rsidRDefault="00115E2C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sz w:val="28"/>
          <w:szCs w:val="28"/>
          <w:lang w:val="uk-UA"/>
        </w:rPr>
        <w:t>Вибір конкретних кількісних параметрів класів та підкласів країн</w:t>
      </w:r>
      <w:r w:rsidR="009E3F4C" w:rsidRPr="00011582">
        <w:rPr>
          <w:sz w:val="28"/>
          <w:szCs w:val="28"/>
          <w:lang w:val="uk-UA"/>
        </w:rPr>
        <w:t xml:space="preserve"> зумовлений тим, що середньосвітовий показник наблизився до 5 тис.$ на особу за рік</w:t>
      </w:r>
      <w:r w:rsidR="002B142C" w:rsidRPr="00011582">
        <w:rPr>
          <w:sz w:val="28"/>
          <w:szCs w:val="28"/>
          <w:lang w:val="uk-UA"/>
        </w:rPr>
        <w:t>, а різниця між найвищим (Швейцарія</w:t>
      </w:r>
      <w:r w:rsidR="00967420" w:rsidRPr="00011582">
        <w:rPr>
          <w:rStyle w:val="ac"/>
          <w:sz w:val="28"/>
          <w:szCs w:val="28"/>
          <w:lang w:val="uk-UA"/>
        </w:rPr>
        <w:footnoteReference w:id="1"/>
      </w:r>
      <w:r w:rsidR="002B142C" w:rsidRPr="00011582">
        <w:rPr>
          <w:sz w:val="28"/>
          <w:szCs w:val="28"/>
          <w:lang w:val="uk-UA"/>
        </w:rPr>
        <w:t xml:space="preserve"> – 36230 </w:t>
      </w:r>
      <w:r w:rsidR="0019759E" w:rsidRPr="00011582">
        <w:rPr>
          <w:sz w:val="28"/>
          <w:szCs w:val="28"/>
          <w:lang w:val="uk-UA"/>
        </w:rPr>
        <w:t>$</w:t>
      </w:r>
      <w:r w:rsidR="00604D42" w:rsidRPr="00011582">
        <w:rPr>
          <w:sz w:val="28"/>
          <w:szCs w:val="28"/>
          <w:lang w:val="uk-UA"/>
        </w:rPr>
        <w:t>) та найнижчим (Мозамбік – 70 $) значенням</w:t>
      </w:r>
      <w:r w:rsidR="00E94047" w:rsidRPr="00011582">
        <w:rPr>
          <w:sz w:val="28"/>
          <w:szCs w:val="28"/>
          <w:lang w:val="uk-UA"/>
        </w:rPr>
        <w:t>и</w:t>
      </w:r>
      <w:r w:rsidR="00604D42" w:rsidRPr="00011582">
        <w:rPr>
          <w:sz w:val="28"/>
          <w:szCs w:val="28"/>
          <w:lang w:val="uk-UA"/>
        </w:rPr>
        <w:t xml:space="preserve"> ВНП </w:t>
      </w:r>
      <w:r w:rsidR="0019759E" w:rsidRPr="00011582">
        <w:rPr>
          <w:sz w:val="28"/>
          <w:szCs w:val="28"/>
          <w:lang w:val="uk-UA"/>
        </w:rPr>
        <w:t xml:space="preserve">на особу за рік </w:t>
      </w:r>
      <w:r w:rsidR="00604D42" w:rsidRPr="00011582">
        <w:rPr>
          <w:sz w:val="28"/>
          <w:szCs w:val="28"/>
          <w:lang w:val="uk-UA"/>
        </w:rPr>
        <w:t>становить</w:t>
      </w:r>
      <w:r w:rsidR="00E94047" w:rsidRPr="00011582">
        <w:rPr>
          <w:sz w:val="28"/>
          <w:szCs w:val="28"/>
          <w:lang w:val="uk-UA"/>
        </w:rPr>
        <w:t xml:space="preserve"> більше 500 разів</w:t>
      </w:r>
      <w:r w:rsidR="009E3F4C" w:rsidRPr="00011582">
        <w:rPr>
          <w:sz w:val="28"/>
          <w:szCs w:val="28"/>
          <w:lang w:val="uk-UA"/>
        </w:rPr>
        <w:t>.</w:t>
      </w:r>
    </w:p>
    <w:p w:rsidR="0019759E" w:rsidRPr="00011582" w:rsidRDefault="00817B65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sz w:val="28"/>
          <w:szCs w:val="28"/>
          <w:lang w:val="uk-UA"/>
        </w:rPr>
        <w:t>Найзначніший масив високорозвинених країн зосереджений в Європі</w:t>
      </w:r>
      <w:r w:rsidR="00CB0EDB" w:rsidRPr="00011582">
        <w:rPr>
          <w:sz w:val="28"/>
          <w:szCs w:val="28"/>
          <w:lang w:val="uk-UA"/>
        </w:rPr>
        <w:t>, зокрема Західній</w:t>
      </w:r>
      <w:r w:rsidRPr="00011582">
        <w:rPr>
          <w:sz w:val="28"/>
          <w:szCs w:val="28"/>
          <w:lang w:val="uk-UA"/>
        </w:rPr>
        <w:t xml:space="preserve">: Люксембург – 35260 $; </w:t>
      </w:r>
      <w:r w:rsidR="00CB0EDB" w:rsidRPr="00011582">
        <w:rPr>
          <w:sz w:val="28"/>
          <w:szCs w:val="28"/>
          <w:lang w:val="uk-UA"/>
        </w:rPr>
        <w:t xml:space="preserve">Швеція – 26780 $; </w:t>
      </w:r>
      <w:r w:rsidRPr="00011582">
        <w:rPr>
          <w:sz w:val="28"/>
          <w:szCs w:val="28"/>
          <w:lang w:val="uk-UA"/>
        </w:rPr>
        <w:t xml:space="preserve">Данія – 25930 $; </w:t>
      </w:r>
      <w:r w:rsidR="00CB0EDB" w:rsidRPr="00011582">
        <w:rPr>
          <w:sz w:val="28"/>
          <w:szCs w:val="28"/>
          <w:lang w:val="uk-UA"/>
        </w:rPr>
        <w:t xml:space="preserve">Норвегія – 25800 $; </w:t>
      </w:r>
      <w:r w:rsidRPr="00011582">
        <w:rPr>
          <w:sz w:val="28"/>
          <w:szCs w:val="28"/>
          <w:lang w:val="uk-UA"/>
        </w:rPr>
        <w:t xml:space="preserve">Ісландія – 23670 $; </w:t>
      </w:r>
      <w:r w:rsidR="00CB0EDB" w:rsidRPr="00011582">
        <w:rPr>
          <w:sz w:val="28"/>
          <w:szCs w:val="28"/>
          <w:lang w:val="uk-UA"/>
        </w:rPr>
        <w:t xml:space="preserve">ФРН – 23030 $; </w:t>
      </w:r>
      <w:r w:rsidRPr="00011582">
        <w:rPr>
          <w:sz w:val="28"/>
          <w:szCs w:val="28"/>
          <w:lang w:val="uk-UA"/>
        </w:rPr>
        <w:t>Австрія –</w:t>
      </w:r>
      <w:r w:rsidR="00CB0EDB" w:rsidRPr="00011582">
        <w:rPr>
          <w:sz w:val="28"/>
          <w:szCs w:val="28"/>
          <w:lang w:val="uk-UA"/>
        </w:rPr>
        <w:t xml:space="preserve"> 22110 $</w:t>
      </w:r>
      <w:r w:rsidR="007F523E" w:rsidRPr="00011582">
        <w:rPr>
          <w:sz w:val="28"/>
          <w:szCs w:val="28"/>
          <w:lang w:val="uk-UA"/>
        </w:rPr>
        <w:t xml:space="preserve"> та інші приклади</w:t>
      </w:r>
      <w:r w:rsidR="00CB0EDB" w:rsidRPr="00011582">
        <w:rPr>
          <w:sz w:val="28"/>
          <w:szCs w:val="28"/>
          <w:lang w:val="uk-UA"/>
        </w:rPr>
        <w:t>. У Центральній, Південно-Східній та Східній Європі переважають середньорозвинені країни</w:t>
      </w:r>
      <w:r w:rsidR="002E3BDA" w:rsidRPr="00011582">
        <w:rPr>
          <w:sz w:val="28"/>
          <w:szCs w:val="28"/>
          <w:lang w:val="uk-UA"/>
        </w:rPr>
        <w:t xml:space="preserve"> (серед них й Україна – 1690 $). В Європі є лише одна низькорозвинена країна – Боснія і Герцеговина (690 $).</w:t>
      </w:r>
    </w:p>
    <w:p w:rsidR="0045748A" w:rsidRPr="00011582" w:rsidRDefault="0045748A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sz w:val="28"/>
          <w:szCs w:val="28"/>
          <w:lang w:val="uk-UA"/>
        </w:rPr>
        <w:t>В Азії найвищий показник має Японія – 28220 $ на людину за рік. До високорозвинених відносяться також Сінгапур (15750 $), Ізраїль (13230 $), Тайвань (</w:t>
      </w:r>
      <w:r w:rsidR="00D651DF" w:rsidRPr="00011582">
        <w:rPr>
          <w:sz w:val="28"/>
          <w:szCs w:val="28"/>
          <w:lang w:val="uk-UA"/>
        </w:rPr>
        <w:t xml:space="preserve">10200 </w:t>
      </w:r>
      <w:r w:rsidRPr="00011582">
        <w:rPr>
          <w:sz w:val="28"/>
          <w:szCs w:val="28"/>
          <w:lang w:val="uk-UA"/>
        </w:rPr>
        <w:t>$), Кувейт (</w:t>
      </w:r>
      <w:r w:rsidR="00D651DF" w:rsidRPr="00011582">
        <w:rPr>
          <w:sz w:val="28"/>
          <w:szCs w:val="28"/>
          <w:lang w:val="uk-UA"/>
        </w:rPr>
        <w:t xml:space="preserve">10010 </w:t>
      </w:r>
      <w:r w:rsidRPr="00011582">
        <w:rPr>
          <w:sz w:val="28"/>
          <w:szCs w:val="28"/>
          <w:lang w:val="uk-UA"/>
        </w:rPr>
        <w:t>$)</w:t>
      </w:r>
      <w:r w:rsidR="00D651DF" w:rsidRPr="00011582">
        <w:rPr>
          <w:sz w:val="28"/>
          <w:szCs w:val="28"/>
          <w:lang w:val="uk-UA"/>
        </w:rPr>
        <w:t xml:space="preserve"> тощо</w:t>
      </w:r>
      <w:r w:rsidRPr="00011582">
        <w:rPr>
          <w:sz w:val="28"/>
          <w:szCs w:val="28"/>
          <w:lang w:val="uk-UA"/>
        </w:rPr>
        <w:t>.</w:t>
      </w:r>
      <w:r w:rsidR="00D651DF" w:rsidRPr="00011582">
        <w:rPr>
          <w:sz w:val="28"/>
          <w:szCs w:val="28"/>
          <w:lang w:val="uk-UA"/>
        </w:rPr>
        <w:t xml:space="preserve"> Клас середньорозвинених країн репрезентують Бруней (8100 $), Саудівська Аравія (7940 $), Південна Корея (6790 $) та деякі інші.</w:t>
      </w:r>
      <w:r w:rsidR="00805C37" w:rsidRPr="00011582">
        <w:rPr>
          <w:sz w:val="28"/>
          <w:szCs w:val="28"/>
          <w:lang w:val="uk-UA"/>
        </w:rPr>
        <w:t xml:space="preserve"> Найбільші країни світу за людністю – Китай (380</w:t>
      </w:r>
      <w:r w:rsidR="00747CE8" w:rsidRPr="00011582">
        <w:rPr>
          <w:sz w:val="28"/>
          <w:szCs w:val="28"/>
          <w:lang w:val="uk-UA"/>
        </w:rPr>
        <w:t xml:space="preserve"> $</w:t>
      </w:r>
      <w:r w:rsidR="00805C37" w:rsidRPr="00011582">
        <w:rPr>
          <w:sz w:val="28"/>
          <w:szCs w:val="28"/>
          <w:lang w:val="uk-UA"/>
        </w:rPr>
        <w:t>) та Індія (310</w:t>
      </w:r>
      <w:r w:rsidR="00747CE8" w:rsidRPr="00011582">
        <w:rPr>
          <w:sz w:val="28"/>
          <w:szCs w:val="28"/>
          <w:lang w:val="uk-UA"/>
        </w:rPr>
        <w:t xml:space="preserve"> $</w:t>
      </w:r>
      <w:r w:rsidR="00805C37" w:rsidRPr="00011582">
        <w:rPr>
          <w:sz w:val="28"/>
          <w:szCs w:val="28"/>
          <w:lang w:val="uk-UA"/>
        </w:rPr>
        <w:t xml:space="preserve">) </w:t>
      </w:r>
      <w:r w:rsidR="00747CE8" w:rsidRPr="00011582">
        <w:rPr>
          <w:sz w:val="28"/>
          <w:szCs w:val="28"/>
          <w:lang w:val="uk-UA"/>
        </w:rPr>
        <w:t xml:space="preserve">– </w:t>
      </w:r>
      <w:r w:rsidR="00805C37" w:rsidRPr="00011582">
        <w:rPr>
          <w:sz w:val="28"/>
          <w:szCs w:val="28"/>
          <w:lang w:val="uk-UA"/>
        </w:rPr>
        <w:t>відносяться до низькорозвинених.</w:t>
      </w:r>
      <w:r w:rsidR="00747CE8" w:rsidRPr="00011582">
        <w:rPr>
          <w:sz w:val="28"/>
          <w:szCs w:val="28"/>
          <w:lang w:val="uk-UA"/>
        </w:rPr>
        <w:t xml:space="preserve"> Серед найбідніших</w:t>
      </w:r>
      <w:r w:rsidR="006F0FFC" w:rsidRPr="00011582">
        <w:rPr>
          <w:sz w:val="28"/>
          <w:szCs w:val="28"/>
          <w:lang w:val="uk-UA"/>
        </w:rPr>
        <w:t xml:space="preserve"> країн</w:t>
      </w:r>
      <w:r w:rsidR="00B0317B" w:rsidRPr="00011582">
        <w:rPr>
          <w:sz w:val="28"/>
          <w:szCs w:val="28"/>
          <w:lang w:val="uk-UA"/>
        </w:rPr>
        <w:t xml:space="preserve"> Азії</w:t>
      </w:r>
      <w:r w:rsidR="006F0FFC" w:rsidRPr="00011582">
        <w:rPr>
          <w:sz w:val="28"/>
          <w:szCs w:val="28"/>
          <w:lang w:val="uk-UA"/>
        </w:rPr>
        <w:t xml:space="preserve"> –</w:t>
      </w:r>
      <w:r w:rsidR="00747CE8" w:rsidRPr="00011582">
        <w:rPr>
          <w:sz w:val="28"/>
          <w:szCs w:val="28"/>
          <w:lang w:val="uk-UA"/>
        </w:rPr>
        <w:t xml:space="preserve"> Бутан (180 $) і Непал (170 $).</w:t>
      </w:r>
    </w:p>
    <w:p w:rsidR="007F523E" w:rsidRPr="00011582" w:rsidRDefault="007F523E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sz w:val="28"/>
          <w:szCs w:val="28"/>
          <w:lang w:val="uk-UA"/>
        </w:rPr>
        <w:t xml:space="preserve">Серед африканських країн високорозвинених немає взагалі. Навіть нафтодобувні Лівія (7000 $) або Габон (4450 $), так точно як і </w:t>
      </w:r>
      <w:r w:rsidR="0022653C" w:rsidRPr="00011582">
        <w:rPr>
          <w:sz w:val="28"/>
          <w:szCs w:val="28"/>
          <w:lang w:val="uk-UA"/>
        </w:rPr>
        <w:t xml:space="preserve">країна з найбільш диверсифікованою економікою – </w:t>
      </w:r>
      <w:r w:rsidRPr="00011582">
        <w:rPr>
          <w:sz w:val="28"/>
          <w:szCs w:val="28"/>
          <w:lang w:val="uk-UA"/>
        </w:rPr>
        <w:t>ПАР (</w:t>
      </w:r>
      <w:r w:rsidR="001E78B1" w:rsidRPr="00011582">
        <w:rPr>
          <w:sz w:val="28"/>
          <w:szCs w:val="28"/>
          <w:lang w:val="uk-UA"/>
        </w:rPr>
        <w:t xml:space="preserve">2670 </w:t>
      </w:r>
      <w:r w:rsidRPr="00011582">
        <w:rPr>
          <w:sz w:val="28"/>
          <w:szCs w:val="28"/>
          <w:lang w:val="uk-UA"/>
        </w:rPr>
        <w:t>$)</w:t>
      </w:r>
      <w:r w:rsidR="0022653C" w:rsidRPr="00011582">
        <w:rPr>
          <w:sz w:val="28"/>
          <w:szCs w:val="28"/>
          <w:lang w:val="uk-UA"/>
        </w:rPr>
        <w:t>,</w:t>
      </w:r>
      <w:r w:rsidRPr="00011582">
        <w:rPr>
          <w:sz w:val="28"/>
          <w:szCs w:val="28"/>
          <w:lang w:val="uk-UA"/>
        </w:rPr>
        <w:t xml:space="preserve"> є середньорозвиненими.</w:t>
      </w:r>
      <w:r w:rsidR="0060778B" w:rsidRPr="00011582">
        <w:rPr>
          <w:sz w:val="28"/>
          <w:szCs w:val="28"/>
          <w:lang w:val="uk-UA"/>
        </w:rPr>
        <w:t xml:space="preserve"> Натомість в Африці найбільший масив низькорозвинених країн</w:t>
      </w:r>
      <w:r w:rsidR="00AC0EBC" w:rsidRPr="00011582">
        <w:rPr>
          <w:sz w:val="28"/>
          <w:szCs w:val="28"/>
          <w:lang w:val="uk-UA"/>
        </w:rPr>
        <w:t>: крім згадуваного Мозамбіку, це – Ефіопія і Танзанія (ВНП по 110 $ на людину за рік), Західна Сахара (120 $), Гвінея-Бісау (210 $) та інші.</w:t>
      </w:r>
    </w:p>
    <w:p w:rsidR="005A3AC3" w:rsidRPr="00011582" w:rsidRDefault="005A3AC3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sz w:val="28"/>
          <w:szCs w:val="28"/>
          <w:lang w:val="uk-UA"/>
        </w:rPr>
        <w:t xml:space="preserve">Значні внутрішні відмінності має й Америка. Один полюс представлений США (23120 $), Канадою (20320 $), Багамськими Островами (12020 $); на іншому – низькорозвинені </w:t>
      </w:r>
      <w:r w:rsidR="00A17A54" w:rsidRPr="00011582">
        <w:rPr>
          <w:sz w:val="28"/>
          <w:szCs w:val="28"/>
          <w:lang w:val="uk-UA"/>
        </w:rPr>
        <w:t xml:space="preserve">Гондурас (580 $), </w:t>
      </w:r>
      <w:r w:rsidRPr="00011582">
        <w:rPr>
          <w:sz w:val="28"/>
          <w:szCs w:val="28"/>
          <w:lang w:val="uk-UA"/>
        </w:rPr>
        <w:t>Нікарагуа (410 $), Гаїті (370 $), Гайана (330 $).</w:t>
      </w:r>
      <w:r w:rsidR="00015BDE" w:rsidRPr="00011582">
        <w:rPr>
          <w:sz w:val="28"/>
          <w:szCs w:val="28"/>
          <w:lang w:val="uk-UA"/>
        </w:rPr>
        <w:t xml:space="preserve"> Найбільша латиноамериканська держава Бразилія (2770 $) відноситься до середньорозвинених, як і </w:t>
      </w:r>
      <w:r w:rsidR="00A17A54" w:rsidRPr="00011582">
        <w:rPr>
          <w:sz w:val="28"/>
          <w:szCs w:val="28"/>
          <w:lang w:val="uk-UA"/>
        </w:rPr>
        <w:t xml:space="preserve">Мексика, </w:t>
      </w:r>
      <w:r w:rsidR="00015BDE" w:rsidRPr="00011582">
        <w:rPr>
          <w:sz w:val="28"/>
          <w:szCs w:val="28"/>
          <w:lang w:val="uk-UA"/>
        </w:rPr>
        <w:t>Аргентина, Уругвай</w:t>
      </w:r>
      <w:r w:rsidR="00A17A54" w:rsidRPr="00011582">
        <w:rPr>
          <w:sz w:val="28"/>
          <w:szCs w:val="28"/>
          <w:lang w:val="uk-UA"/>
        </w:rPr>
        <w:t>, Чилі.</w:t>
      </w:r>
    </w:p>
    <w:p w:rsidR="00FF0C52" w:rsidRPr="00011582" w:rsidRDefault="00387459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sz w:val="28"/>
          <w:szCs w:val="28"/>
          <w:lang w:val="uk-UA"/>
        </w:rPr>
        <w:t xml:space="preserve">В Австралії та Океанії безумовними лідерами </w:t>
      </w:r>
      <w:r w:rsidR="00B13FD4" w:rsidRPr="00011582">
        <w:rPr>
          <w:sz w:val="28"/>
          <w:szCs w:val="28"/>
          <w:lang w:val="uk-UA"/>
        </w:rPr>
        <w:t xml:space="preserve">за ВНП на душу населення </w:t>
      </w:r>
      <w:r w:rsidRPr="00011582">
        <w:rPr>
          <w:sz w:val="28"/>
          <w:szCs w:val="28"/>
          <w:lang w:val="uk-UA"/>
        </w:rPr>
        <w:t xml:space="preserve">є </w:t>
      </w:r>
      <w:r w:rsidR="00B13FD4" w:rsidRPr="00011582">
        <w:rPr>
          <w:sz w:val="28"/>
          <w:szCs w:val="28"/>
          <w:lang w:val="uk-UA"/>
        </w:rPr>
        <w:t>колонія США – Гуам (20230 $), Австралійський Союз (17070 $), Нова Зеландія (12060 $). Прикладом середньорозвиненої країни може слугувати Французька Полінезія (8000 $).</w:t>
      </w:r>
      <w:r w:rsidR="008E6046" w:rsidRPr="00011582">
        <w:rPr>
          <w:sz w:val="28"/>
          <w:szCs w:val="28"/>
          <w:lang w:val="uk-UA"/>
        </w:rPr>
        <w:t xml:space="preserve"> Значною є група низькорозвинених країн – Соломонові Острови (710 $), Кірібаті (690 $) та інші.</w:t>
      </w:r>
    </w:p>
    <w:p w:rsidR="00CF2FF7" w:rsidRPr="00011582" w:rsidRDefault="00523D65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sz w:val="28"/>
          <w:szCs w:val="28"/>
          <w:lang w:val="uk-UA"/>
        </w:rPr>
        <w:t>Розуміння неадекватності оцінки результатів економічного розвитку тільки за допомогою суто економічних показників (</w:t>
      </w:r>
      <w:r w:rsidR="00DC379E" w:rsidRPr="00011582">
        <w:rPr>
          <w:sz w:val="28"/>
          <w:szCs w:val="28"/>
          <w:lang w:val="uk-UA"/>
        </w:rPr>
        <w:t>валовий внутрішній продукт, валовий національний продукт</w:t>
      </w:r>
      <w:r w:rsidRPr="00011582">
        <w:rPr>
          <w:sz w:val="28"/>
          <w:szCs w:val="28"/>
          <w:lang w:val="uk-UA"/>
        </w:rPr>
        <w:t xml:space="preserve">, </w:t>
      </w:r>
      <w:r w:rsidR="00DC379E" w:rsidRPr="00011582">
        <w:rPr>
          <w:sz w:val="28"/>
          <w:szCs w:val="28"/>
          <w:lang w:val="uk-UA"/>
        </w:rPr>
        <w:t>національний доход</w:t>
      </w:r>
      <w:r w:rsidRPr="00011582">
        <w:rPr>
          <w:sz w:val="28"/>
          <w:szCs w:val="28"/>
          <w:lang w:val="uk-UA"/>
        </w:rPr>
        <w:t xml:space="preserve"> тощо) привело до спроб в</w:t>
      </w:r>
      <w:r w:rsidR="00BF335D" w:rsidRPr="00011582">
        <w:rPr>
          <w:sz w:val="28"/>
          <w:szCs w:val="28"/>
          <w:lang w:val="uk-UA"/>
        </w:rPr>
        <w:t>рахува</w:t>
      </w:r>
      <w:r w:rsidRPr="00011582">
        <w:rPr>
          <w:sz w:val="28"/>
          <w:szCs w:val="28"/>
          <w:lang w:val="uk-UA"/>
        </w:rPr>
        <w:t xml:space="preserve">ння і певних соціальних компонентів. Найбільш відомим </w:t>
      </w:r>
      <w:r w:rsidR="00DC379E" w:rsidRPr="00011582">
        <w:rPr>
          <w:sz w:val="28"/>
          <w:szCs w:val="28"/>
          <w:lang w:val="uk-UA"/>
        </w:rPr>
        <w:t xml:space="preserve">та найчастіше цитованим </w:t>
      </w:r>
      <w:r w:rsidRPr="00011582">
        <w:rPr>
          <w:sz w:val="28"/>
          <w:szCs w:val="28"/>
          <w:lang w:val="uk-UA"/>
        </w:rPr>
        <w:t xml:space="preserve">серед низки таких синтетичних індексів є розроблений Програмою розвитку ООН (ПРООН) </w:t>
      </w:r>
      <w:r w:rsidRPr="00011582">
        <w:rPr>
          <w:i/>
          <w:sz w:val="28"/>
          <w:szCs w:val="28"/>
          <w:lang w:val="uk-UA"/>
        </w:rPr>
        <w:t>індекс розвитку людського потенціалу</w:t>
      </w:r>
      <w:r w:rsidRPr="00011582">
        <w:rPr>
          <w:sz w:val="28"/>
          <w:szCs w:val="28"/>
          <w:lang w:val="uk-UA"/>
        </w:rPr>
        <w:t xml:space="preserve"> – </w:t>
      </w:r>
      <w:r w:rsidRPr="00011582">
        <w:rPr>
          <w:b/>
          <w:sz w:val="28"/>
          <w:szCs w:val="28"/>
          <w:lang w:val="uk-UA"/>
        </w:rPr>
        <w:t>ІРЛП</w:t>
      </w:r>
      <w:r w:rsidRPr="00011582">
        <w:rPr>
          <w:sz w:val="28"/>
          <w:szCs w:val="28"/>
          <w:lang w:val="uk-UA"/>
        </w:rPr>
        <w:t xml:space="preserve"> (</w:t>
      </w:r>
      <w:r w:rsidR="006877D5" w:rsidRPr="00011582">
        <w:rPr>
          <w:i/>
          <w:sz w:val="28"/>
          <w:szCs w:val="28"/>
          <w:lang w:val="uk-UA"/>
        </w:rPr>
        <w:t>Human Development Index</w:t>
      </w:r>
      <w:r w:rsidR="006877D5" w:rsidRPr="00011582">
        <w:rPr>
          <w:sz w:val="28"/>
          <w:szCs w:val="28"/>
          <w:lang w:val="uk-UA"/>
        </w:rPr>
        <w:t xml:space="preserve">, </w:t>
      </w:r>
      <w:r w:rsidR="006877D5" w:rsidRPr="00011582">
        <w:rPr>
          <w:b/>
          <w:sz w:val="28"/>
          <w:szCs w:val="28"/>
          <w:lang w:val="uk-UA"/>
        </w:rPr>
        <w:t>HDI</w:t>
      </w:r>
      <w:r w:rsidRPr="00011582">
        <w:rPr>
          <w:sz w:val="28"/>
          <w:szCs w:val="28"/>
          <w:lang w:val="uk-UA"/>
        </w:rPr>
        <w:t>) – показник розвитку у генералізованому вигляді.</w:t>
      </w:r>
      <w:r w:rsidR="00DC379E" w:rsidRPr="00011582">
        <w:rPr>
          <w:sz w:val="28"/>
          <w:szCs w:val="28"/>
          <w:lang w:val="uk-UA"/>
        </w:rPr>
        <w:t xml:space="preserve"> Він оцінює три аспекти людського життя: досягнутий </w:t>
      </w:r>
      <w:r w:rsidR="00AB56AD" w:rsidRPr="00011582">
        <w:rPr>
          <w:sz w:val="28"/>
          <w:szCs w:val="28"/>
          <w:lang w:val="uk-UA"/>
        </w:rPr>
        <w:t xml:space="preserve">матеріальний </w:t>
      </w:r>
      <w:r w:rsidR="00DC379E" w:rsidRPr="00011582">
        <w:rPr>
          <w:sz w:val="28"/>
          <w:szCs w:val="28"/>
          <w:lang w:val="uk-UA"/>
        </w:rPr>
        <w:t>рівень життя; здатність прожити тривале і здорове життя; знання (рівень освіти).</w:t>
      </w:r>
      <w:r w:rsidR="00BF335D" w:rsidRPr="00011582">
        <w:rPr>
          <w:sz w:val="28"/>
          <w:szCs w:val="28"/>
          <w:lang w:val="uk-UA"/>
        </w:rPr>
        <w:t xml:space="preserve"> Часткові індекси, що характеризують вказані три аспекти (індекси рівня життя, здоров’я та освіти відповідно), мають вагу у третину сумарного ІРЛП. Для їх підрахунку використовуються показники ВВП на душу населення по паритету купівельної спроможності у доларах США; очікувана тривалість життя при народженні; рівень писемності дорослого населення (вага у ⅔</w:t>
      </w:r>
      <w:r w:rsidR="00AB56AD" w:rsidRPr="00011582">
        <w:rPr>
          <w:sz w:val="28"/>
          <w:szCs w:val="28"/>
          <w:lang w:val="uk-UA"/>
        </w:rPr>
        <w:t xml:space="preserve"> в індексі освіти) та частка осіб, що навчаються (вага у </w:t>
      </w:r>
      <w:r w:rsidR="00BF335D" w:rsidRPr="00011582">
        <w:rPr>
          <w:sz w:val="28"/>
          <w:szCs w:val="28"/>
          <w:lang w:val="uk-UA"/>
        </w:rPr>
        <w:t>⅓</w:t>
      </w:r>
      <w:r w:rsidR="00AB56AD" w:rsidRPr="00011582">
        <w:rPr>
          <w:sz w:val="28"/>
          <w:szCs w:val="28"/>
          <w:lang w:val="uk-UA"/>
        </w:rPr>
        <w:t xml:space="preserve"> в індексі освіти). Нормування окремих показників здійснюється методом лінійного масштабування, при якому показники перетворюються в індекси на шкалі від 0 до 1.</w:t>
      </w:r>
    </w:p>
    <w:p w:rsidR="00CF2FF7" w:rsidRPr="00011582" w:rsidRDefault="00EE6D1C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sz w:val="28"/>
          <w:szCs w:val="28"/>
          <w:lang w:val="uk-UA"/>
        </w:rPr>
        <w:t xml:space="preserve">Групу країн з </w:t>
      </w:r>
      <w:r w:rsidRPr="00011582">
        <w:rPr>
          <w:b/>
          <w:sz w:val="28"/>
          <w:szCs w:val="28"/>
          <w:lang w:val="uk-UA"/>
        </w:rPr>
        <w:t>високим ІРЛП (&gt;0,800)</w:t>
      </w:r>
      <w:r w:rsidRPr="00011582">
        <w:rPr>
          <w:sz w:val="28"/>
          <w:szCs w:val="28"/>
          <w:lang w:val="uk-UA"/>
        </w:rPr>
        <w:t xml:space="preserve"> очолюють Канада – 0,950; США – 0,937; Японія – 0,937; Нідерланди – 0,936; Фінляндія – 0,934. В цю групу входить й Україна (0,842), займаючи 54 місце в світовій ієрархії. До групи країн із </w:t>
      </w:r>
      <w:r w:rsidRPr="00011582">
        <w:rPr>
          <w:b/>
          <w:sz w:val="28"/>
          <w:szCs w:val="28"/>
          <w:lang w:val="uk-UA"/>
        </w:rPr>
        <w:t>середнім ІРЛП</w:t>
      </w:r>
      <w:r w:rsidR="009F158D" w:rsidRPr="00011582">
        <w:rPr>
          <w:b/>
          <w:sz w:val="28"/>
          <w:szCs w:val="28"/>
          <w:lang w:val="uk-UA"/>
        </w:rPr>
        <w:t xml:space="preserve"> (0,500-0,800)</w:t>
      </w:r>
      <w:r w:rsidRPr="00011582">
        <w:rPr>
          <w:sz w:val="28"/>
          <w:szCs w:val="28"/>
          <w:lang w:val="uk-UA"/>
        </w:rPr>
        <w:t xml:space="preserve"> входять Казахстан – 0,798; Болгарія – 0,796; Туреччина – 0,792</w:t>
      </w:r>
      <w:r w:rsidR="009F158D" w:rsidRPr="00011582">
        <w:rPr>
          <w:sz w:val="28"/>
          <w:szCs w:val="28"/>
          <w:lang w:val="uk-UA"/>
        </w:rPr>
        <w:t xml:space="preserve">; Молдова – 0,757; Туркменістан – 0,731; Вірменія – 0,715; Грузія – 0,709 та інші. </w:t>
      </w:r>
      <w:r w:rsidR="009F158D" w:rsidRPr="00011582">
        <w:rPr>
          <w:b/>
          <w:sz w:val="28"/>
          <w:szCs w:val="28"/>
          <w:lang w:val="uk-UA"/>
        </w:rPr>
        <w:t>Низький ІРЛП (&lt;0,500)</w:t>
      </w:r>
      <w:r w:rsidR="009F158D" w:rsidRPr="00011582">
        <w:rPr>
          <w:sz w:val="28"/>
          <w:szCs w:val="28"/>
          <w:lang w:val="uk-UA"/>
        </w:rPr>
        <w:t xml:space="preserve"> мають Пакистан – 0,483; Гана – 0,482; Кенія – 0,481</w:t>
      </w:r>
      <w:r w:rsidR="0083460B" w:rsidRPr="00011582">
        <w:rPr>
          <w:sz w:val="28"/>
          <w:szCs w:val="28"/>
          <w:lang w:val="uk-UA"/>
        </w:rPr>
        <w:t xml:space="preserve"> та інші країни</w:t>
      </w:r>
      <w:r w:rsidR="009F158D" w:rsidRPr="00011582">
        <w:rPr>
          <w:sz w:val="28"/>
          <w:szCs w:val="28"/>
          <w:lang w:val="uk-UA"/>
        </w:rPr>
        <w:t>. На останніх місцях рейтингу знаходяться Афганістан (0,228) та африканські країни Ефіопія (0,227), Малі (0,222), Сьєрра-Леоне</w:t>
      </w:r>
      <w:r w:rsidR="0083460B" w:rsidRPr="00011582">
        <w:rPr>
          <w:sz w:val="28"/>
          <w:szCs w:val="28"/>
          <w:lang w:val="uk-UA"/>
        </w:rPr>
        <w:t xml:space="preserve"> (0,221)</w:t>
      </w:r>
      <w:r w:rsidR="009F158D" w:rsidRPr="00011582">
        <w:rPr>
          <w:sz w:val="28"/>
          <w:szCs w:val="28"/>
          <w:lang w:val="uk-UA"/>
        </w:rPr>
        <w:t xml:space="preserve">, </w:t>
      </w:r>
      <w:r w:rsidR="0083460B" w:rsidRPr="00011582">
        <w:rPr>
          <w:sz w:val="28"/>
          <w:szCs w:val="28"/>
          <w:lang w:val="uk-UA"/>
        </w:rPr>
        <w:t xml:space="preserve">абсолютно найгірший показник у світі має Нігер – </w:t>
      </w:r>
      <w:r w:rsidR="009F158D" w:rsidRPr="00011582">
        <w:rPr>
          <w:sz w:val="28"/>
          <w:szCs w:val="28"/>
          <w:lang w:val="uk-UA"/>
        </w:rPr>
        <w:t>0,207.</w:t>
      </w:r>
    </w:p>
    <w:p w:rsidR="00AB56AD" w:rsidRPr="00011582" w:rsidRDefault="00ED3A08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sz w:val="28"/>
          <w:szCs w:val="28"/>
          <w:lang w:val="uk-UA"/>
        </w:rPr>
        <w:t xml:space="preserve">У 2001 р. Фрейзеровський інститут в Канаді здійснив спробу модифікації ІРЛП у вигляді </w:t>
      </w:r>
      <w:r w:rsidRPr="00011582">
        <w:rPr>
          <w:i/>
          <w:sz w:val="28"/>
          <w:szCs w:val="28"/>
          <w:lang w:val="uk-UA"/>
        </w:rPr>
        <w:t>індексу людського прогресу</w:t>
      </w:r>
      <w:r w:rsidRPr="00011582">
        <w:rPr>
          <w:sz w:val="28"/>
          <w:szCs w:val="28"/>
          <w:lang w:val="uk-UA"/>
        </w:rPr>
        <w:t xml:space="preserve"> (</w:t>
      </w:r>
      <w:r w:rsidRPr="00011582">
        <w:rPr>
          <w:i/>
          <w:sz w:val="28"/>
          <w:szCs w:val="28"/>
          <w:lang w:val="en-US"/>
        </w:rPr>
        <w:t>Index</w:t>
      </w:r>
      <w:r w:rsidRPr="00011582">
        <w:rPr>
          <w:i/>
          <w:sz w:val="28"/>
          <w:szCs w:val="28"/>
          <w:lang w:val="uk-UA"/>
        </w:rPr>
        <w:t xml:space="preserve"> </w:t>
      </w:r>
      <w:r w:rsidRPr="00011582">
        <w:rPr>
          <w:i/>
          <w:sz w:val="28"/>
          <w:szCs w:val="28"/>
          <w:lang w:val="en-US"/>
        </w:rPr>
        <w:t>of</w:t>
      </w:r>
      <w:r w:rsidRPr="00011582">
        <w:rPr>
          <w:sz w:val="28"/>
          <w:szCs w:val="28"/>
          <w:lang w:val="uk-UA"/>
        </w:rPr>
        <w:t xml:space="preserve"> </w:t>
      </w:r>
      <w:r w:rsidRPr="00011582">
        <w:rPr>
          <w:i/>
          <w:sz w:val="28"/>
          <w:szCs w:val="28"/>
          <w:lang w:val="en-US"/>
        </w:rPr>
        <w:t>Human</w:t>
      </w:r>
      <w:r w:rsidRPr="00011582">
        <w:rPr>
          <w:i/>
          <w:sz w:val="28"/>
          <w:szCs w:val="28"/>
          <w:lang w:val="uk-UA"/>
        </w:rPr>
        <w:t xml:space="preserve"> </w:t>
      </w:r>
      <w:r w:rsidRPr="00011582">
        <w:rPr>
          <w:i/>
          <w:sz w:val="28"/>
          <w:szCs w:val="28"/>
          <w:lang w:val="en-US"/>
        </w:rPr>
        <w:t>Progress</w:t>
      </w:r>
      <w:r w:rsidRPr="00011582">
        <w:rPr>
          <w:sz w:val="28"/>
          <w:szCs w:val="28"/>
          <w:lang w:val="uk-UA"/>
        </w:rPr>
        <w:t>). До суттєвих змін у стані лідерів та аутсайдерів у порівнянні з ІРЛП це не призвело.</w:t>
      </w:r>
    </w:p>
    <w:p w:rsidR="005A4A9D" w:rsidRPr="00011582" w:rsidRDefault="005A4A9D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sz w:val="28"/>
          <w:szCs w:val="28"/>
          <w:lang w:val="uk-UA"/>
        </w:rPr>
        <w:t xml:space="preserve">Існує також група більш </w:t>
      </w:r>
      <w:r w:rsidR="00B10F9A" w:rsidRPr="00011582">
        <w:rPr>
          <w:sz w:val="28"/>
          <w:szCs w:val="28"/>
          <w:lang w:val="uk-UA"/>
        </w:rPr>
        <w:t>«</w:t>
      </w:r>
      <w:r w:rsidRPr="00011582">
        <w:rPr>
          <w:sz w:val="28"/>
          <w:szCs w:val="28"/>
          <w:lang w:val="uk-UA"/>
        </w:rPr>
        <w:t>вузьких</w:t>
      </w:r>
      <w:r w:rsidR="00B10F9A" w:rsidRPr="00011582">
        <w:rPr>
          <w:sz w:val="28"/>
          <w:szCs w:val="28"/>
          <w:lang w:val="uk-UA"/>
        </w:rPr>
        <w:t>»</w:t>
      </w:r>
      <w:r w:rsidRPr="00011582">
        <w:rPr>
          <w:sz w:val="28"/>
          <w:szCs w:val="28"/>
          <w:lang w:val="uk-UA"/>
        </w:rPr>
        <w:t xml:space="preserve"> індексів. Серед найбільш відомих – індекс економічної свободи (</w:t>
      </w:r>
      <w:r w:rsidRPr="00011582">
        <w:rPr>
          <w:i/>
          <w:sz w:val="28"/>
          <w:szCs w:val="28"/>
          <w:lang w:val="en-US"/>
        </w:rPr>
        <w:t>Index</w:t>
      </w:r>
      <w:r w:rsidRPr="00011582">
        <w:rPr>
          <w:i/>
          <w:sz w:val="28"/>
          <w:szCs w:val="28"/>
          <w:lang w:val="uk-UA"/>
        </w:rPr>
        <w:t xml:space="preserve"> </w:t>
      </w:r>
      <w:r w:rsidRPr="00011582">
        <w:rPr>
          <w:i/>
          <w:sz w:val="28"/>
          <w:szCs w:val="28"/>
          <w:lang w:val="en-US"/>
        </w:rPr>
        <w:t>of</w:t>
      </w:r>
      <w:r w:rsidRPr="00011582">
        <w:rPr>
          <w:i/>
          <w:sz w:val="28"/>
          <w:szCs w:val="28"/>
          <w:lang w:val="uk-UA"/>
        </w:rPr>
        <w:t xml:space="preserve"> </w:t>
      </w:r>
      <w:r w:rsidRPr="00011582">
        <w:rPr>
          <w:i/>
          <w:sz w:val="28"/>
          <w:szCs w:val="28"/>
          <w:lang w:val="en-US"/>
        </w:rPr>
        <w:t>Economic</w:t>
      </w:r>
      <w:r w:rsidRPr="00011582">
        <w:rPr>
          <w:i/>
          <w:sz w:val="28"/>
          <w:szCs w:val="28"/>
          <w:lang w:val="uk-UA"/>
        </w:rPr>
        <w:t xml:space="preserve"> </w:t>
      </w:r>
      <w:r w:rsidRPr="00011582">
        <w:rPr>
          <w:i/>
          <w:sz w:val="28"/>
          <w:szCs w:val="28"/>
          <w:lang w:val="en-US"/>
        </w:rPr>
        <w:t>Freedom</w:t>
      </w:r>
      <w:r w:rsidRPr="00011582">
        <w:rPr>
          <w:sz w:val="28"/>
          <w:szCs w:val="28"/>
          <w:lang w:val="uk-UA"/>
        </w:rPr>
        <w:t>), індекс політичної свободи (</w:t>
      </w:r>
      <w:r w:rsidRPr="00011582">
        <w:rPr>
          <w:i/>
          <w:sz w:val="28"/>
          <w:szCs w:val="28"/>
          <w:lang w:val="en-US"/>
        </w:rPr>
        <w:t>Freedom</w:t>
      </w:r>
      <w:r w:rsidR="00822594" w:rsidRPr="00011582">
        <w:rPr>
          <w:i/>
          <w:sz w:val="28"/>
          <w:szCs w:val="28"/>
          <w:lang w:val="uk-UA"/>
        </w:rPr>
        <w:t xml:space="preserve"> </w:t>
      </w:r>
      <w:r w:rsidR="00822594" w:rsidRPr="00011582">
        <w:rPr>
          <w:i/>
          <w:sz w:val="28"/>
          <w:szCs w:val="28"/>
          <w:lang w:val="en-US"/>
        </w:rPr>
        <w:t>Score</w:t>
      </w:r>
      <w:r w:rsidRPr="00011582">
        <w:rPr>
          <w:sz w:val="28"/>
          <w:szCs w:val="28"/>
          <w:lang w:val="uk-UA"/>
        </w:rPr>
        <w:t>), свободи преси (</w:t>
      </w:r>
      <w:r w:rsidR="00822594" w:rsidRPr="00011582">
        <w:rPr>
          <w:i/>
          <w:sz w:val="28"/>
          <w:szCs w:val="28"/>
          <w:lang w:val="en-US"/>
        </w:rPr>
        <w:t>Press</w:t>
      </w:r>
      <w:r w:rsidR="00822594" w:rsidRPr="00011582">
        <w:rPr>
          <w:i/>
          <w:sz w:val="28"/>
          <w:szCs w:val="28"/>
          <w:lang w:val="uk-UA"/>
        </w:rPr>
        <w:t xml:space="preserve"> </w:t>
      </w:r>
      <w:r w:rsidR="00822594" w:rsidRPr="00011582">
        <w:rPr>
          <w:i/>
          <w:sz w:val="28"/>
          <w:szCs w:val="28"/>
          <w:lang w:val="en-US"/>
        </w:rPr>
        <w:t>Freedom</w:t>
      </w:r>
      <w:r w:rsidR="004B29F0" w:rsidRPr="00011582">
        <w:rPr>
          <w:sz w:val="28"/>
          <w:szCs w:val="28"/>
          <w:lang w:val="uk-UA"/>
        </w:rPr>
        <w:t>), індекс здатності до інновацій (</w:t>
      </w:r>
      <w:r w:rsidR="004B29F0" w:rsidRPr="00011582">
        <w:rPr>
          <w:i/>
          <w:sz w:val="28"/>
          <w:szCs w:val="28"/>
          <w:lang w:val="uk-UA"/>
        </w:rPr>
        <w:t>Innovation Capacity Index</w:t>
      </w:r>
      <w:r w:rsidR="004B29F0" w:rsidRPr="00011582">
        <w:rPr>
          <w:sz w:val="28"/>
          <w:szCs w:val="28"/>
          <w:lang w:val="uk-UA"/>
        </w:rPr>
        <w:t>) та інші.</w:t>
      </w:r>
    </w:p>
    <w:p w:rsidR="0031260B" w:rsidRPr="00011582" w:rsidRDefault="0031260B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sz w:val="28"/>
          <w:szCs w:val="28"/>
          <w:lang w:val="uk-UA"/>
        </w:rPr>
        <w:t>Типізація як метод дослідження має певні переваги пе</w:t>
      </w:r>
      <w:r w:rsidR="00B0317B" w:rsidRPr="00011582">
        <w:rPr>
          <w:sz w:val="28"/>
          <w:szCs w:val="28"/>
          <w:lang w:val="uk-UA"/>
        </w:rPr>
        <w:t>ред класифікацією</w:t>
      </w:r>
      <w:r w:rsidR="00BB1DBE" w:rsidRPr="00011582">
        <w:rPr>
          <w:sz w:val="28"/>
          <w:szCs w:val="28"/>
          <w:lang w:val="uk-UA"/>
        </w:rPr>
        <w:t xml:space="preserve"> в силу вищого ступеня</w:t>
      </w:r>
      <w:r w:rsidR="004B7856" w:rsidRPr="00011582">
        <w:rPr>
          <w:sz w:val="28"/>
          <w:szCs w:val="28"/>
          <w:lang w:val="uk-UA"/>
        </w:rPr>
        <w:t xml:space="preserve"> узагальнення</w:t>
      </w:r>
      <w:r w:rsidRPr="00011582">
        <w:rPr>
          <w:sz w:val="28"/>
          <w:szCs w:val="28"/>
          <w:lang w:val="uk-UA"/>
        </w:rPr>
        <w:t>.</w:t>
      </w:r>
      <w:r w:rsidR="00C516A2" w:rsidRPr="00011582">
        <w:rPr>
          <w:sz w:val="28"/>
          <w:szCs w:val="28"/>
          <w:lang w:val="uk-UA"/>
        </w:rPr>
        <w:t xml:space="preserve"> У таблиці</w:t>
      </w:r>
      <w:r w:rsidR="00BB1DBE" w:rsidRPr="00011582">
        <w:rPr>
          <w:sz w:val="28"/>
          <w:szCs w:val="28"/>
          <w:lang w:val="uk-UA"/>
        </w:rPr>
        <w:t xml:space="preserve"> </w:t>
      </w:r>
      <w:r w:rsidR="00C516A2" w:rsidRPr="00011582">
        <w:rPr>
          <w:sz w:val="28"/>
          <w:szCs w:val="28"/>
          <w:lang w:val="uk-UA"/>
        </w:rPr>
        <w:t>13</w:t>
      </w:r>
      <w:r w:rsidR="00BB1DBE" w:rsidRPr="00011582">
        <w:rPr>
          <w:sz w:val="28"/>
          <w:szCs w:val="28"/>
          <w:lang w:val="uk-UA"/>
        </w:rPr>
        <w:t xml:space="preserve">.3 наводиться схема типізації країн </w:t>
      </w:r>
      <w:r w:rsidR="00C516A2" w:rsidRPr="00011582">
        <w:rPr>
          <w:sz w:val="28"/>
          <w:szCs w:val="28"/>
          <w:lang w:val="uk-UA"/>
        </w:rPr>
        <w:t xml:space="preserve">у відповідності до цивілізаційного підходу (див. лекцію № 11) </w:t>
      </w:r>
      <w:r w:rsidR="00BB1DBE" w:rsidRPr="00011582">
        <w:rPr>
          <w:sz w:val="28"/>
          <w:szCs w:val="28"/>
          <w:lang w:val="uk-UA"/>
        </w:rPr>
        <w:t xml:space="preserve">з використанням системно-структурного підходу, який ґрунтується на аналізі структури виробленого ВНП. Зазвичай ця структура прямо корелює із структурою </w:t>
      </w:r>
      <w:r w:rsidR="00F048E4" w:rsidRPr="00011582">
        <w:rPr>
          <w:sz w:val="28"/>
          <w:szCs w:val="28"/>
          <w:lang w:val="uk-UA"/>
        </w:rPr>
        <w:t>зайнятості</w:t>
      </w:r>
      <w:r w:rsidR="00BB1DBE" w:rsidRPr="00011582">
        <w:rPr>
          <w:sz w:val="28"/>
          <w:szCs w:val="28"/>
          <w:lang w:val="uk-UA"/>
        </w:rPr>
        <w:t xml:space="preserve"> економічно активного населення.</w:t>
      </w:r>
    </w:p>
    <w:p w:rsidR="00011582" w:rsidRDefault="00011582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</w:p>
    <w:p w:rsidR="0031260B" w:rsidRPr="00011582" w:rsidRDefault="0031260B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sz w:val="28"/>
          <w:szCs w:val="28"/>
          <w:lang w:val="uk-UA"/>
        </w:rPr>
        <w:t xml:space="preserve">Таблиця </w:t>
      </w:r>
      <w:r w:rsidR="00C516A2" w:rsidRPr="00011582">
        <w:rPr>
          <w:sz w:val="28"/>
          <w:szCs w:val="28"/>
          <w:lang w:val="uk-UA"/>
        </w:rPr>
        <w:t>13</w:t>
      </w:r>
      <w:r w:rsidR="002A1FBE" w:rsidRPr="00011582">
        <w:rPr>
          <w:sz w:val="28"/>
          <w:szCs w:val="28"/>
          <w:lang w:val="uk-UA"/>
        </w:rPr>
        <w:t>.</w:t>
      </w:r>
      <w:r w:rsidRPr="00011582">
        <w:rPr>
          <w:sz w:val="28"/>
          <w:szCs w:val="28"/>
          <w:lang w:val="uk-UA"/>
        </w:rPr>
        <w:t>3.</w:t>
      </w:r>
    </w:p>
    <w:p w:rsidR="0031260B" w:rsidRPr="00011582" w:rsidRDefault="0031260B" w:rsidP="00011582">
      <w:pPr>
        <w:widowControl w:val="0"/>
        <w:spacing w:line="36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  <w:r w:rsidRPr="00011582">
        <w:rPr>
          <w:b/>
          <w:sz w:val="28"/>
          <w:szCs w:val="28"/>
          <w:lang w:val="uk-UA"/>
        </w:rPr>
        <w:t>Розподіл країн світу залежно від стадії соціально-економічного розвитку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7740"/>
      </w:tblGrid>
      <w:tr w:rsidR="0031260B" w:rsidRPr="00011582">
        <w:tc>
          <w:tcPr>
            <w:tcW w:w="1980" w:type="dxa"/>
            <w:vAlign w:val="center"/>
          </w:tcPr>
          <w:p w:rsidR="00A34DC1" w:rsidRPr="00011582" w:rsidRDefault="00A34DC1" w:rsidP="00011582">
            <w:pPr>
              <w:widowControl w:val="0"/>
              <w:spacing w:line="360" w:lineRule="auto"/>
              <w:contextualSpacing/>
              <w:jc w:val="both"/>
              <w:rPr>
                <w:b/>
                <w:lang w:val="uk-UA"/>
              </w:rPr>
            </w:pPr>
            <w:r w:rsidRPr="00011582">
              <w:rPr>
                <w:b/>
                <w:lang w:val="uk-UA"/>
              </w:rPr>
              <w:t>Тип країн,</w:t>
            </w:r>
          </w:p>
          <w:p w:rsidR="0031260B" w:rsidRPr="00011582" w:rsidRDefault="0031260B" w:rsidP="00011582">
            <w:pPr>
              <w:widowControl w:val="0"/>
              <w:spacing w:line="360" w:lineRule="auto"/>
              <w:contextualSpacing/>
              <w:jc w:val="both"/>
              <w:rPr>
                <w:b/>
                <w:lang w:val="uk-UA"/>
              </w:rPr>
            </w:pPr>
            <w:r w:rsidRPr="00011582">
              <w:rPr>
                <w:b/>
                <w:lang w:val="uk-UA"/>
              </w:rPr>
              <w:t>їх кількість</w:t>
            </w:r>
          </w:p>
        </w:tc>
        <w:tc>
          <w:tcPr>
            <w:tcW w:w="7740" w:type="dxa"/>
            <w:vAlign w:val="center"/>
          </w:tcPr>
          <w:p w:rsidR="0031260B" w:rsidRPr="00011582" w:rsidRDefault="0031260B" w:rsidP="00011582">
            <w:pPr>
              <w:widowControl w:val="0"/>
              <w:spacing w:line="360" w:lineRule="auto"/>
              <w:contextualSpacing/>
              <w:jc w:val="both"/>
              <w:rPr>
                <w:b/>
                <w:lang w:val="uk-UA"/>
              </w:rPr>
            </w:pPr>
            <w:r w:rsidRPr="00011582">
              <w:rPr>
                <w:b/>
                <w:lang w:val="uk-UA"/>
              </w:rPr>
              <w:t>Стисла характеристика типу</w:t>
            </w:r>
          </w:p>
        </w:tc>
      </w:tr>
      <w:tr w:rsidR="0031260B" w:rsidRPr="00011582">
        <w:tc>
          <w:tcPr>
            <w:tcW w:w="1980" w:type="dxa"/>
          </w:tcPr>
          <w:p w:rsidR="00787B19" w:rsidRPr="00011582" w:rsidRDefault="0031260B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Постіндустріа</w:t>
            </w:r>
            <w:r w:rsidR="00787B19" w:rsidRPr="00011582">
              <w:rPr>
                <w:lang w:val="uk-UA"/>
              </w:rPr>
              <w:t>льні,</w:t>
            </w:r>
          </w:p>
          <w:p w:rsidR="0031260B" w:rsidRPr="00011582" w:rsidRDefault="00FB71D2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≈</w:t>
            </w:r>
            <w:r w:rsidR="0031260B" w:rsidRPr="00011582">
              <w:rPr>
                <w:lang w:val="uk-UA"/>
              </w:rPr>
              <w:t>20</w:t>
            </w:r>
          </w:p>
        </w:tc>
        <w:tc>
          <w:tcPr>
            <w:tcW w:w="7740" w:type="dxa"/>
          </w:tcPr>
          <w:p w:rsidR="0031260B" w:rsidRPr="00011582" w:rsidRDefault="0031260B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 xml:space="preserve">Надзвичайно високий рівень освіти і кваліфікації трудових ресурсів та продуктивності праці. Найсучасніші технології, які дають змогу скоротити зайнятість у сільському господарстві до 2-3% усього економічно активного населення, в промисловості та будівництві – до 15-20% (промислове виробництво поступово переміщується в індустріальні та нові індустріальні країни). Частка сервісних галузей сягає 60-80% (особливо фінансове </w:t>
            </w:r>
            <w:r w:rsidR="007D20BB" w:rsidRPr="00011582">
              <w:rPr>
                <w:lang w:val="uk-UA"/>
              </w:rPr>
              <w:t xml:space="preserve">та наукове </w:t>
            </w:r>
            <w:r w:rsidRPr="00011582">
              <w:rPr>
                <w:lang w:val="uk-UA"/>
              </w:rPr>
              <w:t xml:space="preserve">обслуговування, продаж патентів, </w:t>
            </w:r>
            <w:r w:rsidR="007D20BB" w:rsidRPr="00011582">
              <w:rPr>
                <w:lang w:val="uk-UA"/>
              </w:rPr>
              <w:t>«</w:t>
            </w:r>
            <w:r w:rsidRPr="00011582">
              <w:rPr>
                <w:lang w:val="uk-UA"/>
              </w:rPr>
              <w:t>ноу-хау</w:t>
            </w:r>
            <w:r w:rsidR="007D20BB" w:rsidRPr="00011582">
              <w:rPr>
                <w:lang w:val="uk-UA"/>
              </w:rPr>
              <w:t>»</w:t>
            </w:r>
            <w:r w:rsidRPr="00011582">
              <w:rPr>
                <w:lang w:val="uk-UA"/>
              </w:rPr>
              <w:t>, навчання кадрів, маркетинг, менеджмент тощо).</w:t>
            </w:r>
          </w:p>
        </w:tc>
      </w:tr>
      <w:tr w:rsidR="0031260B" w:rsidRPr="00011582">
        <w:tc>
          <w:tcPr>
            <w:tcW w:w="1980" w:type="dxa"/>
          </w:tcPr>
          <w:p w:rsidR="0031260B" w:rsidRPr="00011582" w:rsidRDefault="0031260B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Індустріальні,</w:t>
            </w:r>
          </w:p>
          <w:p w:rsidR="0031260B" w:rsidRPr="00011582" w:rsidRDefault="00FB71D2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≈</w:t>
            </w:r>
            <w:r w:rsidR="0031260B" w:rsidRPr="00011582">
              <w:rPr>
                <w:lang w:val="uk-UA"/>
              </w:rPr>
              <w:t>30</w:t>
            </w:r>
          </w:p>
        </w:tc>
        <w:tc>
          <w:tcPr>
            <w:tcW w:w="7740" w:type="dxa"/>
          </w:tcPr>
          <w:p w:rsidR="0031260B" w:rsidRPr="00011582" w:rsidRDefault="0031260B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 xml:space="preserve">Мають дещо нижчу продуктивність праці, тому частка зайнятих в сільському господарстві зростає до 15-20%, а в промисловості, будівництві, транспорті – до 50%. Основою промисловості виступають галузі </w:t>
            </w:r>
            <w:r w:rsidR="007D20BB" w:rsidRPr="00011582">
              <w:rPr>
                <w:lang w:val="uk-UA"/>
              </w:rPr>
              <w:t>«</w:t>
            </w:r>
            <w:r w:rsidRPr="00011582">
              <w:rPr>
                <w:lang w:val="uk-UA"/>
              </w:rPr>
              <w:t>авангардної трій</w:t>
            </w:r>
            <w:r w:rsidR="007D20BB" w:rsidRPr="00011582">
              <w:rPr>
                <w:lang w:val="uk-UA"/>
              </w:rPr>
              <w:t>ки»</w:t>
            </w:r>
            <w:r w:rsidRPr="00011582">
              <w:rPr>
                <w:lang w:val="uk-UA"/>
              </w:rPr>
              <w:t>. Частка сфери обслуговування – на рівні 20-30% економічно активного населення, за сучасними поглядами є недостатньою (особливо це відчувається на рівні послуг високого рангу).</w:t>
            </w:r>
          </w:p>
        </w:tc>
      </w:tr>
      <w:tr w:rsidR="0031260B" w:rsidRPr="00011582">
        <w:tc>
          <w:tcPr>
            <w:tcW w:w="1980" w:type="dxa"/>
          </w:tcPr>
          <w:p w:rsidR="00787B19" w:rsidRPr="00011582" w:rsidRDefault="0031260B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Нові індустріальні,</w:t>
            </w:r>
          </w:p>
          <w:p w:rsidR="0031260B" w:rsidRPr="00011582" w:rsidRDefault="00FB71D2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≈</w:t>
            </w:r>
            <w:r w:rsidR="00EC121D" w:rsidRPr="00011582">
              <w:rPr>
                <w:lang w:val="uk-UA"/>
              </w:rPr>
              <w:t>85</w:t>
            </w:r>
          </w:p>
        </w:tc>
        <w:tc>
          <w:tcPr>
            <w:tcW w:w="7740" w:type="dxa"/>
          </w:tcPr>
          <w:p w:rsidR="0031260B" w:rsidRPr="00011582" w:rsidRDefault="0031260B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 xml:space="preserve">Мають приблизно паритетний розподіл економічно активного населення по трьох основних сферах прикладання праці (по 30-35%). В промисловості виділяються підвищеною часткою гірничодобувних галузей (особливо це стосується </w:t>
            </w:r>
            <w:r w:rsidR="007D20BB" w:rsidRPr="00011582">
              <w:rPr>
                <w:lang w:val="uk-UA"/>
              </w:rPr>
              <w:t>«нафтодобувних»</w:t>
            </w:r>
            <w:r w:rsidRPr="00011582">
              <w:rPr>
                <w:lang w:val="uk-UA"/>
              </w:rPr>
              <w:t xml:space="preserve"> країн). В обробній промисловості, на відміну від індустріальних країн вирізняються більшою часткою легкої та харчової промисловості, а також виробництва основних конструкційних матеріалів.</w:t>
            </w:r>
          </w:p>
        </w:tc>
      </w:tr>
      <w:tr w:rsidR="0031260B" w:rsidRPr="00011582">
        <w:tc>
          <w:tcPr>
            <w:tcW w:w="1980" w:type="dxa"/>
          </w:tcPr>
          <w:p w:rsidR="0031260B" w:rsidRPr="00011582" w:rsidRDefault="0031260B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Доіндустріальні,</w:t>
            </w:r>
          </w:p>
          <w:p w:rsidR="0031260B" w:rsidRPr="00011582" w:rsidRDefault="00FB71D2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>≈</w:t>
            </w:r>
            <w:r w:rsidR="00EC121D" w:rsidRPr="00011582">
              <w:rPr>
                <w:lang w:val="uk-UA"/>
              </w:rPr>
              <w:t>95</w:t>
            </w:r>
          </w:p>
        </w:tc>
        <w:tc>
          <w:tcPr>
            <w:tcW w:w="7740" w:type="dxa"/>
          </w:tcPr>
          <w:p w:rsidR="0031260B" w:rsidRPr="00011582" w:rsidRDefault="0031260B" w:rsidP="00011582">
            <w:pPr>
              <w:widowControl w:val="0"/>
              <w:spacing w:line="360" w:lineRule="auto"/>
              <w:contextualSpacing/>
              <w:jc w:val="both"/>
              <w:rPr>
                <w:lang w:val="uk-UA"/>
              </w:rPr>
            </w:pPr>
            <w:r w:rsidRPr="00011582">
              <w:rPr>
                <w:lang w:val="uk-UA"/>
              </w:rPr>
              <w:t xml:space="preserve">Від 70 до 95% </w:t>
            </w:r>
            <w:r w:rsidR="00CD3190" w:rsidRPr="00011582">
              <w:rPr>
                <w:lang w:val="uk-UA"/>
              </w:rPr>
              <w:t xml:space="preserve">економічно активного </w:t>
            </w:r>
            <w:r w:rsidRPr="00011582">
              <w:rPr>
                <w:lang w:val="uk-UA"/>
              </w:rPr>
              <w:t xml:space="preserve">населення пов’язано із сільським, лісовим господарством, рибальством, мисливством тощо. Іноді досить розвинений сервіс низького рангу – </w:t>
            </w:r>
            <w:r w:rsidR="007D20BB" w:rsidRPr="00011582">
              <w:rPr>
                <w:lang w:val="uk-UA"/>
              </w:rPr>
              <w:t>«</w:t>
            </w:r>
            <w:r w:rsidRPr="00011582">
              <w:rPr>
                <w:lang w:val="uk-UA"/>
              </w:rPr>
              <w:t>від біднос</w:t>
            </w:r>
            <w:r w:rsidR="007D20BB" w:rsidRPr="00011582">
              <w:rPr>
                <w:lang w:val="uk-UA"/>
              </w:rPr>
              <w:t>ті»</w:t>
            </w:r>
            <w:r w:rsidRPr="00011582">
              <w:rPr>
                <w:lang w:val="uk-UA"/>
              </w:rPr>
              <w:t>, оскільки ці країни не мають сформованої промислової бази. Звільнення робочих рук у сільському господарстві призводить до аграрного перенаселення, хибної урбанізації та зростання безробіття.</w:t>
            </w:r>
          </w:p>
        </w:tc>
      </w:tr>
    </w:tbl>
    <w:p w:rsidR="0031260B" w:rsidRPr="00011582" w:rsidRDefault="0031260B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</w:p>
    <w:p w:rsidR="001A6640" w:rsidRPr="00011582" w:rsidRDefault="00475BD8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sz w:val="28"/>
          <w:szCs w:val="28"/>
          <w:lang w:val="uk-UA"/>
        </w:rPr>
        <w:t>«Елітою», «вершками» сучасного світу є постіндустріальні країни.</w:t>
      </w:r>
      <w:r w:rsidR="00E44F2B" w:rsidRPr="00011582">
        <w:rPr>
          <w:sz w:val="28"/>
          <w:szCs w:val="28"/>
          <w:lang w:val="uk-UA"/>
        </w:rPr>
        <w:t xml:space="preserve"> </w:t>
      </w:r>
      <w:r w:rsidR="00D07DA3" w:rsidRPr="00011582">
        <w:rPr>
          <w:sz w:val="28"/>
          <w:szCs w:val="28"/>
          <w:lang w:val="uk-UA"/>
        </w:rPr>
        <w:t>Всі ці країни розташовані у північній півкулі</w:t>
      </w:r>
      <w:r w:rsidR="00AE10BA" w:rsidRPr="00011582">
        <w:rPr>
          <w:sz w:val="28"/>
          <w:szCs w:val="28"/>
          <w:lang w:val="uk-UA"/>
        </w:rPr>
        <w:t xml:space="preserve"> (див. рис. 13.1)</w:t>
      </w:r>
      <w:r w:rsidR="00D07DA3" w:rsidRPr="00011582">
        <w:rPr>
          <w:sz w:val="28"/>
          <w:szCs w:val="28"/>
          <w:lang w:val="uk-UA"/>
        </w:rPr>
        <w:t xml:space="preserve">. </w:t>
      </w:r>
      <w:r w:rsidR="00E44F2B" w:rsidRPr="00011582">
        <w:rPr>
          <w:sz w:val="28"/>
          <w:szCs w:val="28"/>
          <w:lang w:val="uk-UA"/>
        </w:rPr>
        <w:t>За межами Європи до них відносяться лише США і Японія.</w:t>
      </w:r>
      <w:r w:rsidR="00FB7287" w:rsidRPr="00011582">
        <w:rPr>
          <w:sz w:val="28"/>
          <w:szCs w:val="28"/>
          <w:lang w:val="uk-UA"/>
        </w:rPr>
        <w:t xml:space="preserve"> Європейські представники цього типу – це ФРН, Великобританія, Франція, Італія, Швеція, Швейцарія, Австрія, Норвегія, Фінляндія, Данія, Нідерланди, Бельгія</w:t>
      </w:r>
      <w:r w:rsidR="00D07DA3" w:rsidRPr="00011582">
        <w:rPr>
          <w:sz w:val="28"/>
          <w:szCs w:val="28"/>
          <w:lang w:val="uk-UA"/>
        </w:rPr>
        <w:t>, Люксембург та інші.</w:t>
      </w:r>
    </w:p>
    <w:p w:rsidR="00D07DA3" w:rsidRPr="00011582" w:rsidRDefault="00D07DA3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sz w:val="28"/>
          <w:szCs w:val="28"/>
          <w:lang w:val="uk-UA"/>
        </w:rPr>
        <w:t>Індустріальними в Європі є Іспанія, Португалія, Ірландія, Греція та всі постсоціалістичні країни (наприклад, Польща, Болгарія, Румунія, Македонія, Чехія, Словаччина, Словенія), серед яких й Україна. Новими індустріальними в Європі слід вважати лише Албанію та Боснію і Герцеговину. Доіндустріальних країн в Європі немає.</w:t>
      </w:r>
    </w:p>
    <w:p w:rsidR="00AE10BA" w:rsidRPr="00011582" w:rsidRDefault="00AE10BA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AE10BA" w:rsidRPr="00011582" w:rsidRDefault="00144AC2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2.5pt;height:263.25pt" fillcolor="window">
            <v:imagedata r:id="rId6" o:title=""/>
          </v:shape>
        </w:pict>
      </w:r>
    </w:p>
    <w:p w:rsidR="00AE10BA" w:rsidRPr="00011582" w:rsidRDefault="00AE10BA" w:rsidP="00011582">
      <w:pPr>
        <w:pStyle w:val="af2"/>
        <w:widowControl w:val="0"/>
        <w:spacing w:line="360" w:lineRule="auto"/>
        <w:ind w:firstLine="709"/>
        <w:contextualSpacing/>
        <w:jc w:val="both"/>
        <w:rPr>
          <w:i/>
          <w:szCs w:val="28"/>
        </w:rPr>
      </w:pPr>
      <w:r w:rsidRPr="00011582">
        <w:rPr>
          <w:szCs w:val="28"/>
        </w:rPr>
        <w:t>Рис. 13.1. Соціально-економічна типологія країн світу</w:t>
      </w:r>
    </w:p>
    <w:p w:rsidR="009F713F" w:rsidRPr="00011582" w:rsidRDefault="009226CE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sz w:val="28"/>
          <w:szCs w:val="28"/>
          <w:lang w:val="uk-UA"/>
        </w:rPr>
        <w:t>А, наприклад, в Африці немає постіндустріальних країн, та й індустріальна країна лише одна – ПАР.</w:t>
      </w:r>
      <w:r w:rsidR="00383696" w:rsidRPr="00011582">
        <w:rPr>
          <w:sz w:val="28"/>
          <w:szCs w:val="28"/>
          <w:lang w:val="uk-UA"/>
        </w:rPr>
        <w:t xml:space="preserve"> Група середземноморських країн (від Марокко до Єгипту) є новими індустріальними, далі ж на південь йде суцільний масив доіндустріальних країн.</w:t>
      </w:r>
    </w:p>
    <w:p w:rsidR="009F713F" w:rsidRPr="00011582" w:rsidRDefault="009E43DE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sz w:val="28"/>
          <w:szCs w:val="28"/>
          <w:lang w:val="uk-UA"/>
        </w:rPr>
        <w:t>Латинська Америка виділяється переважанням нових індустріальних країн (Мексика, Бразилія, Аргентина</w:t>
      </w:r>
      <w:r w:rsidR="00807B23" w:rsidRPr="00011582">
        <w:rPr>
          <w:sz w:val="28"/>
          <w:szCs w:val="28"/>
          <w:lang w:val="uk-UA"/>
        </w:rPr>
        <w:t>, Венесуела</w:t>
      </w:r>
      <w:r w:rsidR="009F713F" w:rsidRPr="00011582">
        <w:rPr>
          <w:sz w:val="28"/>
          <w:szCs w:val="28"/>
          <w:lang w:val="uk-UA"/>
        </w:rPr>
        <w:t>, Колумбія</w:t>
      </w:r>
      <w:r w:rsidR="00807B23" w:rsidRPr="00011582">
        <w:rPr>
          <w:sz w:val="28"/>
          <w:szCs w:val="28"/>
          <w:lang w:val="uk-UA"/>
        </w:rPr>
        <w:t xml:space="preserve"> та ін.</w:t>
      </w:r>
      <w:r w:rsidRPr="00011582">
        <w:rPr>
          <w:sz w:val="28"/>
          <w:szCs w:val="28"/>
          <w:lang w:val="uk-UA"/>
        </w:rPr>
        <w:t>).</w:t>
      </w:r>
      <w:r w:rsidR="009F713F" w:rsidRPr="00011582">
        <w:rPr>
          <w:sz w:val="28"/>
          <w:szCs w:val="28"/>
          <w:lang w:val="uk-UA"/>
        </w:rPr>
        <w:t xml:space="preserve"> На материку доіндустріальних </w:t>
      </w:r>
      <w:r w:rsidR="00075765" w:rsidRPr="00011582">
        <w:rPr>
          <w:sz w:val="28"/>
          <w:szCs w:val="28"/>
          <w:lang w:val="uk-UA"/>
        </w:rPr>
        <w:t>небагато</w:t>
      </w:r>
      <w:r w:rsidR="009F713F" w:rsidRPr="00011582">
        <w:rPr>
          <w:sz w:val="28"/>
          <w:szCs w:val="28"/>
          <w:lang w:val="uk-UA"/>
        </w:rPr>
        <w:t xml:space="preserve"> (Нікарагуа, Гондурас, Г</w:t>
      </w:r>
      <w:r w:rsidR="00075765" w:rsidRPr="00011582">
        <w:rPr>
          <w:sz w:val="28"/>
          <w:szCs w:val="28"/>
          <w:lang w:val="uk-UA"/>
        </w:rPr>
        <w:t>ватемал</w:t>
      </w:r>
      <w:r w:rsidR="009F713F" w:rsidRPr="00011582">
        <w:rPr>
          <w:sz w:val="28"/>
          <w:szCs w:val="28"/>
          <w:lang w:val="uk-UA"/>
        </w:rPr>
        <w:t xml:space="preserve">а), у Карибському басейні – Гаїті, </w:t>
      </w:r>
      <w:r w:rsidR="00ED4731" w:rsidRPr="00011582">
        <w:rPr>
          <w:sz w:val="28"/>
          <w:szCs w:val="28"/>
          <w:lang w:val="uk-UA"/>
        </w:rPr>
        <w:t>Монтсеррат</w:t>
      </w:r>
      <w:r w:rsidR="00B0317B" w:rsidRPr="00011582">
        <w:rPr>
          <w:sz w:val="28"/>
          <w:szCs w:val="28"/>
          <w:lang w:val="uk-UA"/>
        </w:rPr>
        <w:t>, Гренада</w:t>
      </w:r>
      <w:r w:rsidR="00ED4731" w:rsidRPr="00011582">
        <w:rPr>
          <w:sz w:val="28"/>
          <w:szCs w:val="28"/>
          <w:lang w:val="uk-UA"/>
        </w:rPr>
        <w:t xml:space="preserve"> та ін.</w:t>
      </w:r>
    </w:p>
    <w:p w:rsidR="009226CE" w:rsidRPr="00011582" w:rsidRDefault="00807B23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sz w:val="28"/>
          <w:szCs w:val="28"/>
          <w:lang w:val="uk-UA"/>
        </w:rPr>
        <w:t>В Азії ситуація є перехідною: Росія, Туреччина, Ізраїль – індустріальні країни; Китай, Індія, Саудівська Аравія, Іран, Ірак</w:t>
      </w:r>
      <w:r w:rsidR="00A70BFE" w:rsidRPr="00011582">
        <w:rPr>
          <w:sz w:val="28"/>
          <w:szCs w:val="28"/>
          <w:lang w:val="uk-UA"/>
        </w:rPr>
        <w:t>, Індонезія, Малайзія</w:t>
      </w:r>
      <w:r w:rsidRPr="00011582">
        <w:rPr>
          <w:sz w:val="28"/>
          <w:szCs w:val="28"/>
          <w:lang w:val="uk-UA"/>
        </w:rPr>
        <w:t xml:space="preserve"> – нові індустріальні; водночас чимало доіндустріальних країн (Афганістан, Ємен, Непал, Бутан, М’янма, Камбоджа, Лаос).</w:t>
      </w:r>
    </w:p>
    <w:p w:rsidR="00A70BFE" w:rsidRPr="00011582" w:rsidRDefault="00A70BFE" w:rsidP="00011582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11582">
        <w:rPr>
          <w:sz w:val="28"/>
          <w:szCs w:val="28"/>
          <w:lang w:val="uk-UA"/>
        </w:rPr>
        <w:t xml:space="preserve">В Австралії та Океанії вирізняються зрілою структурою господарства лише Австралійський Союз та Нова Зеландія (індустріальні країни). Новими індустріальними в цьому регіоні є </w:t>
      </w:r>
      <w:r w:rsidR="00DE1911" w:rsidRPr="00011582">
        <w:rPr>
          <w:sz w:val="28"/>
          <w:szCs w:val="28"/>
          <w:lang w:val="uk-UA"/>
        </w:rPr>
        <w:t xml:space="preserve">Науру, </w:t>
      </w:r>
      <w:r w:rsidRPr="00011582">
        <w:rPr>
          <w:sz w:val="28"/>
          <w:szCs w:val="28"/>
          <w:lang w:val="uk-UA"/>
        </w:rPr>
        <w:t>Фіджі, Нова Каледонія, Французька Полінезія. Інші ж країни – доіндустріальні (Папуа – Нова Гвінея, Соломонові Острови</w:t>
      </w:r>
      <w:r w:rsidR="005D781E" w:rsidRPr="00011582">
        <w:rPr>
          <w:sz w:val="28"/>
          <w:szCs w:val="28"/>
          <w:lang w:val="uk-UA"/>
        </w:rPr>
        <w:t>, Північні Маріанські Острови</w:t>
      </w:r>
      <w:r w:rsidR="00DE1911" w:rsidRPr="00011582">
        <w:rPr>
          <w:sz w:val="28"/>
          <w:szCs w:val="28"/>
          <w:lang w:val="uk-UA"/>
        </w:rPr>
        <w:t xml:space="preserve">, Федеративні Штати Мікронезії, </w:t>
      </w:r>
      <w:r w:rsidR="009F713F" w:rsidRPr="00011582">
        <w:rPr>
          <w:sz w:val="28"/>
          <w:szCs w:val="28"/>
          <w:lang w:val="uk-UA"/>
        </w:rPr>
        <w:t>Піткерн</w:t>
      </w:r>
      <w:r w:rsidRPr="00011582">
        <w:rPr>
          <w:sz w:val="28"/>
          <w:szCs w:val="28"/>
          <w:lang w:val="uk-UA"/>
        </w:rPr>
        <w:t xml:space="preserve"> </w:t>
      </w:r>
      <w:r w:rsidR="005D781E" w:rsidRPr="00011582">
        <w:rPr>
          <w:sz w:val="28"/>
          <w:szCs w:val="28"/>
          <w:lang w:val="uk-UA"/>
        </w:rPr>
        <w:t xml:space="preserve">і </w:t>
      </w:r>
      <w:r w:rsidRPr="00011582">
        <w:rPr>
          <w:sz w:val="28"/>
          <w:szCs w:val="28"/>
          <w:lang w:val="uk-UA"/>
        </w:rPr>
        <w:t>т.</w:t>
      </w:r>
      <w:r w:rsidR="005D781E" w:rsidRPr="00011582">
        <w:rPr>
          <w:sz w:val="28"/>
          <w:szCs w:val="28"/>
          <w:lang w:val="uk-UA"/>
        </w:rPr>
        <w:t>д.</w:t>
      </w:r>
      <w:r w:rsidRPr="00011582">
        <w:rPr>
          <w:sz w:val="28"/>
          <w:szCs w:val="28"/>
          <w:lang w:val="uk-UA"/>
        </w:rPr>
        <w:t>).</w:t>
      </w:r>
      <w:bookmarkStart w:id="0" w:name="_GoBack"/>
      <w:bookmarkEnd w:id="0"/>
    </w:p>
    <w:sectPr w:rsidR="00A70BFE" w:rsidRPr="00011582" w:rsidSect="00011582">
      <w:footerReference w:type="even" r:id="rId7"/>
      <w:pgSz w:w="11906" w:h="16838" w:code="9"/>
      <w:pgMar w:top="1134" w:right="851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472" w:rsidRDefault="00E56472">
      <w:r>
        <w:separator/>
      </w:r>
    </w:p>
  </w:endnote>
  <w:endnote w:type="continuationSeparator" w:id="0">
    <w:p w:rsidR="00E56472" w:rsidRDefault="00E56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AEB" w:rsidRDefault="005C4AEB">
    <w:pPr>
      <w:pStyle w:val="a6"/>
      <w:framePr w:wrap="around" w:vAnchor="text" w:hAnchor="margin" w:xAlign="center" w:y="1"/>
      <w:rPr>
        <w:rStyle w:val="a5"/>
      </w:rPr>
    </w:pPr>
  </w:p>
  <w:p w:rsidR="005C4AEB" w:rsidRDefault="005C4A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472" w:rsidRDefault="00E56472">
      <w:r>
        <w:separator/>
      </w:r>
    </w:p>
  </w:footnote>
  <w:footnote w:type="continuationSeparator" w:id="0">
    <w:p w:rsidR="00E56472" w:rsidRDefault="00E56472">
      <w:r>
        <w:continuationSeparator/>
      </w:r>
    </w:p>
  </w:footnote>
  <w:footnote w:id="1">
    <w:p w:rsidR="00E56472" w:rsidRDefault="005C4AEB" w:rsidP="00967420">
      <w:pPr>
        <w:pStyle w:val="aa"/>
        <w:jc w:val="both"/>
      </w:pPr>
      <w:r>
        <w:rPr>
          <w:rStyle w:val="ac"/>
        </w:rPr>
        <w:footnoteRef/>
      </w:r>
      <w:r>
        <w:t xml:space="preserve"> </w:t>
      </w:r>
      <w:r>
        <w:rPr>
          <w:lang w:val="uk-UA"/>
        </w:rPr>
        <w:t>До речі, Швейцарія є світовим лідером за часткою доларових мільйонерів – 2,7% від усього населення. За нею йдуть ОАЕ (1,8%), Сінгапур (1,7%), Норвегія (1,3%), Японія (1,2%). США і ФРН за цим показником поділяють 6-7 місця (по 1%). Загалом близько 10 млн. осіб в світі мають статки більше 1 млн. $.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284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78CA"/>
    <w:rsid w:val="000059F5"/>
    <w:rsid w:val="00011582"/>
    <w:rsid w:val="000118C5"/>
    <w:rsid w:val="00015BDE"/>
    <w:rsid w:val="0002485F"/>
    <w:rsid w:val="000334CA"/>
    <w:rsid w:val="000360FE"/>
    <w:rsid w:val="00075765"/>
    <w:rsid w:val="00086EE5"/>
    <w:rsid w:val="00090367"/>
    <w:rsid w:val="000A5E1C"/>
    <w:rsid w:val="000B47F5"/>
    <w:rsid w:val="000C08B5"/>
    <w:rsid w:val="000E6DBA"/>
    <w:rsid w:val="0011293A"/>
    <w:rsid w:val="00115E2C"/>
    <w:rsid w:val="001230AF"/>
    <w:rsid w:val="00144AC2"/>
    <w:rsid w:val="001735B5"/>
    <w:rsid w:val="0019759E"/>
    <w:rsid w:val="001A6640"/>
    <w:rsid w:val="001B2B29"/>
    <w:rsid w:val="001C71BB"/>
    <w:rsid w:val="001E78B1"/>
    <w:rsid w:val="001F13B2"/>
    <w:rsid w:val="001F527F"/>
    <w:rsid w:val="001F5312"/>
    <w:rsid w:val="00224592"/>
    <w:rsid w:val="0022653C"/>
    <w:rsid w:val="00244548"/>
    <w:rsid w:val="00271B24"/>
    <w:rsid w:val="00273586"/>
    <w:rsid w:val="00282501"/>
    <w:rsid w:val="002A1FBE"/>
    <w:rsid w:val="002A5FF4"/>
    <w:rsid w:val="002B142C"/>
    <w:rsid w:val="002E3BDA"/>
    <w:rsid w:val="002E4F96"/>
    <w:rsid w:val="00301989"/>
    <w:rsid w:val="0031260B"/>
    <w:rsid w:val="00334B2E"/>
    <w:rsid w:val="00361F15"/>
    <w:rsid w:val="00383696"/>
    <w:rsid w:val="00387459"/>
    <w:rsid w:val="003B2C6A"/>
    <w:rsid w:val="003B41B6"/>
    <w:rsid w:val="003D0CFC"/>
    <w:rsid w:val="003D2AEC"/>
    <w:rsid w:val="003D6958"/>
    <w:rsid w:val="003F5CBF"/>
    <w:rsid w:val="004108B0"/>
    <w:rsid w:val="004157B0"/>
    <w:rsid w:val="0045748A"/>
    <w:rsid w:val="00475BD8"/>
    <w:rsid w:val="00484A66"/>
    <w:rsid w:val="004862AA"/>
    <w:rsid w:val="00487757"/>
    <w:rsid w:val="00494922"/>
    <w:rsid w:val="004A4988"/>
    <w:rsid w:val="004B29F0"/>
    <w:rsid w:val="004B7856"/>
    <w:rsid w:val="004C649E"/>
    <w:rsid w:val="00523D65"/>
    <w:rsid w:val="00534FD5"/>
    <w:rsid w:val="0057208B"/>
    <w:rsid w:val="00586E75"/>
    <w:rsid w:val="00597348"/>
    <w:rsid w:val="005A3AC3"/>
    <w:rsid w:val="005A4A9D"/>
    <w:rsid w:val="005C4AEB"/>
    <w:rsid w:val="005D781E"/>
    <w:rsid w:val="005E1434"/>
    <w:rsid w:val="005E59D9"/>
    <w:rsid w:val="005F0ABF"/>
    <w:rsid w:val="005F754A"/>
    <w:rsid w:val="00604D42"/>
    <w:rsid w:val="0060778B"/>
    <w:rsid w:val="00613744"/>
    <w:rsid w:val="00655B11"/>
    <w:rsid w:val="006877D5"/>
    <w:rsid w:val="006F0FFC"/>
    <w:rsid w:val="00704F9F"/>
    <w:rsid w:val="00705F98"/>
    <w:rsid w:val="007377FB"/>
    <w:rsid w:val="00747CE8"/>
    <w:rsid w:val="0077118C"/>
    <w:rsid w:val="00787B19"/>
    <w:rsid w:val="007D20BB"/>
    <w:rsid w:val="007E0BA1"/>
    <w:rsid w:val="007F523E"/>
    <w:rsid w:val="00805C37"/>
    <w:rsid w:val="00807B23"/>
    <w:rsid w:val="0081061F"/>
    <w:rsid w:val="00817B65"/>
    <w:rsid w:val="00822594"/>
    <w:rsid w:val="00826D19"/>
    <w:rsid w:val="0083460B"/>
    <w:rsid w:val="00847541"/>
    <w:rsid w:val="0085138C"/>
    <w:rsid w:val="00874E1B"/>
    <w:rsid w:val="0089031C"/>
    <w:rsid w:val="008B4B2D"/>
    <w:rsid w:val="008C3E5D"/>
    <w:rsid w:val="008C61D5"/>
    <w:rsid w:val="008E6046"/>
    <w:rsid w:val="008F4F5C"/>
    <w:rsid w:val="009174EA"/>
    <w:rsid w:val="00917A8C"/>
    <w:rsid w:val="009226CE"/>
    <w:rsid w:val="00927E19"/>
    <w:rsid w:val="00954CAA"/>
    <w:rsid w:val="00967420"/>
    <w:rsid w:val="009678CA"/>
    <w:rsid w:val="00991001"/>
    <w:rsid w:val="00995D31"/>
    <w:rsid w:val="009A598C"/>
    <w:rsid w:val="009B7B87"/>
    <w:rsid w:val="009E3F4C"/>
    <w:rsid w:val="009E43DE"/>
    <w:rsid w:val="009F158D"/>
    <w:rsid w:val="009F713F"/>
    <w:rsid w:val="00A023AB"/>
    <w:rsid w:val="00A17A54"/>
    <w:rsid w:val="00A34DC1"/>
    <w:rsid w:val="00A54A16"/>
    <w:rsid w:val="00A61711"/>
    <w:rsid w:val="00A70BFE"/>
    <w:rsid w:val="00A73E83"/>
    <w:rsid w:val="00A75B29"/>
    <w:rsid w:val="00A85F69"/>
    <w:rsid w:val="00A9107C"/>
    <w:rsid w:val="00AA4FE6"/>
    <w:rsid w:val="00AB2820"/>
    <w:rsid w:val="00AB56AD"/>
    <w:rsid w:val="00AC0EBC"/>
    <w:rsid w:val="00AE10BA"/>
    <w:rsid w:val="00B0317B"/>
    <w:rsid w:val="00B10F9A"/>
    <w:rsid w:val="00B11FCB"/>
    <w:rsid w:val="00B13FD4"/>
    <w:rsid w:val="00B17319"/>
    <w:rsid w:val="00B31C64"/>
    <w:rsid w:val="00B937B1"/>
    <w:rsid w:val="00BB1DBE"/>
    <w:rsid w:val="00BC37F3"/>
    <w:rsid w:val="00BE17E5"/>
    <w:rsid w:val="00BE2EF4"/>
    <w:rsid w:val="00BE7EE0"/>
    <w:rsid w:val="00BF335D"/>
    <w:rsid w:val="00C02E3D"/>
    <w:rsid w:val="00C27330"/>
    <w:rsid w:val="00C43876"/>
    <w:rsid w:val="00C516A2"/>
    <w:rsid w:val="00C5285A"/>
    <w:rsid w:val="00C57C47"/>
    <w:rsid w:val="00C61100"/>
    <w:rsid w:val="00C74FCC"/>
    <w:rsid w:val="00CA1150"/>
    <w:rsid w:val="00CB0EDB"/>
    <w:rsid w:val="00CC0BF0"/>
    <w:rsid w:val="00CC1278"/>
    <w:rsid w:val="00CD09D9"/>
    <w:rsid w:val="00CD3190"/>
    <w:rsid w:val="00CD3B52"/>
    <w:rsid w:val="00CF2FF7"/>
    <w:rsid w:val="00D0020F"/>
    <w:rsid w:val="00D07DA3"/>
    <w:rsid w:val="00D525FC"/>
    <w:rsid w:val="00D535D9"/>
    <w:rsid w:val="00D62220"/>
    <w:rsid w:val="00D651DF"/>
    <w:rsid w:val="00D76884"/>
    <w:rsid w:val="00DC379E"/>
    <w:rsid w:val="00DD3B94"/>
    <w:rsid w:val="00DE1911"/>
    <w:rsid w:val="00DE3F6E"/>
    <w:rsid w:val="00E0697B"/>
    <w:rsid w:val="00E12D4F"/>
    <w:rsid w:val="00E40B6B"/>
    <w:rsid w:val="00E44F2B"/>
    <w:rsid w:val="00E55E98"/>
    <w:rsid w:val="00E56472"/>
    <w:rsid w:val="00E71500"/>
    <w:rsid w:val="00E94047"/>
    <w:rsid w:val="00E94644"/>
    <w:rsid w:val="00EB3CAA"/>
    <w:rsid w:val="00EC121D"/>
    <w:rsid w:val="00EC6070"/>
    <w:rsid w:val="00ED3A08"/>
    <w:rsid w:val="00ED4731"/>
    <w:rsid w:val="00EE6D1C"/>
    <w:rsid w:val="00F0007F"/>
    <w:rsid w:val="00F048E4"/>
    <w:rsid w:val="00F05020"/>
    <w:rsid w:val="00F20FBD"/>
    <w:rsid w:val="00F2612D"/>
    <w:rsid w:val="00F60E3D"/>
    <w:rsid w:val="00F64C13"/>
    <w:rsid w:val="00F8017D"/>
    <w:rsid w:val="00F9397A"/>
    <w:rsid w:val="00F966C1"/>
    <w:rsid w:val="00FA418E"/>
    <w:rsid w:val="00FB71D2"/>
    <w:rsid w:val="00FB7287"/>
    <w:rsid w:val="00FF0C52"/>
    <w:rsid w:val="00FF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B60D33EC-A0AE-4E52-8C69-4273D5C99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5D9"/>
  </w:style>
  <w:style w:type="paragraph" w:styleId="1">
    <w:name w:val="heading 1"/>
    <w:basedOn w:val="a"/>
    <w:next w:val="a"/>
    <w:link w:val="10"/>
    <w:uiPriority w:val="9"/>
    <w:qFormat/>
    <w:rsid w:val="00D535D9"/>
    <w:pPr>
      <w:keepNext/>
      <w:jc w:val="center"/>
      <w:outlineLvl w:val="0"/>
    </w:pPr>
    <w:rPr>
      <w:b/>
      <w:sz w:val="28"/>
      <w:lang w:val="uk-UA"/>
    </w:rPr>
  </w:style>
  <w:style w:type="paragraph" w:styleId="6">
    <w:name w:val="heading 6"/>
    <w:basedOn w:val="a"/>
    <w:next w:val="a"/>
    <w:link w:val="60"/>
    <w:uiPriority w:val="9"/>
    <w:qFormat/>
    <w:rsid w:val="0099100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991001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D535D9"/>
    <w:pPr>
      <w:ind w:firstLine="567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uiPriority w:val="99"/>
    <w:semiHidden/>
  </w:style>
  <w:style w:type="character" w:styleId="a5">
    <w:name w:val="page number"/>
    <w:uiPriority w:val="99"/>
    <w:rsid w:val="00D535D9"/>
    <w:rPr>
      <w:rFonts w:cs="Times New Roman"/>
    </w:rPr>
  </w:style>
  <w:style w:type="paragraph" w:styleId="a6">
    <w:name w:val="footer"/>
    <w:basedOn w:val="a"/>
    <w:link w:val="a7"/>
    <w:uiPriority w:val="99"/>
    <w:rsid w:val="00D535D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</w:style>
  <w:style w:type="paragraph" w:styleId="a8">
    <w:name w:val="Body Text"/>
    <w:basedOn w:val="a"/>
    <w:link w:val="a9"/>
    <w:uiPriority w:val="99"/>
    <w:rsid w:val="00D535D9"/>
    <w:pPr>
      <w:jc w:val="both"/>
    </w:pPr>
    <w:rPr>
      <w:sz w:val="28"/>
      <w:lang w:val="uk-UA"/>
    </w:rPr>
  </w:style>
  <w:style w:type="character" w:customStyle="1" w:styleId="a9">
    <w:name w:val="Основной текст Знак"/>
    <w:link w:val="a8"/>
    <w:uiPriority w:val="99"/>
    <w:semiHidden/>
  </w:style>
  <w:style w:type="paragraph" w:styleId="aa">
    <w:name w:val="footnote text"/>
    <w:basedOn w:val="a"/>
    <w:link w:val="ab"/>
    <w:uiPriority w:val="99"/>
    <w:semiHidden/>
    <w:rsid w:val="00D535D9"/>
  </w:style>
  <w:style w:type="character" w:customStyle="1" w:styleId="ab">
    <w:name w:val="Текст сноски Знак"/>
    <w:link w:val="aa"/>
    <w:uiPriority w:val="99"/>
    <w:semiHidden/>
  </w:style>
  <w:style w:type="character" w:styleId="ac">
    <w:name w:val="footnote reference"/>
    <w:uiPriority w:val="99"/>
    <w:semiHidden/>
    <w:rsid w:val="00D535D9"/>
    <w:rPr>
      <w:rFonts w:cs="Times New Roman"/>
      <w:vertAlign w:val="superscript"/>
    </w:rPr>
  </w:style>
  <w:style w:type="table" w:styleId="ad">
    <w:name w:val="Table Grid"/>
    <w:basedOn w:val="a1"/>
    <w:uiPriority w:val="59"/>
    <w:rsid w:val="00E715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rsid w:val="00CC127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sid w:val="00361F15"/>
    <w:rPr>
      <w:rFonts w:cs="Times New Roman"/>
      <w:lang w:val="ru-RU" w:eastAsia="ru-RU"/>
    </w:rPr>
  </w:style>
  <w:style w:type="paragraph" w:styleId="af0">
    <w:name w:val="Document Map"/>
    <w:basedOn w:val="a"/>
    <w:link w:val="af1"/>
    <w:uiPriority w:val="99"/>
    <w:semiHidden/>
    <w:rsid w:val="00F20FBD"/>
    <w:pPr>
      <w:shd w:val="clear" w:color="auto" w:fill="000080"/>
    </w:pPr>
    <w:rPr>
      <w:rFonts w:ascii="Tahoma" w:hAnsi="Tahoma" w:cs="Tahoma"/>
    </w:rPr>
  </w:style>
  <w:style w:type="character" w:customStyle="1" w:styleId="af1">
    <w:name w:val="Схема документа Знак"/>
    <w:link w:val="af0"/>
    <w:uiPriority w:val="99"/>
    <w:semiHidden/>
    <w:rPr>
      <w:rFonts w:ascii="Tahoma" w:hAnsi="Tahoma" w:cs="Tahoma"/>
      <w:sz w:val="16"/>
      <w:szCs w:val="16"/>
    </w:rPr>
  </w:style>
  <w:style w:type="paragraph" w:styleId="af2">
    <w:name w:val="caption"/>
    <w:basedOn w:val="a"/>
    <w:next w:val="a"/>
    <w:uiPriority w:val="35"/>
    <w:qFormat/>
    <w:rsid w:val="00AE10BA"/>
    <w:pPr>
      <w:jc w:val="center"/>
    </w:pPr>
    <w:rPr>
      <w:sz w:val="28"/>
      <w:lang w:val="uk-UA"/>
    </w:rPr>
  </w:style>
  <w:style w:type="paragraph" w:styleId="af3">
    <w:name w:val="Balloon Text"/>
    <w:basedOn w:val="a"/>
    <w:link w:val="af4"/>
    <w:uiPriority w:val="99"/>
    <w:semiHidden/>
    <w:unhideWhenUsed/>
    <w:rsid w:val="00361F15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locked/>
    <w:rsid w:val="00361F15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2282</Words>
  <Characters>13008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x1</dc:creator>
  <cp:keywords/>
  <dc:description/>
  <cp:lastModifiedBy>admin</cp:lastModifiedBy>
  <cp:revision>2</cp:revision>
  <cp:lastPrinted>2008-12-04T09:20:00Z</cp:lastPrinted>
  <dcterms:created xsi:type="dcterms:W3CDTF">2014-03-14T01:19:00Z</dcterms:created>
  <dcterms:modified xsi:type="dcterms:W3CDTF">2014-03-14T01:19:00Z</dcterms:modified>
</cp:coreProperties>
</file>