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b/>
          <w:color w:val="000000"/>
          <w:sz w:val="28"/>
          <w:szCs w:val="28"/>
        </w:rPr>
        <w:t>Реферат</w:t>
      </w:r>
    </w:p>
    <w:p w:rsidR="00BE75E1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E75E1" w:rsidRPr="00570A95" w:rsidRDefault="00BE75E1" w:rsidP="00BE75E1">
      <w:pPr>
        <w:pStyle w:val="a3"/>
        <w:widowControl w:val="0"/>
        <w:shd w:val="clear" w:color="000000" w:fill="auto"/>
        <w:tabs>
          <w:tab w:val="left" w:pos="284"/>
        </w:tabs>
        <w:spacing w:after="0" w:line="360" w:lineRule="auto"/>
        <w:ind w:left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b/>
          <w:color w:val="000000"/>
          <w:sz w:val="28"/>
          <w:szCs w:val="28"/>
        </w:rPr>
        <w:t>География угольной промышленности</w:t>
      </w:r>
    </w:p>
    <w:p w:rsidR="008949D8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br w:type="page"/>
      </w:r>
      <w:r w:rsidR="0019084C" w:rsidRPr="00570A95"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570A95">
        <w:rPr>
          <w:rFonts w:ascii="Times New Roman" w:hAnsi="Times New Roman"/>
          <w:b/>
          <w:color w:val="000000"/>
          <w:sz w:val="28"/>
          <w:szCs w:val="28"/>
        </w:rPr>
        <w:t>одержание</w:t>
      </w:r>
    </w:p>
    <w:p w:rsidR="0019084C" w:rsidRPr="00570A95" w:rsidRDefault="0019084C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084C" w:rsidRPr="00570A95" w:rsidRDefault="0019084C" w:rsidP="00BE75E1">
      <w:pPr>
        <w:pStyle w:val="a3"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География угольной промышленности</w:t>
      </w:r>
    </w:p>
    <w:p w:rsidR="0019084C" w:rsidRPr="00570A95" w:rsidRDefault="0019084C" w:rsidP="00BE75E1">
      <w:pPr>
        <w:pStyle w:val="a3"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Экономико-географическое положение и природно-ресурсный потенциал Центрального экономического района. Техн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>ополисы, формирующиеся в районе</w:t>
      </w:r>
    </w:p>
    <w:p w:rsidR="0019084C" w:rsidRPr="00570A95" w:rsidRDefault="0019084C" w:rsidP="00BE75E1">
      <w:pPr>
        <w:pStyle w:val="a3"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 xml:space="preserve">Краткая характеристика Украины и Белоруссии, их экономические связи с 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>Россией</w:t>
      </w:r>
    </w:p>
    <w:p w:rsidR="0019084C" w:rsidRPr="00570A95" w:rsidRDefault="0019084C" w:rsidP="00BE75E1">
      <w:pPr>
        <w:shd w:val="clear" w:color="000000" w:fill="auto"/>
        <w:tabs>
          <w:tab w:val="left" w:pos="284"/>
        </w:tabs>
        <w:suppressAutoHyphens/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Список используемых источников</w:t>
      </w:r>
    </w:p>
    <w:p w:rsidR="0019084C" w:rsidRPr="00570A95" w:rsidRDefault="00BE75E1" w:rsidP="00BE75E1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br w:type="page"/>
      </w:r>
      <w:r w:rsidR="0019084C" w:rsidRPr="00570A95">
        <w:rPr>
          <w:rFonts w:ascii="Times New Roman" w:hAnsi="Times New Roman"/>
          <w:b/>
          <w:color w:val="000000"/>
          <w:sz w:val="28"/>
          <w:szCs w:val="28"/>
        </w:rPr>
        <w:t>География угольной промышленности</w:t>
      </w:r>
    </w:p>
    <w:p w:rsidR="005B5E63" w:rsidRPr="00570A95" w:rsidRDefault="005B5E63" w:rsidP="00BE75E1">
      <w:pPr>
        <w:pStyle w:val="a3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5E63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Угольная промышленность – важное звено ТЭК. Три четверти угля используется в промышленности, на тепловых электростанциях как топливо, а так же как технологическое сырье и топливо в металлургии и химической промышленности (коксующиеся угли). Районообразующая роль топлива сказывается тем сильнее, чем крупнее масштабы и выше технико-экономические показатели ресурсов. Массовое и дешевое топливо притягивает к себе топливоемкие производства, определяя в известной мере направление специализации района. Д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оля России в разведанных мировых запасах угля составляет 12%, а прогнозные запасы оцениваются в 30%. В мировой добыче угля на нее приходится 14%.</w:t>
      </w:r>
    </w:p>
    <w:p w:rsidR="005B5E63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Роль того или иного угольного бассейна в территориальном разделении труда зависит от количества и качества ресурсов, степени их подготовленности для промышленной эксплуатации, размеров добычи, особенностей транспортно-географического положения и др. По совокупности этих условий выделяются основные межрайонные угольные базы — Донецкий, Кузнецкий, Карагандинский и Печорский бассейны. В то же время перспективными основными угольными базами становятся Канско-Ачинский и Экибастузский бассейны. Почти 50% балансовых запасов шахт России являются некондиционными по качеству угля, мощности, условиям залегания, газо - и выбросоопасности пластов (Подмосковный, Кизеловский и Восточно-Донецкий бассейны, Сахалин, ряд районов Кузбасса). Только 43.5% промышленных запасов углей в России соответствуют мировым стандартам.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 xml:space="preserve">Территориальное размещение угольных предприятий жестко обусловлено местоположением запасов. Значительная их часть залегает в промышленно неразвитых азиатских регионах с суровыми природными условиями, что предопределяет повышенный уровень производственных, социальных и транспортных затрат. К счастью, Россия обладает избыточным количеством угольных запасов, и есть возможность выбора. Однако решения по размещению новых угольных предприятий зависят от величины затрат на транспортировку продукции до потребителей, а железнодорожные тарифы изменяются МПС непредсказуемым образом. 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Запасы угля, пригодные для добычи, удалены от основных потребителей как внутри России, так и за рубежом. Наиболее рентабельные месторождения (Кузнецкое и Канско-Ачинское) находятся на расстоянии более 3 тыс. км от ближайших портов. В настоящее время в порту Усть-Луга в Финском заливе строится угольный терминал для экспорта 8 млн. т обогащенного коксующегося угля, в основном воркутинского и кузбасского.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Перевозки угля по железной дороге становятся все дороже. Так, затраты на перевозку 1 т кузбасского угля в Москву составляют 178 тыс. руб., при цене 1 т этого угля</w:t>
      </w:r>
      <w:r w:rsidR="00BE75E1"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98 тыс. руб. за т. Цены на уголь не восполняют</w:t>
      </w:r>
      <w:r w:rsidR="00BE75E1"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затрат угледобывающих предприятий. По ряду оценок быстрый рост издержек, связанный с оплатой услуг железнодорожного транспорта, существенно снижает конкурентоспособность наших углей по отношению к углю добываемому в Польше, США, Австралии. Но, очевидно, что в случае возникновения существенной угрозы реализации угля отечественного производства правительством России будут приняты меры по защите внутреннего рынка</w:t>
      </w:r>
      <w:r w:rsidR="00BE72D5" w:rsidRPr="00570A95">
        <w:rPr>
          <w:rStyle w:val="aa"/>
          <w:rFonts w:ascii="Times New Roman" w:hAnsi="Times New Roman"/>
          <w:snapToGrid w:val="0"/>
          <w:color w:val="000000"/>
          <w:sz w:val="28"/>
          <w:szCs w:val="28"/>
        </w:rPr>
        <w:footnoteReference w:id="1"/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BE72D5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В настоящее время через введение налога на добавленную стоимость и постоянно повышающиеся импортные пошлины защищаются российские производители. В случае с поставками импортного угля</w:t>
      </w:r>
      <w:r w:rsidR="00BE75E1"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легко можно «отрегулировать»</w:t>
      </w:r>
      <w:r w:rsidR="00BE75E1"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железнодорожный тариф. </w:t>
      </w:r>
      <w:r w:rsidRPr="00570A95">
        <w:rPr>
          <w:rFonts w:ascii="Times New Roman" w:hAnsi="Times New Roman"/>
          <w:color w:val="000000"/>
          <w:sz w:val="28"/>
          <w:szCs w:val="28"/>
        </w:rPr>
        <w:t>Отечественные производители с трудом вписываются в мировые стандарты качества угля. Рынки давно заняты морскими поставками высокоэффективных углей из США, Австралии и ЮАР. В этих условиях российские предприятия могли бы стать конкурентоспособными лишь при крайне низких уровнях зарплаты и транспортных тарифов, "бесплатной" экологии. Наиболее реалистичной и работоспособной выглядит стратегия расширенного выхода на мировые рынки путем создания совместных горных предприятий, концернов, консорциумов и т.п., решающих вопросы инвестиционного обеспечения, новых технологий и качества угля.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В настоящее время угольная промышленность России стоит перед необходимостью глубокого реформирования. В течение ряда последних лет снижается уровень добычи угля, (с 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>2005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по 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>2008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г. добыча угля в Российской Федерации в целом сократилась на одну треть), падает производительность труда в отрасли, растет себестоимость добычи. Резкое сокращение промышленного производства в последние годы обострило проблему платежеспособного спроса на продукцию угольной отрасли, поставило подавляющее большинство угледобывающих предприятий в крайне тяжелое положение. Распад СССР привел к тому, что значительная часть ранее созданной угольной базы оказалась в Украине и Казахстане.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На долю России в 1990 г. приходилось 55.7%, Украины - 23.7, Казахстана -18,8% общесоюзной добычи угля. Россия получила 271 из 574 угледобывающих предприятий бывшего СССР. В европейской части страны их осталось 82 из 333. Почти полностью была утеряна мощная база высококачественных углей Донбасса и Караганды, отошел к Казахстану уникальный по мировым меркам Экибастузский угольный бассейн. Россия лишилась многих заводов горного машиностроения.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В течение длительного периода времени угольная промышленность СССР, а потом Российской Федерации создавала собственный строительный потенциал. Сейчас он в целом способен обеспечить выполнение основных задач реструктуризации отрасли.</w:t>
      </w:r>
    </w:p>
    <w:p w:rsidR="00BE72D5" w:rsidRPr="00570A95" w:rsidRDefault="00BE72D5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В 2009 году б</w:t>
      </w:r>
      <w:r w:rsidR="005B5E63" w:rsidRPr="00570A95">
        <w:rPr>
          <w:rFonts w:ascii="Times New Roman" w:hAnsi="Times New Roman"/>
          <w:snapToGrid w:val="0"/>
          <w:color w:val="000000"/>
          <w:sz w:val="28"/>
          <w:szCs w:val="28"/>
        </w:rPr>
        <w:t>удут продолжены разгосударствление большинства угольных предприятий и переход на акционерную форму хозяйствования с устранением имеющегося здесь формализма. В необходимых случаях отрасль получает разностороннюю строго селективную государственную поддержку мер по закрытию неперспективных мощностей и санации нерентабельных угольных предприятий. Будет создан, наконец, механизм ценообразования, адекватный рыночной системе, но предусматривающий его государственное регулирование. Системы финансирования и бухгалтерского учета на предприятиях будут реформированы в соответствии с общепринятыми международными стандартами и соглашениями.</w:t>
      </w:r>
    </w:p>
    <w:p w:rsidR="00BE72D5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С 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>2003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г. проводится работа по повышению качества и надежности горной техники за счет применения новых материалов, комплектующих и передовых технологий оборонного комплекса РФ. В 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>2006-2008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гг. заключены генеральные договоры долгосрочной аренды оборудования с более чем 40 предприятиями угольной промышленности на общую сумму 1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>0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трлн. руб. (всего 90 механизированных комплексов).</w:t>
      </w:r>
    </w:p>
    <w:p w:rsidR="00BE75E1" w:rsidRPr="00570A95" w:rsidRDefault="005B5E6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Ожидаемая в среднесрочной перспективе стабилизация спроса на уголь со слабовыраженной тенденцией к росту после 2000 г.</w:t>
      </w:r>
      <w:r w:rsidR="00BE72D5" w:rsidRPr="00570A95">
        <w:rPr>
          <w:rFonts w:ascii="Times New Roman" w:hAnsi="Times New Roman"/>
          <w:snapToGrid w:val="0"/>
          <w:color w:val="000000"/>
          <w:sz w:val="28"/>
          <w:szCs w:val="28"/>
        </w:rPr>
        <w:t xml:space="preserve"> О</w:t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ценки концерна «Росуголь», всемирного банка, ЦНИЭИуголь, Институт угля СО РАН не обеспечивает восстановление потребления угля (в том числе коксующегося) народным хозяйством России на уровне конца восьмидесятых годов. Это неизбежно приведет к закрытию ряда нерентабельных и бесперспективных угольных предприятий. Вместе с тем, очевидно, что в новых экономических условиях (отсечения экономически неэффективных предприятий) будет наращиваться производство угля на шахтах и разрезах с хорошими горно-геологическими условиями, высокими технико-экономическими показателями, а также имеющих высокие качественные характеристики продукции, обеспечивающие производство высококачественного продукта и удовлетворяющие экологическим требованиям</w:t>
      </w:r>
      <w:r w:rsidR="00BE72D5" w:rsidRPr="00570A95">
        <w:rPr>
          <w:rStyle w:val="aa"/>
          <w:rFonts w:ascii="Times New Roman" w:hAnsi="Times New Roman"/>
          <w:snapToGrid w:val="0"/>
          <w:color w:val="000000"/>
          <w:sz w:val="28"/>
          <w:szCs w:val="28"/>
        </w:rPr>
        <w:footnoteReference w:id="2"/>
      </w: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19084C" w:rsidRPr="00570A95" w:rsidRDefault="005B5E63" w:rsidP="00BE75E1">
      <w:pPr>
        <w:pStyle w:val="a3"/>
        <w:widowControl w:val="0"/>
        <w:numPr>
          <w:ilvl w:val="0"/>
          <w:numId w:val="8"/>
        </w:numPr>
        <w:shd w:val="clear" w:color="000000" w:fill="auto"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br w:type="page"/>
      </w:r>
      <w:r w:rsidR="0019084C" w:rsidRPr="00570A95">
        <w:rPr>
          <w:rFonts w:ascii="Times New Roman" w:hAnsi="Times New Roman"/>
          <w:b/>
          <w:color w:val="000000"/>
          <w:sz w:val="28"/>
          <w:szCs w:val="28"/>
        </w:rPr>
        <w:t>Экономико-географическое положение и природно-ресурсный потенциал Центрального экономического района. Техн</w:t>
      </w:r>
      <w:r w:rsidR="00BE75E1" w:rsidRPr="00570A95">
        <w:rPr>
          <w:rFonts w:ascii="Times New Roman" w:hAnsi="Times New Roman"/>
          <w:b/>
          <w:color w:val="000000"/>
          <w:sz w:val="28"/>
          <w:szCs w:val="28"/>
        </w:rPr>
        <w:t>ополисы, формирующиеся в районе</w:t>
      </w:r>
    </w:p>
    <w:p w:rsidR="0019084C" w:rsidRPr="00570A95" w:rsidRDefault="0019084C" w:rsidP="00BE75E1">
      <w:pPr>
        <w:pStyle w:val="a3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0ADC" w:rsidRPr="00570A95" w:rsidRDefault="00F70ADC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Центральный экономический район - наиболее мощный в России по своему экономическому потенциалу. В его состав входят: Москва, Московская, Орловская, Брянская. Смоленская, Тульская, Тверская, Калужская. Ярославская, Костромская, Ивановская, Владимирская и Рязанская области.</w:t>
      </w:r>
      <w:r w:rsidR="00BE75E1" w:rsidRPr="00570A95">
        <w:rPr>
          <w:color w:val="000000"/>
          <w:sz w:val="28"/>
          <w:szCs w:val="28"/>
        </w:rPr>
        <w:t xml:space="preserve"> </w:t>
      </w:r>
      <w:r w:rsidRPr="00570A95">
        <w:rPr>
          <w:color w:val="000000"/>
          <w:sz w:val="28"/>
          <w:szCs w:val="28"/>
        </w:rPr>
        <w:t>Площадь района: 167,7 тыс. км2. Население: 7,9 млн чел.</w:t>
      </w:r>
    </w:p>
    <w:p w:rsidR="00D67BB7" w:rsidRPr="00570A95" w:rsidRDefault="00D67BB7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Центр района — столица России –</w:t>
      </w:r>
      <w:r w:rsidR="00BE75E1" w:rsidRPr="00570A95">
        <w:rPr>
          <w:color w:val="000000"/>
          <w:sz w:val="28"/>
          <w:szCs w:val="28"/>
        </w:rPr>
        <w:t xml:space="preserve"> </w:t>
      </w:r>
      <w:r w:rsidRPr="00570A95">
        <w:rPr>
          <w:color w:val="000000"/>
          <w:sz w:val="28"/>
          <w:szCs w:val="28"/>
        </w:rPr>
        <w:t>Москва (7,8 млн. жителей). Вокруг него густая сеть городов и посёлков, входящих в Московскую городскую агломерацию. Важнейшие города (тыс. жителей): Ярославль (584), Тула (510), Иванове (461), Калинин (401), Брянск (385), Орёл (289), Владимир (284), Смоленск (264), Калуга (262), Кострома (250), Рыбинск (237).</w:t>
      </w:r>
    </w:p>
    <w:p w:rsidR="00F70ADC" w:rsidRPr="00570A95" w:rsidRDefault="00F70ADC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Население Центрально</w:t>
      </w:r>
      <w:r w:rsidR="00D67BB7" w:rsidRPr="00570A95">
        <w:rPr>
          <w:color w:val="000000"/>
          <w:sz w:val="28"/>
          <w:szCs w:val="28"/>
        </w:rPr>
        <w:t>го</w:t>
      </w:r>
      <w:r w:rsidRPr="00570A95">
        <w:rPr>
          <w:color w:val="000000"/>
          <w:sz w:val="28"/>
          <w:szCs w:val="28"/>
        </w:rPr>
        <w:t xml:space="preserve"> района составляет 7,9 млн. чел., или 5,3 % численности населения Российской Федерации. В городах проживает 61,6 % населения, в сельской местности - 38,4 %. По плотности населения (47,0 чел. на км2) регион занимает одно из ведущих мест в России. В связи с интенсивным развитием железорудно-металлургического комплекса в регионе, а также с тем, что в течение долгого времени район поставлял трудовые резервы в другие регионы страны, в Центрально-Черноземном районе была нарушена половозрастная структура, что повлекло за собой снижение рождаемости и увеличение показателя смертности населения. В результате в районе, одном из первых в России, началась естественная убыль населения.</w:t>
      </w:r>
    </w:p>
    <w:p w:rsidR="00D67BB7" w:rsidRPr="00570A95" w:rsidRDefault="00D67BB7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Территориальная организация хозяйства Центрального района характеризуется большими диспропорциями. Высок удельный вес в промышленном производстве областных центров. Воронеж, Липецк и Курск дают более 60 % промышленной продукции своих областей, Белгород и Тамбов соответственно 30 и 35 %. Низок потенциал средних и малых городов. Имеются и значительные различия между областями, что выражается прежде всего в гипертрофированной роли Воронежской области в промышленном производстве региона. Правда, в последнее время за счет интенсивного развития ТПК КМА в Белгородской и Курской области, металлоемкого машиностроения в Липецкой области, машиностроения и химической промышленности в Тамбовской области эти диспропорции сглаживаются</w:t>
      </w:r>
      <w:r w:rsidR="001F05F2" w:rsidRPr="00570A95">
        <w:rPr>
          <w:rStyle w:val="aa"/>
          <w:color w:val="000000"/>
          <w:sz w:val="28"/>
          <w:szCs w:val="28"/>
        </w:rPr>
        <w:footnoteReference w:id="3"/>
      </w:r>
      <w:r w:rsidRPr="00570A95">
        <w:rPr>
          <w:color w:val="000000"/>
          <w:sz w:val="28"/>
          <w:szCs w:val="28"/>
        </w:rPr>
        <w:t>.</w:t>
      </w:r>
    </w:p>
    <w:p w:rsidR="00BE75E1" w:rsidRPr="00570A95" w:rsidRDefault="00F70ADC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В промышленном комплексе Центрально</w:t>
      </w:r>
      <w:r w:rsidR="00D67BB7" w:rsidRPr="00570A95">
        <w:rPr>
          <w:color w:val="000000"/>
          <w:sz w:val="28"/>
          <w:szCs w:val="28"/>
        </w:rPr>
        <w:t>го</w:t>
      </w:r>
      <w:r w:rsidRPr="00570A95">
        <w:rPr>
          <w:color w:val="000000"/>
          <w:sz w:val="28"/>
          <w:szCs w:val="28"/>
        </w:rPr>
        <w:t xml:space="preserve"> района ведущее место занимает черная металлургия, являющаяся отраслью рыночной специализации. Товарная железная руда, чугун, сталь, готовый прокат широко вывозятся в другие регионы России, в страны ближнего зарубежья. К крупнейшим предприятиям металлургического комплекса относятся Лебединский, Михайловский, Стойленский ГОКи, объединение "КМАруда", Новолипецкий металлургический комбинат, завод "Свободный сокол", Оскольский электрометаллургический комбинат, Семилукский завод по производству огнеупоров и другие. Себестоимость производства железной руды в регионе ниже на 20 %, чем в среднем по Российской Федерации, даже несмотря на большие затраты на рекультивацию земель и другие природоохранные мероприятия. Развитие отрасли в Центральном Черноземье идет по двум направлениям: расширение добычи и обогащение железных руд и увеличение выпуска и ассортимента металлургической продукции за счет реконструкции Новолипецкого металлургического комбината и введение новых мощностей на Оскольском электрометаллургическом комбинате.</w:t>
      </w:r>
    </w:p>
    <w:p w:rsidR="00F70ADC" w:rsidRPr="00570A95" w:rsidRDefault="00F70ADC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Район является основным поставщиком электротехнической, автолистовой и трубной стали в России. Технический уровень производства и производительность труда в черной металлургии района выше, чем в среднем по России; по многим позициям продукция отрасли отвечает мировым стандартам.</w:t>
      </w:r>
    </w:p>
    <w:p w:rsidR="00611B83" w:rsidRPr="00570A95" w:rsidRDefault="00D67BB7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Центральный район занимает весьма выгодное транспортно-географическое положение, и обладает развитым транспортным комплексом: по густоте транспортной сети он существенно превышает средние показатели по России. Основные виды транспорта - железнодорожный и автомобильный; в районе также получили развитие речной, трубопроводный и авиационный виды. Через район проходят большие потоки транзитных грузов, отражающие связи северных и центральных районов с южными, восточными и западными. Последние годы сильно возрос поток грузов из самого ЦЧЭР, связанный с развитием ТПК КМА (железная руда, черные металлы, минерально-строительное сырье). Поэтому пропускная способность отдельных линий уже недостаточна, техническая оснащенность транспорта слабая, необходимо улучшение взаимодействия различных видов транспорта в регионе.</w:t>
      </w:r>
    </w:p>
    <w:p w:rsidR="005B5E63" w:rsidRPr="00570A95" w:rsidRDefault="00611B83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В Центральном экономическом районе наиболее эффективной формой территориальной научно-технической интеграции могут стать технополисы, технопарки или научно-технические зоны. В пределах района в административных границах г. Зеленограда формируется СЭЗ "Технополис Зеленоград" с целью создания благоприятных условий для социально-экономического развития города, расширения и диверсификации производства наукоемкой и высокотехнологичной продукции, в том числе производимой на основе конверсии с привлечением иностранного капитала, а также увеличения экспортного потенциала предприятий г. Зеленограда и России в целом.</w:t>
      </w:r>
    </w:p>
    <w:p w:rsidR="005B5E63" w:rsidRPr="00570A95" w:rsidRDefault="00611B83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Приоритетными направлениями деятельности данной СЭЗ являются разработка высоких технологий, направленных на развитие микроэлектроники, информатики и связи, создание материалов электронной техники, молекулярных и биотехнологических материалов, промышленной и бытовой радиоэлектронной аппаратуры и специального технологического оборудования. В целях формирования СЭЗ создан Административный комитет, а для сосредоточения необходимых финансовых ресурсов, формирования и развития инфраструктуры — некоммерческий фонд развития.</w:t>
      </w:r>
    </w:p>
    <w:p w:rsidR="005B5E63" w:rsidRPr="00570A95" w:rsidRDefault="00611B83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Согласно положению о СЭЗ "Янтарь", принятому в сентябре 1991 года, с которого началась история свободной зоны в Калининградской области, целями создания СЭЗ были ускорение решения задач социально-экономического развития Калининградской области, повышение жизненного уровня населения области на основе развития торгово-экономического и научно-технического сотрудничества с зарубежными странами, обеспечение благоприятных условий для привлечения иностранного капитала, технологии и управленческого опыта, потенциала предприятий для увеличения экспортных возможностей региона, развития производства экспортной и импортозамещающей продукции, трансконтинентального транзита, отработки новых форм хозяйствования в условиях перехода к рыночной экономике.</w:t>
      </w:r>
    </w:p>
    <w:p w:rsidR="005B5E63" w:rsidRPr="00570A95" w:rsidRDefault="00611B83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70A95">
        <w:rPr>
          <w:color w:val="000000"/>
          <w:sz w:val="28"/>
          <w:szCs w:val="28"/>
        </w:rPr>
        <w:t>Свободная экономическая зона создавалась в пределах всей Калининградской области с прилегающими к ней районами континентального шельфа, за исключением территории объектов, имеющих оборонное и стратегическое значение для России.</w:t>
      </w:r>
    </w:p>
    <w:p w:rsidR="005B5E63" w:rsidRPr="00570A95" w:rsidRDefault="005B5E63" w:rsidP="00BE75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19084C" w:rsidRPr="00570A95" w:rsidRDefault="0019084C" w:rsidP="00BE75E1">
      <w:pPr>
        <w:pStyle w:val="a3"/>
        <w:widowControl w:val="0"/>
        <w:numPr>
          <w:ilvl w:val="0"/>
          <w:numId w:val="8"/>
        </w:numPr>
        <w:shd w:val="clear" w:color="000000" w:fill="auto"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b/>
          <w:color w:val="000000"/>
          <w:sz w:val="28"/>
          <w:szCs w:val="28"/>
        </w:rPr>
        <w:t>Краткая характеристика Украины и Белоруссии, и</w:t>
      </w:r>
      <w:r w:rsidR="00BE75E1" w:rsidRPr="00570A95">
        <w:rPr>
          <w:rFonts w:ascii="Times New Roman" w:hAnsi="Times New Roman"/>
          <w:b/>
          <w:color w:val="000000"/>
          <w:sz w:val="28"/>
          <w:szCs w:val="28"/>
        </w:rPr>
        <w:t>х экономические связи с Россией</w:t>
      </w:r>
    </w:p>
    <w:p w:rsidR="00BE75E1" w:rsidRPr="00570A95" w:rsidRDefault="00BE75E1" w:rsidP="00BE75E1">
      <w:pPr>
        <w:pStyle w:val="ab"/>
        <w:shd w:val="clear" w:color="000000" w:fill="auto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75E1" w:rsidRPr="00570A95" w:rsidRDefault="00D213DD" w:rsidP="00BE75E1">
      <w:pPr>
        <w:pStyle w:val="ab"/>
        <w:shd w:val="clear" w:color="000000" w:fill="auto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Украина – государство Восточной Европы. Граничит с Россией, Белоруссией, Румынией, Молдовой, Польшей, Венгрией, Словакией. После принятия 24 августа Акта провозглашения независимости Украина стала самостоятельным государством. Государственный строй Украины – республика, с 28 июня 1996 года действует Конституция.</w:t>
      </w:r>
    </w:p>
    <w:p w:rsidR="00BE75E1" w:rsidRPr="00570A95" w:rsidRDefault="00D213DD" w:rsidP="00BE75E1">
      <w:pPr>
        <w:pStyle w:val="ab"/>
        <w:shd w:val="clear" w:color="000000" w:fill="auto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Территория Украины делится на отдельные части - административно-территориальные единицы. Такими единицами являются 24 области, Автономная Республика Крым и два города центрального подчинения Киев и Севастополь с численностью населения около 2.7 миллионов человек и 390.1 тысяч человек соответственно. Киев является столицей Украины. Государственный язык – украинский, национальная валюта – гривна.</w:t>
      </w:r>
    </w:p>
    <w:p w:rsidR="00BE75E1" w:rsidRPr="00570A95" w:rsidRDefault="00D213DD" w:rsidP="00BE75E1">
      <w:pPr>
        <w:pStyle w:val="ab"/>
        <w:shd w:val="clear" w:color="000000" w:fill="auto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Общая численность населения Украины составляет около 46 миллионов 590.4 тысяч человек, территория Украины - 603.7 тыс. кв. км. 80% жителей Украины составляют украинцы, остальные – русские, белорусы, евреи, крымские татары, молдаване, поляки и др. Основной религией является христианство, но исповедуются также иудаизм и мусульманство.</w:t>
      </w:r>
    </w:p>
    <w:p w:rsidR="00BE75E1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Во времена существования Советского Союза Украина обладала мощным промышленным потенциалом, основу которого составляли хорошо развитые машиностроение, металлургия и металлообработка, а также ряд других отраслей. В период с 1992-1999 в украинской экономике наблюдалось падение производства во всех отраслях, а реальный ВВП страны сократился на 55.4%. И только в конце 1999 года был отмечен положительный рост экономики и с этого момента экономика Украины демонстрирует устойчивый рост.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color w:val="000000"/>
          <w:sz w:val="28"/>
          <w:szCs w:val="28"/>
        </w:rPr>
        <w:t>В 1990-е годы Россия, по существу, оказалась в зависимости от Украины с точки зрения своего энергоэкспорта, поскольку именно через украинскую территорию пролегал единственный газопровод из России в Западную Европу. Компания «Нафтогаз Украины», осуществлявшая транзит российского газа через украинскую территорию, накопила гигантскую задолженность перед «Газпромом» и занималась несанкционированным отбором российского газа. Для того, чтобы избавиться от транзитной зависимости от Украины, был осуществлён проект строительства газопровода Ямал — Европа в обход Украины — через Белоруссию и Польшу. В конце 1999 он был открыт.</w:t>
      </w:r>
    </w:p>
    <w:p w:rsidR="00B4282F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Российско-Украинские отношения осложнились тем фактом, что в декабре 2005 разгорелся конфликт в отношении цен на газ на 2006 для Украины. Россия потребовала с 1 января 2006 повысить цену с 50 долларов за 1 тыс. куб. м до 160 долларов, а затем, поскольку переговоры не привели ни к каким результатам, — до 230 долларов. Соглашение о поставках газа в 2006 году (по цене 95 долл.) было подписано лишь 4 января 2006. Новому премьер-министру Виктору Януковичу удалось договориться о сохранении этой цены до конца 2006 года, что он считал своей главной политической и экономической победой</w:t>
      </w:r>
      <w:r w:rsidR="001F05F2" w:rsidRPr="00570A95">
        <w:rPr>
          <w:rStyle w:val="aa"/>
          <w:rFonts w:ascii="Times New Roman" w:hAnsi="Times New Roman"/>
          <w:color w:val="000000"/>
          <w:sz w:val="28"/>
          <w:szCs w:val="28"/>
        </w:rPr>
        <w:footnoteReference w:id="4"/>
      </w:r>
      <w:r w:rsidRPr="00570A9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4282F" w:rsidRPr="00570A95">
        <w:rPr>
          <w:rFonts w:ascii="Times New Roman" w:hAnsi="Times New Roman"/>
          <w:color w:val="000000"/>
          <w:sz w:val="28"/>
          <w:szCs w:val="28"/>
        </w:rPr>
        <w:t>В начале 2008 года ситуация осложнилась, что привело с 1 января 2009 года к полному прекращению транзита российского газа через территорию Украины. Переговоры о беспрепятственном транзите российского газа безушпешно велись в течении всего января 2009 года, и только 23 января удалось подписать договор о транзите, а так же непосредственно осуществить транзит газа на станции Суджа.</w:t>
      </w:r>
    </w:p>
    <w:p w:rsidR="00B4282F" w:rsidRPr="00570A95" w:rsidRDefault="00B4282F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В статье, опубликованной в газете Washington Times от 26 января 2009 года, замглавы Газпрома Александр Медведев положительно оценил заключенный договор о газовых поставках с Украиной и обрисовал положительные перспективы газовых отношений с Европой. По его мнению, опустошающая ситуация, сложившаяся за последние три недели, никогда не должна больше повториться. Никогда не должны снова пострадать потребители, европейские граждане, проживающие в странах от Германии до Греции. Договор, который Россия подписала с украинскими коллегами, должен положить конец годовым газовым спорам между Россией и Украиной. Европа должна одобрить эту сделку.</w:t>
      </w:r>
    </w:p>
    <w:p w:rsidR="00BE75E1" w:rsidRPr="00570A95" w:rsidRDefault="00B4282F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Александр Медведев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color w:val="000000"/>
          <w:sz w:val="28"/>
          <w:szCs w:val="28"/>
        </w:rPr>
        <w:t>объясняет, что было заключено два независимых друг от друга контракта, один из которых регулирует поставки газа на Украину, а другой касается транспортировки газа в Европу на протяжении ближайших десяти лет. По мнению Медведева, договор обеспечит прозрачность газовых поставок: «Соглашение построено на принципах открытого рынка как для поставок, так и для транзита», – подчеркивает он.</w:t>
      </w:r>
    </w:p>
    <w:p w:rsidR="00B4282F" w:rsidRPr="00570A95" w:rsidRDefault="00B4282F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Конфликт показал, как политические интересы могут повлиять на коммерческие, пишет Медведев. По его мнению, нельзя вновь допустить, чтобы отношения между Москвой и Киевом были нарушены по политическим причинам</w:t>
      </w:r>
      <w:r w:rsidRPr="00570A95">
        <w:rPr>
          <w:rStyle w:val="aa"/>
          <w:rFonts w:ascii="Times New Roman" w:hAnsi="Times New Roman"/>
          <w:color w:val="000000"/>
          <w:sz w:val="28"/>
          <w:szCs w:val="28"/>
        </w:rPr>
        <w:footnoteReference w:id="5"/>
      </w:r>
      <w:r w:rsidRPr="00570A95">
        <w:rPr>
          <w:rFonts w:ascii="Times New Roman" w:hAnsi="Times New Roman"/>
          <w:color w:val="000000"/>
          <w:sz w:val="28"/>
          <w:szCs w:val="28"/>
        </w:rPr>
        <w:t>.</w:t>
      </w:r>
    </w:p>
    <w:p w:rsidR="0019084C" w:rsidRPr="00570A95" w:rsidRDefault="00B37D3E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Республика Беларусь расположена на западе Русской равнины в бассейнах среднего течения Днепра и Западной Двины и верхнего течения Немана и Буга. Белоруссия относится к числу восточноевропейских государств. Ее территория составляет 207,6 тыс. кв. км. Республика богата лесами, покрывающими территорию 8 82,8 тыс. кв. км. В административном отношении делится на 6 областей: Минская, Могилевская, Гомельская, Брестская, Гродненская, Витебская. Области подразделяются на 118 сельских районов.</w:t>
      </w:r>
    </w:p>
    <w:p w:rsidR="00D213DD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На 1 января 2007 года в стране проживало 9.714.200 человек. 81% жителей Белоруссии – белорусы, 19% населения представляют более 140 национальностей, в том числе: 11%-русские; 3,9%-поляки; 2.,45-украинцы; 0,3%-евреи. Окол 80% населения исповедуют православие, 14% - католики, 2% - протестанты.</w:t>
      </w:r>
      <w:r w:rsidRPr="00570A95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Административно- территориальное деление: </w:t>
      </w:r>
      <w:r w:rsidRPr="00570A95">
        <w:rPr>
          <w:rFonts w:ascii="Times New Roman" w:hAnsi="Times New Roman"/>
          <w:color w:val="000000"/>
          <w:sz w:val="28"/>
          <w:szCs w:val="28"/>
        </w:rPr>
        <w:t>Беларусь имеет 6 областей с центрами в Минске, Бресте, Витебске, Гомеле, Гродно и Могилеве. Каждая область делится на районы, города и другие территориальные и административно-хозяйстве нные единицы.</w:t>
      </w:r>
    </w:p>
    <w:p w:rsidR="00D213DD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Белорусская экономика со времен СССР зиждилась на крупных специализированных предприятиях, которые выпускали в основном конечную продукцию и тесно зависели от кооперационных связей с предприятиями, расположенными в других регионах Советского Союза. После распада СССР у них была чрезвычайно высокая зависимость от импорта топливно-энергетических ресурсов, узость национального рынка, проблемы конверсии ВПК, занимающего высокую долю в промышленном производстве.</w:t>
      </w:r>
    </w:p>
    <w:p w:rsidR="00BE75E1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Но помимо проблем есть и факторы благоприятствующие динамичному развитию экономики страны. Это ее выгодное геоэкономическое положение, поскольку через Белоруссию проходят сухопутные транзитные пути, связывающие Россию, страны Центральной Азии и Закавказья с Европой. Кроме того, в республике сохранились относительно развитая коммуникационная инфраструктура, квалифицированная и относительно дешевая рабочая сила, достаточно высокий научный потенциал. Также у них развитый агропромышленный сектор.</w:t>
      </w:r>
    </w:p>
    <w:p w:rsidR="00D213DD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Наибольшее развитие получили такие отрасли промышленности как автомобилестроение, тракторостроение и сельскохозяйственное машиностроение, станкостроение и производство подшипников, электротехническая промышленность, добыча и переработка нефти, производство синтетических волокон, минеральных удобрений, фармацевтическая промышленность, производство строительных материалов, легкая и пищевая промышленности. Характерной чертой национальной индустрии является производство готовой продукции, большая часть которой поставляется на экспорт.</w:t>
      </w:r>
    </w:p>
    <w:p w:rsidR="00D213DD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Благодаря экономической интеграции с Россией экономика Белоруссии в 2007 году выросла на 6,4%, а в 2008 году - на 7,8%. В настоящее время 12-18% ВВП Белоруссии обеспечивает Россия посредством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color w:val="000000"/>
          <w:sz w:val="28"/>
          <w:szCs w:val="28"/>
        </w:rPr>
        <w:t>низких цен на энергоносители, реэкспорта нефти, таможенного союза и т.п.</w:t>
      </w:r>
    </w:p>
    <w:p w:rsidR="00D213DD" w:rsidRPr="00570A95" w:rsidRDefault="00D213DD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Среди основных программ сотрудничества России и Белоруссии можно выделить следующие направления</w:t>
      </w:r>
      <w:r w:rsidR="001F05F2" w:rsidRPr="00570A95">
        <w:rPr>
          <w:rStyle w:val="aa"/>
          <w:rFonts w:ascii="Times New Roman" w:hAnsi="Times New Roman"/>
          <w:color w:val="000000"/>
          <w:sz w:val="28"/>
          <w:szCs w:val="28"/>
        </w:rPr>
        <w:footnoteReference w:id="6"/>
      </w:r>
      <w:r w:rsidRPr="00570A95">
        <w:rPr>
          <w:rFonts w:ascii="Times New Roman" w:hAnsi="Times New Roman"/>
          <w:color w:val="000000"/>
          <w:sz w:val="28"/>
          <w:szCs w:val="28"/>
        </w:rPr>
        <w:t>: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Развитие дизельного автомобилестроения на период до 2010 года;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Повышение эффективности производства и переработки плодоовощной продукции на основе прогрессивных технологий и техники;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Совершенствование и развитие единой технологии получения, сбора, анализа и прогноза, хранения и распространения гидрометеорологической информации и данных о загрязнении природной среды (второй этап) на 2007-20012 годы;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Развитие швейного машиностроения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Развитие производства телеаппаратуры на предприятиях Республики Беларусь и Российской Федерации;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Развитие дизельного автомобилестроения;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Разработка и освоение в серийном производстве семейства высокопроизводительных вычислительных систем с параллельной архитектурой (суперкомпьютеров) и создание программно-прикладных комплексов на их основе;</w:t>
      </w:r>
    </w:p>
    <w:p w:rsidR="00D213DD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Наукоёмкие компоненты общемашиностроительного применения;</w:t>
      </w:r>
    </w:p>
    <w:p w:rsidR="00E62AF3" w:rsidRPr="00570A95" w:rsidRDefault="00D213DD" w:rsidP="00BE75E1">
      <w:pPr>
        <w:numPr>
          <w:ilvl w:val="0"/>
          <w:numId w:val="5"/>
        </w:numPr>
        <w:shd w:val="clear" w:color="000000" w:fill="auto"/>
        <w:tabs>
          <w:tab w:val="clear" w:pos="180"/>
          <w:tab w:val="num" w:pos="851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Организация серийного производства оборудования для выпуска химических волокон.</w:t>
      </w:r>
    </w:p>
    <w:p w:rsidR="00D213DD" w:rsidRPr="00570A95" w:rsidRDefault="00E62AF3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Президент России Дмитрий Медведев считает, что экономические связи России и Белоруссии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color w:val="000000"/>
          <w:sz w:val="28"/>
          <w:szCs w:val="28"/>
        </w:rPr>
        <w:t>в 2008-2009 гг. развиваются и будут развиваться стабильно и торговый оборот между двумя странами к концу года может превысить 30 млрд.долл.</w:t>
      </w:r>
    </w:p>
    <w:p w:rsidR="00E62AF3" w:rsidRPr="00570A95" w:rsidRDefault="00BE75E1" w:rsidP="00BE75E1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br w:type="page"/>
      </w:r>
      <w:r w:rsidRPr="00570A95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1F05F2" w:rsidRPr="00570A95" w:rsidRDefault="001F05F2" w:rsidP="00BE75E1">
      <w:pPr>
        <w:shd w:val="clear" w:color="000000" w:fill="auto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75E1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Алисов Н.В., Хореев Б.С. Экономическая и социальная география мира. – М.: Инфа-М. – 2008. – 670 с.</w:t>
      </w:r>
    </w:p>
    <w:p w:rsidR="001F05F2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Дронов В.П. , Максаковский В.П., Ром В. Я. «Экономическая и социальная география», 2007г.</w:t>
      </w:r>
    </w:p>
    <w:p w:rsidR="001F05F2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Козьева И.А., Кузьбожев Э.Н. Экономическая география и регионалистика: Учебное пособие. – М.: КНОРУС, 2007. – 336 с.</w:t>
      </w:r>
    </w:p>
    <w:p w:rsidR="00B4282F" w:rsidRPr="00570A95" w:rsidRDefault="00B4282F" w:rsidP="00BE75E1">
      <w:pPr>
        <w:pStyle w:val="a8"/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Медведев А. Газпром успокаивает Запад //Деловая газета Взгляд от 26.01.2009 // http://www.vz.ru/top/</w:t>
      </w:r>
    </w:p>
    <w:p w:rsidR="001F05F2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snapToGrid w:val="0"/>
          <w:color w:val="000000"/>
          <w:sz w:val="28"/>
          <w:szCs w:val="28"/>
        </w:rPr>
        <w:t>Угольная промышленность России: проблемы и перспективы// Маркетинг №4 2008 г.С.12.</w:t>
      </w:r>
    </w:p>
    <w:p w:rsidR="001F05F2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Экономическая и социальная география России: Учебник для ВУЗОВ / Под ред. А.Т. Хрущева. – М.: - 2007. – 390 с.</w:t>
      </w:r>
    </w:p>
    <w:p w:rsidR="00BE75E1" w:rsidRPr="00570A95" w:rsidRDefault="001F05F2" w:rsidP="00BE75E1">
      <w:pPr>
        <w:numPr>
          <w:ilvl w:val="0"/>
          <w:numId w:val="6"/>
        </w:num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95">
        <w:rPr>
          <w:rFonts w:ascii="Times New Roman" w:hAnsi="Times New Roman"/>
          <w:color w:val="000000"/>
          <w:sz w:val="28"/>
          <w:szCs w:val="28"/>
        </w:rPr>
        <w:t>Экономическая, социальная и политическая география мира. Регионы и страны: Учебник.</w:t>
      </w:r>
      <w:r w:rsidR="00BE75E1" w:rsidRPr="00570A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0A95">
        <w:rPr>
          <w:rFonts w:ascii="Times New Roman" w:hAnsi="Times New Roman"/>
          <w:color w:val="000000"/>
          <w:sz w:val="28"/>
          <w:szCs w:val="28"/>
        </w:rPr>
        <w:t>/ под ред. С.Б. Лаврова. – М.: Гардарики. – 2008. – 920 с.</w:t>
      </w:r>
    </w:p>
    <w:p w:rsidR="001F05F2" w:rsidRPr="00570A95" w:rsidRDefault="001F05F2" w:rsidP="00BE75E1">
      <w:pPr>
        <w:shd w:val="clear" w:color="000000" w:fill="auto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1F05F2" w:rsidRPr="00570A95" w:rsidSect="00BE75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2F8" w:rsidRDefault="00AF42F8" w:rsidP="005B5E63">
      <w:pPr>
        <w:spacing w:after="0" w:line="240" w:lineRule="auto"/>
      </w:pPr>
      <w:r>
        <w:separator/>
      </w:r>
    </w:p>
  </w:endnote>
  <w:endnote w:type="continuationSeparator" w:id="0">
    <w:p w:rsidR="00AF42F8" w:rsidRDefault="00AF42F8" w:rsidP="005B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2F8" w:rsidRDefault="00AF42F8" w:rsidP="005B5E63">
      <w:pPr>
        <w:spacing w:after="0" w:line="240" w:lineRule="auto"/>
      </w:pPr>
      <w:r>
        <w:separator/>
      </w:r>
    </w:p>
  </w:footnote>
  <w:footnote w:type="continuationSeparator" w:id="0">
    <w:p w:rsidR="00AF42F8" w:rsidRDefault="00AF42F8" w:rsidP="005B5E63">
      <w:pPr>
        <w:spacing w:after="0" w:line="240" w:lineRule="auto"/>
      </w:pPr>
      <w:r>
        <w:continuationSeparator/>
      </w:r>
    </w:p>
  </w:footnote>
  <w:footnote w:id="1">
    <w:p w:rsidR="00BE75E1" w:rsidRDefault="00BE72D5" w:rsidP="00BE72D5">
      <w:pPr>
        <w:spacing w:after="0" w:line="240" w:lineRule="auto"/>
        <w:ind w:right="-101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E72D5">
        <w:rPr>
          <w:rFonts w:ascii="Times New Roman" w:hAnsi="Times New Roman"/>
          <w:snapToGrid w:val="0"/>
          <w:sz w:val="24"/>
          <w:szCs w:val="24"/>
        </w:rPr>
        <w:t xml:space="preserve">Дронов В.П. , Максаковский В.П., Ром В. Я. «Экономическая и </w:t>
      </w:r>
    </w:p>
    <w:p w:rsidR="00AF42F8" w:rsidRDefault="00BE72D5" w:rsidP="00BE72D5">
      <w:pPr>
        <w:spacing w:after="0" w:line="240" w:lineRule="auto"/>
        <w:ind w:right="-1015"/>
        <w:contextualSpacing/>
        <w:jc w:val="both"/>
      </w:pPr>
      <w:r w:rsidRPr="00BE72D5">
        <w:rPr>
          <w:rFonts w:ascii="Times New Roman" w:hAnsi="Times New Roman"/>
          <w:snapToGrid w:val="0"/>
          <w:sz w:val="24"/>
          <w:szCs w:val="24"/>
        </w:rPr>
        <w:t>социальная география», 2007г.</w:t>
      </w:r>
    </w:p>
  </w:footnote>
  <w:footnote w:id="2">
    <w:p w:rsidR="00AF42F8" w:rsidRDefault="00BE72D5">
      <w:pPr>
        <w:pStyle w:val="a8"/>
      </w:pPr>
      <w:r>
        <w:rPr>
          <w:rStyle w:val="aa"/>
        </w:rPr>
        <w:footnoteRef/>
      </w:r>
      <w:r>
        <w:t xml:space="preserve"> </w:t>
      </w:r>
      <w:r w:rsidRPr="00BE72D5">
        <w:rPr>
          <w:rFonts w:ascii="Times New Roman" w:hAnsi="Times New Roman"/>
          <w:snapToGrid w:val="0"/>
          <w:sz w:val="24"/>
          <w:szCs w:val="24"/>
        </w:rPr>
        <w:t>Угольная промышленность России: проблемы и перспективы// Маркетинг №4 2008 г.С.12.</w:t>
      </w:r>
    </w:p>
  </w:footnote>
  <w:footnote w:id="3">
    <w:p w:rsidR="00AF42F8" w:rsidRDefault="001F05F2" w:rsidP="00BE75E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  <w:r w:rsidRPr="00570A95"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</w:rPr>
        <w:t>Экономическая, социальная и политическая география мира. Регионы и страны: Учебник.  / под ред. С.Б. Лаврова. – М.: Гардарики. – 2008. С. 110.</w:t>
      </w:r>
    </w:p>
  </w:footnote>
  <w:footnote w:id="4">
    <w:p w:rsidR="00AF42F8" w:rsidRDefault="001F05F2" w:rsidP="001F05F2">
      <w:pPr>
        <w:autoSpaceDE w:val="0"/>
        <w:autoSpaceDN w:val="0"/>
        <w:adjustRightInd w:val="0"/>
        <w:spacing w:after="0" w:line="360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</w:rPr>
        <w:t>Козьева И.А., Кузьбожев Э.Н. Экономическая география и регионалистика: Учебное пособие. – М.: КНОРУС, 2007.с. 167.</w:t>
      </w:r>
    </w:p>
  </w:footnote>
  <w:footnote w:id="5">
    <w:p w:rsidR="00AF42F8" w:rsidRDefault="00B4282F">
      <w:pPr>
        <w:pStyle w:val="a8"/>
      </w:pPr>
      <w:r>
        <w:rPr>
          <w:rStyle w:val="aa"/>
        </w:rPr>
        <w:footnoteRef/>
      </w:r>
      <w:r>
        <w:t xml:space="preserve"> </w:t>
      </w:r>
      <w:r w:rsidRPr="00B4282F">
        <w:rPr>
          <w:rFonts w:ascii="Times New Roman" w:hAnsi="Times New Roman"/>
          <w:sz w:val="24"/>
          <w:szCs w:val="24"/>
        </w:rPr>
        <w:t>А. Медведев. Газпром успокаивает Запад //Деловая газета Взгляд от 26.01.2009 // http://www.vz.ru/top/</w:t>
      </w:r>
    </w:p>
  </w:footnote>
  <w:footnote w:id="6">
    <w:p w:rsidR="00AF42F8" w:rsidRDefault="001F05F2" w:rsidP="00B428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B4282F">
        <w:rPr>
          <w:rFonts w:ascii="Times New Roman" w:hAnsi="Times New Roman"/>
          <w:sz w:val="24"/>
          <w:szCs w:val="24"/>
        </w:rPr>
        <w:t>Экономическая и социальная география России: Учебник для ВУЗОВ / Под ред. А.Т. Хрущева. – М., Дрофа, 2008. С. 156.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1644A"/>
    <w:multiLevelType w:val="hybridMultilevel"/>
    <w:tmpl w:val="89E46F2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2BDB2041"/>
    <w:multiLevelType w:val="hybridMultilevel"/>
    <w:tmpl w:val="F5FA0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B31A04"/>
    <w:multiLevelType w:val="multilevel"/>
    <w:tmpl w:val="5D7E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D635F2"/>
    <w:multiLevelType w:val="hybridMultilevel"/>
    <w:tmpl w:val="0B7C04CC"/>
    <w:lvl w:ilvl="0" w:tplc="1E1A2162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4C06F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77FB2023"/>
    <w:multiLevelType w:val="hybridMultilevel"/>
    <w:tmpl w:val="5D029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84C"/>
    <w:rsid w:val="0018102E"/>
    <w:rsid w:val="0019084C"/>
    <w:rsid w:val="001F05F2"/>
    <w:rsid w:val="003250B6"/>
    <w:rsid w:val="00570A95"/>
    <w:rsid w:val="005B5E63"/>
    <w:rsid w:val="00611B83"/>
    <w:rsid w:val="006F1A8C"/>
    <w:rsid w:val="007126FB"/>
    <w:rsid w:val="008949D8"/>
    <w:rsid w:val="00AF42F8"/>
    <w:rsid w:val="00B37D3E"/>
    <w:rsid w:val="00B4282F"/>
    <w:rsid w:val="00BE72D5"/>
    <w:rsid w:val="00BE75E1"/>
    <w:rsid w:val="00C27D61"/>
    <w:rsid w:val="00D213DD"/>
    <w:rsid w:val="00D46478"/>
    <w:rsid w:val="00D67BB7"/>
    <w:rsid w:val="00E62AF3"/>
    <w:rsid w:val="00ED6A97"/>
    <w:rsid w:val="00F57E88"/>
    <w:rsid w:val="00F70ADC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67CF35-E5AE-499B-AED9-E77BF23B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D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8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70A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rsid w:val="005B5E6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концевой сноски Знак"/>
    <w:link w:val="a5"/>
    <w:uiPriority w:val="99"/>
    <w:semiHidden/>
    <w:locked/>
    <w:rsid w:val="005B5E6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endnote reference"/>
    <w:uiPriority w:val="99"/>
    <w:semiHidden/>
    <w:rsid w:val="005B5E63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E72D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BE72D5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BE72D5"/>
    <w:rPr>
      <w:rFonts w:cs="Times New Roman"/>
      <w:vertAlign w:val="superscript"/>
    </w:rPr>
  </w:style>
  <w:style w:type="paragraph" w:styleId="ab">
    <w:name w:val="Plain Text"/>
    <w:basedOn w:val="a"/>
    <w:link w:val="ac"/>
    <w:uiPriority w:val="99"/>
    <w:rsid w:val="00D213DD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c">
    <w:name w:val="Текст Знак"/>
    <w:link w:val="ab"/>
    <w:uiPriority w:val="99"/>
    <w:locked/>
    <w:rsid w:val="00D213DD"/>
    <w:rPr>
      <w:rFonts w:ascii="Courier New" w:hAnsi="Courier New" w:cs="Times New Roman"/>
      <w:sz w:val="20"/>
      <w:szCs w:val="20"/>
      <w:lang w:val="x-none" w:eastAsia="ru-RU"/>
    </w:rPr>
  </w:style>
  <w:style w:type="character" w:styleId="ad">
    <w:name w:val="Hyperlink"/>
    <w:uiPriority w:val="99"/>
    <w:semiHidden/>
    <w:unhideWhenUsed/>
    <w:rsid w:val="00B4282F"/>
    <w:rPr>
      <w:rFonts w:cs="Times New Roman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3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A6D27-78B3-4BE0-9BAA-18253243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3476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2014-03-13T14:36:00Z</dcterms:created>
  <dcterms:modified xsi:type="dcterms:W3CDTF">2014-03-13T14:36:00Z</dcterms:modified>
</cp:coreProperties>
</file>