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60B" w:rsidRPr="0069260B" w:rsidRDefault="0069260B" w:rsidP="0069260B">
      <w:pPr>
        <w:spacing w:before="120"/>
        <w:jc w:val="center"/>
        <w:rPr>
          <w:b/>
          <w:bCs/>
          <w:sz w:val="32"/>
          <w:szCs w:val="32"/>
        </w:rPr>
      </w:pPr>
      <w:r w:rsidRPr="0069260B">
        <w:rPr>
          <w:b/>
          <w:bCs/>
          <w:sz w:val="32"/>
          <w:szCs w:val="32"/>
        </w:rPr>
        <w:t xml:space="preserve">Городское и сельское население </w:t>
      </w:r>
    </w:p>
    <w:p w:rsidR="0069260B" w:rsidRPr="0069260B" w:rsidRDefault="0069260B" w:rsidP="0069260B">
      <w:pPr>
        <w:spacing w:before="120"/>
        <w:jc w:val="center"/>
        <w:rPr>
          <w:b/>
          <w:bCs/>
          <w:sz w:val="28"/>
          <w:szCs w:val="28"/>
        </w:rPr>
      </w:pPr>
      <w:r w:rsidRPr="0069260B">
        <w:rPr>
          <w:b/>
          <w:bCs/>
          <w:sz w:val="28"/>
          <w:szCs w:val="28"/>
        </w:rPr>
        <w:t xml:space="preserve">Уровень урбанизации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В начале 1990-х гг. в мире в городах проживало 45% населения мира,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В 1900 г. - 14%, в 2000 г. - 50%.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Наиболее высокие темпы урбанизации наблюдаются в странах Африки и Азии.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В России в городах проживает 73% населения.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Северная Америка - 75%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Зарубежная Европа - 73%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Латинская Америка - 72%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Австралия и Океания - 71%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Африка - 34%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Азия - 34%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Бермудские о-ва - 100%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Каймановы о-ва - 100%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Монако - 100%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Сингапур - 100%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Макао - 97%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Кувейт - 94%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Великобритания - 91%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Испания - 90%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&lt;20%: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Мали, Нигер, Буркина-Фасо, Эфиопия, Эритрея, Уганда, Папуа-Новая Гвинея, Оман, Лаос, Камбоджа, Бутан, Непал, Бангладеш, Гренландия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Сельские страны быв. СССР: Молдавия - 46%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Туркмения - 45%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Узбекистан - 39%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Киргизия - 36%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Таджикистан - 28%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Сельские субъекты РФ: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Тува - 48%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Дагестан - 43%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Калмыкия - 37%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Карачаево-Черкессия - 48%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Чечня и Ингушетия - 43%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Алтай - 26%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Коми-Пермяцкий АО - 30%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Эвенкийский АО - 27%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Агинский Бурятский АО - 36%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Усть-Ордынский Бурятский АО - 0%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Доля городского населения превышает 85% в следующих субъектах РФ: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Мурманская обл. - 92%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Ханты-Мансийский АО - 92%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Свердловская обл. - 87%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Кемеровская обл. - 87% </w:t>
      </w:r>
    </w:p>
    <w:p w:rsidR="0069260B" w:rsidRPr="000D0CB3" w:rsidRDefault="0069260B" w:rsidP="0069260B">
      <w:pPr>
        <w:spacing w:before="120"/>
        <w:jc w:val="center"/>
        <w:rPr>
          <w:b/>
          <w:bCs/>
          <w:sz w:val="28"/>
          <w:szCs w:val="28"/>
        </w:rPr>
      </w:pPr>
      <w:r w:rsidRPr="000D0CB3">
        <w:rPr>
          <w:b/>
          <w:bCs/>
          <w:sz w:val="28"/>
          <w:szCs w:val="28"/>
        </w:rPr>
        <w:t xml:space="preserve">Населенные пункты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В большинстве стран все населенные пункты делятся на городские и сельские, основной критерий для деления - людность.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Россия: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города - &gt;12 тыс. чел., &gt;85% заняты не в с/х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пгт - &lt;12 тыс. чел., &gt;85% заняты не в с/х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сельские населенные пункты - &gt;15% заняты в с/х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&lt;20 тыс. чел. - малые города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20-100 тыс. чел. - средние города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100-500 тыс. чел. - крупные города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&gt;500 тыс. чел. - крупнейшие города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Столицы гос-в быв. СССР: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1 - Москва (8.957 - 1992 г.)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2 - Киев (2.6)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3 - Ташкент (2.1)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4 - Минск (1.6)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5 - Тбилиси (1.2)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6 - Ереван (1.2)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7 - Алма-Ата (1.1)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8 - Баку (1.0)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Время основания некоторых городов СНГ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8в. до н.э.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1 . Ереван 782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4в. н.э.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Тбилиси (Тифлис)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>Ташкент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5в.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4. Баку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9в.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5. Новгород - 859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6. Киев - 860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7. Смоленск - 862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Ростов - 862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>Муром - 862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10в.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Псков - 903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Чернигов - 907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>Витебск - 974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20в.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Кызыл (Белоцарск, Хем-Белдыр) - 1914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Мурманск - 1916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Душанбе (Сталинабад) - 1925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Набарежные Челны (Брежнев) - 1930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Ханты-Мансийск (Остяко-Вогульск) - 1931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Комсомольск-на-Амуре - 1932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Норильск - 1935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Биробиджан - 1937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Анадырь - 1965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Назрань - 1967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Магадан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>Палана (пгт)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130. Тура (пгт)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Города-миллионеры России (13):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Москва - 8,6 млн. чел.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Санкт-Петербург - 5 млн. чел.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Нижний Новгород - 1,5 млн. чел.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Новосибирск - 1,4 млн. чел.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Екатеринбург - 1,4 млн. чел.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Самара - 1,2 млн. чел.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Казань - 1,1 млн. чел.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Омск - 1,1 млн. чел.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Челябинск - 1,1 млн. чел.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Пермь - 1,1 млн. чел.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Уфа - 1,1 млн. чел.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Ростов-на-Дону - 1,0 млн. чел. </w:t>
      </w:r>
    </w:p>
    <w:p w:rsidR="0069260B" w:rsidRPr="00611F55" w:rsidRDefault="0069260B" w:rsidP="0069260B">
      <w:pPr>
        <w:spacing w:before="120"/>
        <w:ind w:firstLine="567"/>
        <w:jc w:val="both"/>
      </w:pPr>
      <w:r w:rsidRPr="00611F55">
        <w:t xml:space="preserve">Волгоград - 1,0 млн. чел. </w:t>
      </w:r>
    </w:p>
    <w:p w:rsidR="0069260B" w:rsidRDefault="0069260B" w:rsidP="0069260B">
      <w:pPr>
        <w:spacing w:before="120"/>
        <w:ind w:firstLine="567"/>
        <w:jc w:val="both"/>
      </w:pPr>
      <w:r w:rsidRPr="00611F55">
        <w:t xml:space="preserve">В Северном, Центрально-Черноземном, Восточно-Сибирском и Дальневоточном экономических районах городов-миллионеров нет. </w:t>
      </w:r>
    </w:p>
    <w:p w:rsidR="007B40B2" w:rsidRPr="000D0CB3" w:rsidRDefault="007B40B2" w:rsidP="007B40B2">
      <w:pPr>
        <w:spacing w:before="120"/>
        <w:jc w:val="center"/>
        <w:rPr>
          <w:b/>
          <w:bCs/>
          <w:sz w:val="28"/>
          <w:szCs w:val="28"/>
        </w:rPr>
      </w:pPr>
      <w:r w:rsidRPr="000D0CB3">
        <w:rPr>
          <w:b/>
          <w:bCs/>
          <w:sz w:val="28"/>
          <w:szCs w:val="28"/>
        </w:rPr>
        <w:t xml:space="preserve">Агломерации и мегалополисы </w:t>
      </w:r>
    </w:p>
    <w:p w:rsidR="007B40B2" w:rsidRPr="00611F55" w:rsidRDefault="007B40B2" w:rsidP="007B40B2">
      <w:pPr>
        <w:spacing w:before="120"/>
        <w:ind w:firstLine="567"/>
        <w:jc w:val="both"/>
      </w:pPr>
      <w:r w:rsidRPr="00611F55">
        <w:t xml:space="preserve">Агломерация - компактная группировка поселений, главным образом городских, объединенная в сложную территориальную систему многообразными интенсивными связями. </w:t>
      </w:r>
    </w:p>
    <w:p w:rsidR="007B40B2" w:rsidRPr="00611F55" w:rsidRDefault="007B40B2" w:rsidP="007B40B2">
      <w:pPr>
        <w:spacing w:before="120"/>
        <w:ind w:firstLine="567"/>
        <w:jc w:val="both"/>
      </w:pPr>
      <w:r w:rsidRPr="00611F55">
        <w:t xml:space="preserve">Агломерации - моноцентрические (большинство), полицентрические (конурбации). </w:t>
      </w:r>
    </w:p>
    <w:p w:rsidR="007B40B2" w:rsidRPr="00611F55" w:rsidRDefault="007B40B2" w:rsidP="007B40B2">
      <w:pPr>
        <w:spacing w:before="120"/>
        <w:ind w:firstLine="567"/>
        <w:jc w:val="both"/>
      </w:pPr>
      <w:r w:rsidRPr="00611F55">
        <w:t xml:space="preserve">Конурбации: </w:t>
      </w:r>
    </w:p>
    <w:p w:rsidR="007B40B2" w:rsidRPr="00611F55" w:rsidRDefault="007B40B2" w:rsidP="007B40B2">
      <w:pPr>
        <w:spacing w:before="120"/>
        <w:ind w:firstLine="567"/>
        <w:jc w:val="both"/>
      </w:pPr>
      <w:r w:rsidRPr="00611F55">
        <w:t xml:space="preserve">Рурская (ФРГ) </w:t>
      </w:r>
    </w:p>
    <w:p w:rsidR="007B40B2" w:rsidRPr="00611F55" w:rsidRDefault="007B40B2" w:rsidP="007B40B2">
      <w:pPr>
        <w:spacing w:before="120"/>
        <w:ind w:firstLine="567"/>
        <w:jc w:val="both"/>
      </w:pPr>
      <w:r w:rsidRPr="00611F55">
        <w:t xml:space="preserve">Верхне-Силезкая (Польша) </w:t>
      </w:r>
    </w:p>
    <w:p w:rsidR="007B40B2" w:rsidRPr="00611F55" w:rsidRDefault="007B40B2" w:rsidP="007B40B2">
      <w:pPr>
        <w:spacing w:before="120"/>
        <w:ind w:firstLine="567"/>
        <w:jc w:val="both"/>
      </w:pPr>
      <w:r w:rsidRPr="00611F55">
        <w:t xml:space="preserve">Донецко-Макеевская (Украина) </w:t>
      </w:r>
    </w:p>
    <w:p w:rsidR="007B40B2" w:rsidRPr="00611F55" w:rsidRDefault="007B40B2" w:rsidP="007B40B2">
      <w:pPr>
        <w:spacing w:before="120"/>
        <w:ind w:firstLine="567"/>
        <w:jc w:val="both"/>
      </w:pPr>
      <w:r w:rsidRPr="00611F55">
        <w:t xml:space="preserve">Киселевско-Прокопьевская (Россия, Западная Сибирь) </w:t>
      </w:r>
    </w:p>
    <w:p w:rsidR="007B40B2" w:rsidRPr="00611F55" w:rsidRDefault="007B40B2" w:rsidP="007B40B2">
      <w:pPr>
        <w:spacing w:before="120"/>
        <w:ind w:firstLine="567"/>
        <w:jc w:val="both"/>
      </w:pPr>
      <w:r w:rsidRPr="00611F55">
        <w:t xml:space="preserve">По величине крупные агломерации делятся на три группы: </w:t>
      </w:r>
    </w:p>
    <w:p w:rsidR="007B40B2" w:rsidRPr="00611F55" w:rsidRDefault="007B40B2" w:rsidP="007B40B2">
      <w:pPr>
        <w:spacing w:before="120"/>
        <w:ind w:firstLine="567"/>
        <w:jc w:val="both"/>
      </w:pPr>
      <w:r w:rsidRPr="00611F55">
        <w:t xml:space="preserve">&gt;20 млн. чел. - Мехико </w:t>
      </w:r>
    </w:p>
    <w:p w:rsidR="007B40B2" w:rsidRPr="00611F55" w:rsidRDefault="007B40B2" w:rsidP="007B40B2">
      <w:pPr>
        <w:spacing w:before="120"/>
        <w:ind w:firstLine="567"/>
        <w:jc w:val="both"/>
      </w:pPr>
      <w:r w:rsidRPr="00611F55">
        <w:t xml:space="preserve">10-20 млн. чел. (12) - Нью-Йорк, Лос-Анжелес, Рио-де-Жанейро, Сан-Паулу, Буэнос-Айрес, Бомбей, Калькутта, Пекин, Токио, Сеул, Москва, Шанхай </w:t>
      </w:r>
    </w:p>
    <w:p w:rsidR="007B40B2" w:rsidRPr="00611F55" w:rsidRDefault="007B40B2" w:rsidP="007B40B2">
      <w:pPr>
        <w:spacing w:before="120"/>
        <w:ind w:firstLine="567"/>
        <w:jc w:val="both"/>
      </w:pPr>
      <w:r w:rsidRPr="00611F55">
        <w:t>5-10 млн. чел. (23) - Чикаго, Сан-Франциско, Филадельфия, Лима, Лондон, Париж, Мадрид, Милан, Санкт-Петербург, Каир, Лагос, Стамбул, Тегеран, Карачи, Дели, Мадрас, Бангкок, Джакарта, Манила, Гонконг, Осака, Нагойа, Таньцзинь.</w:t>
      </w:r>
    </w:p>
    <w:p w:rsidR="007B40B2" w:rsidRPr="00611F55" w:rsidRDefault="007B40B2" w:rsidP="007B40B2">
      <w:pPr>
        <w:spacing w:before="120"/>
        <w:ind w:firstLine="567"/>
        <w:jc w:val="both"/>
      </w:pPr>
      <w:r w:rsidRPr="00611F55">
        <w:t xml:space="preserve">Мегалополис - территориальное образование, сформировавшееся за счет срастания ряда соседних агломераций и их пригородных зон </w:t>
      </w:r>
    </w:p>
    <w:p w:rsidR="007B40B2" w:rsidRPr="00611F55" w:rsidRDefault="007B40B2" w:rsidP="007B40B2">
      <w:pPr>
        <w:spacing w:before="120"/>
        <w:ind w:firstLine="567"/>
        <w:jc w:val="both"/>
      </w:pPr>
      <w:r w:rsidRPr="00611F55">
        <w:t xml:space="preserve">В мире существует 6 мегалополисов: 3 в США, 2 в Европе, 1 в Японии. В России формируется мегалополис, включающий Тульскую, Московскую, Владимирскую и Нижегородскую области.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260B"/>
    <w:rsid w:val="000D0CB3"/>
    <w:rsid w:val="00611F55"/>
    <w:rsid w:val="00616072"/>
    <w:rsid w:val="0069260B"/>
    <w:rsid w:val="00694E61"/>
    <w:rsid w:val="007B40B2"/>
    <w:rsid w:val="008B35EE"/>
    <w:rsid w:val="00AF4B60"/>
    <w:rsid w:val="00B42C45"/>
    <w:rsid w:val="00B47B6A"/>
    <w:rsid w:val="00C3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48CF6FF-63A9-460B-ACB2-C9EC8CF9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60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69260B"/>
    <w:rPr>
      <w:color w:val="073A8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</Words>
  <Characters>3410</Characters>
  <Application>Microsoft Office Word</Application>
  <DocSecurity>0</DocSecurity>
  <Lines>28</Lines>
  <Paragraphs>7</Paragraphs>
  <ScaleCrop>false</ScaleCrop>
  <Company>Home</Company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Городское и сельское население </dc:title>
  <dc:subject/>
  <dc:creator>User</dc:creator>
  <cp:keywords/>
  <dc:description/>
  <cp:lastModifiedBy>admin</cp:lastModifiedBy>
  <cp:revision>2</cp:revision>
  <dcterms:created xsi:type="dcterms:W3CDTF">2014-02-19T14:18:00Z</dcterms:created>
  <dcterms:modified xsi:type="dcterms:W3CDTF">2014-02-19T14:18:00Z</dcterms:modified>
</cp:coreProperties>
</file>