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5CD" w:rsidRDefault="00EC45CD">
      <w:pPr>
        <w:widowControl/>
        <w:spacing w:before="0" w:after="0"/>
        <w:ind w:firstLine="56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Экономико-географический анализ </w:t>
      </w:r>
      <w:r>
        <w:rPr>
          <w:rStyle w:val="HTMLMarkup"/>
          <w:b/>
          <w:bCs/>
          <w:sz w:val="32"/>
          <w:szCs w:val="32"/>
        </w:rPr>
        <w:t>&lt;span style="font-size:20.0pt;mso-bidi-font-size:10.0pt; mso-bidi-font-weight:bold"&gt;</w:t>
      </w:r>
      <w:r>
        <w:rPr>
          <w:b/>
          <w:bCs/>
          <w:sz w:val="32"/>
          <w:szCs w:val="32"/>
        </w:rPr>
        <w:t>Латинской Америки</w:t>
      </w:r>
      <w:r>
        <w:rPr>
          <w:rStyle w:val="HTMLMarkup"/>
          <w:b/>
          <w:bCs/>
          <w:sz w:val="32"/>
          <w:szCs w:val="32"/>
        </w:rPr>
        <w:t>&lt;/span&gt;&lt;span style="font-size:14.0pt;mso-bidi-font-size:10.0pt;mso-bidi-font-weight: bold"&gt;&lt;o:p&gt;</w:t>
      </w:r>
      <w:r>
        <w:rPr>
          <w:b/>
          <w:bCs/>
          <w:sz w:val="32"/>
          <w:szCs w:val="32"/>
        </w:rPr>
        <w:t xml:space="preserve"> </w:t>
      </w:r>
      <w:r>
        <w:rPr>
          <w:rStyle w:val="HTMLMarkup"/>
          <w:b/>
          <w:bCs/>
          <w:sz w:val="32"/>
          <w:szCs w:val="32"/>
        </w:rPr>
        <w:t>&lt;/o:p&gt;&lt;/span&gt;</w:t>
      </w:r>
    </w:p>
    <w:p w:rsidR="00EC45CD" w:rsidRDefault="00EC45CD">
      <w:pPr>
        <w:widowControl/>
        <w:spacing w:before="0" w:after="0"/>
        <w:ind w:firstLine="567"/>
        <w:jc w:val="both"/>
      </w:pPr>
      <w:r>
        <w:rPr>
          <w:rStyle w:val="HTMLMarkup"/>
        </w:rPr>
        <w:t>&lt;span style="font-size:16.0pt;mso-bidi-font-size:10.0pt"&gt;</w:t>
      </w:r>
      <w:r>
        <w:t> </w:t>
      </w:r>
      <w:r>
        <w:rPr>
          <w:rStyle w:val="HTMLMarkup"/>
        </w:rPr>
        <w:t>&lt;o:p&gt;</w:t>
      </w:r>
      <w:r>
        <w:t xml:space="preserve"> </w:t>
      </w:r>
      <w:r>
        <w:rPr>
          <w:rStyle w:val="HTMLMarkup"/>
        </w:rPr>
        <w:t>&lt;/o:p&gt;&lt;/span&gt;</w:t>
      </w:r>
    </w:p>
    <w:p w:rsidR="00EC45CD" w:rsidRDefault="00EC45CD">
      <w:pPr>
        <w:widowControl/>
        <w:spacing w:before="0" w:after="0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ЭГП</w:t>
      </w:r>
    </w:p>
    <w:p w:rsidR="00EC45CD" w:rsidRDefault="00EC45CD">
      <w:pPr>
        <w:widowControl/>
        <w:spacing w:before="0" w:after="0"/>
        <w:ind w:firstLine="567"/>
        <w:jc w:val="both"/>
      </w:pPr>
      <w:r>
        <w:rPr>
          <w:rStyle w:val="HTMLMarkup"/>
        </w:rPr>
        <w:t xml:space="preserve"> &lt;span style="font-size:16.0pt;mso-bidi-font-size:10.0pt"&gt;&lt;/span&gt;&lt;span style="font-size:12.0pt;mso-bidi-font-size: 10.0pt"&gt;</w:t>
      </w:r>
      <w:r>
        <w:t xml:space="preserve"> </w:t>
      </w:r>
      <w:r>
        <w:rPr>
          <w:rStyle w:val="HTMLMarkup"/>
        </w:rPr>
        <w:t>&lt;/span&gt;&lt;span style="font-size:12.0pt;mso-bidi-font-size:10.0pt; mso-bidi-font-weight:bold"&gt;</w:t>
      </w:r>
      <w:r>
        <w:t>Латинская Америка, площадью в 21 млн. км. кв., занимает весь материк Южной Америки. На востоке она омывается Атлантическим океаном, через который осуществляются исторически сложившиеся экономические связи с Африкой и Европой, и на западе – Тихим, через который практически не осуществляется никаких отношений. На севере Латинской Америки находится Карибское море и Мексиканский залив, по которым она взаимодействует с США – наиболее развитой страной мира. Еще одной положительной стороной ЭГП является наличие Панамского канала, через который проходят многие важные морские трассы.</w:t>
      </w:r>
      <w:r>
        <w:rPr>
          <w:rStyle w:val="HTMLMarkup"/>
        </w:rPr>
        <w:t>&lt;span style="mso-spacerun: yes"&gt;</w:t>
      </w:r>
      <w:r>
        <w:t xml:space="preserve">      </w:t>
      </w:r>
      <w:r>
        <w:rPr>
          <w:rStyle w:val="HTMLMarkup"/>
        </w:rPr>
        <w:t>&lt;/span&gt;&lt;o:p&gt;&lt;/o:p&gt;&lt;/span&gt;</w:t>
      </w:r>
    </w:p>
    <w:p w:rsidR="00EC45CD" w:rsidRDefault="00EC45CD">
      <w:pPr>
        <w:widowControl/>
        <w:spacing w:before="0" w:after="0"/>
        <w:ind w:firstLine="567"/>
        <w:jc w:val="both"/>
        <w:rPr>
          <w:rStyle w:val="HTMLMarkup"/>
          <w:vanish w:val="0"/>
        </w:rPr>
      </w:pPr>
    </w:p>
    <w:p w:rsidR="00EC45CD" w:rsidRDefault="00EC45CD">
      <w:pPr>
        <w:widowControl/>
        <w:spacing w:before="0" w:after="0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Природные ресурсы</w:t>
      </w:r>
      <w:r>
        <w:rPr>
          <w:rStyle w:val="HTMLMarkup"/>
          <w:b/>
          <w:bCs/>
          <w:sz w:val="28"/>
          <w:szCs w:val="28"/>
        </w:rPr>
        <w:t xml:space="preserve"> &lt;span style="font-size:16.0pt;mso-bidi-font-size:10.0pt"&gt;&lt;/span&gt;</w:t>
      </w:r>
    </w:p>
    <w:p w:rsidR="00EC45CD" w:rsidRDefault="00EC45CD">
      <w:pPr>
        <w:widowControl/>
        <w:spacing w:before="0" w:after="0"/>
        <w:ind w:firstLine="567"/>
        <w:jc w:val="both"/>
      </w:pPr>
      <w:r>
        <w:rPr>
          <w:rStyle w:val="HTMLMarkup"/>
        </w:rPr>
        <w:t>&lt;span style="font-size:12.0pt;mso-bidi-font-size:10.0pt"&gt;</w:t>
      </w:r>
      <w:r>
        <w:t>Латинская Америка обладает поистине огромными природными ресурсами – как невозобновимыми, так и возобновимыми.</w:t>
      </w:r>
      <w:r>
        <w:rPr>
          <w:rStyle w:val="HTMLMarkup"/>
        </w:rPr>
        <w:t>&lt;o:p&gt;</w:t>
      </w:r>
      <w:r>
        <w:t xml:space="preserve"> </w:t>
      </w:r>
      <w:r>
        <w:rPr>
          <w:rStyle w:val="HTMLMarkup"/>
        </w:rPr>
        <w:t>&lt;/o:p&gt;&lt;/span&gt;</w:t>
      </w:r>
    </w:p>
    <w:p w:rsidR="00EC45CD" w:rsidRDefault="00EC45CD">
      <w:pPr>
        <w:widowControl/>
        <w:spacing w:before="0" w:after="0"/>
        <w:ind w:firstLine="567"/>
        <w:jc w:val="both"/>
      </w:pPr>
      <w:r>
        <w:rPr>
          <w:rStyle w:val="HTMLMarkup"/>
        </w:rPr>
        <w:t>&lt;span style="font-size:12.0pt; mso-bidi-font-size:10.0pt"&gt;&lt;span style="mso-tab-count:1"&gt;</w:t>
      </w:r>
      <w:r>
        <w:t xml:space="preserve"> </w:t>
      </w:r>
      <w:r>
        <w:rPr>
          <w:rStyle w:val="HTMLMarkup"/>
        </w:rPr>
        <w:t>&lt;/span&gt;</w:t>
      </w:r>
      <w:r>
        <w:t xml:space="preserve">К категории </w:t>
      </w:r>
      <w:r>
        <w:rPr>
          <w:u w:val="single"/>
        </w:rPr>
        <w:t>невозобновимых ресурсов</w:t>
      </w:r>
      <w:r>
        <w:t xml:space="preserve"> относятся, прежде всего, полезные ископаемые, из которых особенно выделяются редкие и рассеянные элементы ниобия, лития, бериллия, а также молибдена (1/2), медных руд (2/5), серы и серебра (1/3), железных, оловянных руд и бокситов (1/4), нефти (1/5). Но распределение их по территории региона подчиняется геологическим – прежде всего тектоническим – закономерностям, которые позволяют выделить в пределах Латинской Америки 4 крупных структурных части.</w:t>
      </w:r>
      <w:r>
        <w:rPr>
          <w:rStyle w:val="HTMLMarkup"/>
        </w:rPr>
        <w:t>&lt;o:p&gt;</w:t>
      </w:r>
      <w:r>
        <w:t xml:space="preserve"> </w:t>
      </w:r>
      <w:r>
        <w:rPr>
          <w:rStyle w:val="HTMLMarkup"/>
        </w:rPr>
        <w:t>&lt;/o:p&gt;&lt;/span&gt;</w:t>
      </w:r>
    </w:p>
    <w:p w:rsidR="00EC45CD" w:rsidRDefault="00EC45CD">
      <w:pPr>
        <w:widowControl/>
        <w:spacing w:before="0" w:after="0"/>
        <w:ind w:firstLine="567"/>
        <w:jc w:val="both"/>
      </w:pPr>
      <w:r>
        <w:rPr>
          <w:rStyle w:val="HTMLMarkup"/>
        </w:rPr>
        <w:t>&lt;span style="font-size:12.0pt;mso-bidi-font-size: 10.0pt"&gt;</w:t>
      </w:r>
      <w:r>
        <w:t xml:space="preserve">Южноамериканская платформа, в основе которой лежит Ю.-А. плита. Древние щиты, выходящие на поверхность в районе Бразильского и Гвианского плоскогорья, - высококачественная </w:t>
      </w:r>
      <w:r>
        <w:rPr>
          <w:i/>
          <w:iCs/>
        </w:rPr>
        <w:t>железная руда</w:t>
      </w:r>
      <w:r>
        <w:t xml:space="preserve"> (бассейн Каражас и Минас-Жерайс – Бразилия – 18 млрд. т. (1-й басс.)); месторождения </w:t>
      </w:r>
      <w:r>
        <w:rPr>
          <w:i/>
          <w:iCs/>
        </w:rPr>
        <w:t>марганца</w:t>
      </w:r>
      <w:r>
        <w:t xml:space="preserve">; крупнейшая </w:t>
      </w:r>
      <w:r>
        <w:rPr>
          <w:i/>
          <w:iCs/>
        </w:rPr>
        <w:t>бокситоносная провинция</w:t>
      </w:r>
      <w:r>
        <w:t xml:space="preserve"> (протягивающаяся по территории Венесуэлы, Гайаны, Суринама, Гвиана и Бразилии).</w:t>
      </w:r>
      <w:r>
        <w:rPr>
          <w:rStyle w:val="HTMLMarkup"/>
        </w:rPr>
        <w:t>&lt;o:p&gt;</w:t>
      </w:r>
      <w:r>
        <w:t xml:space="preserve"> </w:t>
      </w:r>
      <w:r>
        <w:rPr>
          <w:rStyle w:val="HTMLMarkup"/>
        </w:rPr>
        <w:t>&lt;/o:p&gt;&lt;/span&gt;</w:t>
      </w:r>
    </w:p>
    <w:p w:rsidR="00EC45CD" w:rsidRDefault="00EC45CD">
      <w:pPr>
        <w:widowControl/>
        <w:spacing w:before="0" w:after="0"/>
        <w:ind w:firstLine="567"/>
        <w:jc w:val="both"/>
      </w:pPr>
      <w:r>
        <w:rPr>
          <w:rStyle w:val="HTMLMarkup"/>
        </w:rPr>
        <w:t>&lt;span style="font-size:12.0pt;mso-bidi-font-size: 10.0pt"&gt;</w:t>
      </w:r>
      <w:r>
        <w:t xml:space="preserve">Горный пояс Анд – особенно богат разнообразными рудными полезными ископаемыми: медные, оловянные, железные, свинцово-цинковые, молибденовые, вольфрамовые, сурьмяные руды, руды благородных металлов. Однако по размерам и значению среди них выделяются медные и оловянные руды. </w:t>
      </w:r>
      <w:r>
        <w:rPr>
          <w:i/>
          <w:iCs/>
        </w:rPr>
        <w:t>Медно-порфировые</w:t>
      </w:r>
      <w:r>
        <w:t xml:space="preserve"> месторождения протягиваются по всему Тихоокеанскому рудному поясу и разведаны в Колумбии, Эквадоре, Перу, Чили. Но примерно 2/3 всех запасов приходится на Чили, где содержание меди в руде – 1,6% - значительно выше, чем в других странах. По запасам </w:t>
      </w:r>
      <w:r>
        <w:rPr>
          <w:i/>
          <w:iCs/>
        </w:rPr>
        <w:t>оловянных руд</w:t>
      </w:r>
      <w:r>
        <w:t xml:space="preserve"> особенно выделяется Боливия. Пояс Анд славится также крупнейшими в мире залежами </w:t>
      </w:r>
      <w:r>
        <w:rPr>
          <w:i/>
          <w:iCs/>
        </w:rPr>
        <w:t>селитры</w:t>
      </w:r>
      <w:r>
        <w:t xml:space="preserve"> – 98% мировых запасов которой находится в Чили. Многие Андские страны известны также добычей различных драгоценных камней. В первую очередь это относится к Колумбии, выделяющейся по добыче изумрудов. </w:t>
      </w:r>
      <w:r>
        <w:rPr>
          <w:rStyle w:val="HTMLMarkup"/>
        </w:rPr>
        <w:t>&lt;o:p&gt;&lt;/o:p&gt;&lt;/span&gt;</w:t>
      </w:r>
    </w:p>
    <w:p w:rsidR="00EC45CD" w:rsidRDefault="00EC45CD">
      <w:pPr>
        <w:widowControl/>
        <w:spacing w:before="0" w:after="0"/>
        <w:ind w:firstLine="567"/>
        <w:jc w:val="both"/>
      </w:pPr>
      <w:r>
        <w:rPr>
          <w:rStyle w:val="HTMLMarkup"/>
        </w:rPr>
        <w:t>&lt;span style="font-size:12.0pt;mso-bidi-font-size: 10.0pt"&gt;</w:t>
      </w:r>
      <w:r>
        <w:t xml:space="preserve">Краевые и межгорные прогибы Анд, выполненные осадочными месторождениями. Именно с ними связаны месторождения </w:t>
      </w:r>
      <w:r>
        <w:rPr>
          <w:i/>
          <w:iCs/>
        </w:rPr>
        <w:t>нефти и природного газа</w:t>
      </w:r>
      <w:r>
        <w:t xml:space="preserve"> в Венесуэле, Колумбии, Эквадоре, Перу, Аргентине. При этом, примерно 50% общих запасов нефти в регионе приходится на долю Венесуэлы. В свою очередь, 4/5 запасов этой страны концентрируется в бассейне Маракайбо. В Колумбии же с осадочными отложениями связаны крупнейшие во всем регионе запасы каменного угля. </w:t>
      </w:r>
      <w:r>
        <w:rPr>
          <w:rStyle w:val="HTMLMarkup"/>
        </w:rPr>
        <w:t>&lt;o:p&gt;&lt;/o:p&gt;&lt;/span&gt;</w:t>
      </w:r>
    </w:p>
    <w:p w:rsidR="00EC45CD" w:rsidRDefault="00EC45CD">
      <w:pPr>
        <w:widowControl/>
        <w:spacing w:before="0" w:after="0"/>
        <w:ind w:firstLine="567"/>
        <w:jc w:val="both"/>
      </w:pPr>
      <w:r>
        <w:rPr>
          <w:rStyle w:val="HTMLMarkup"/>
        </w:rPr>
        <w:t>&lt;span style="font-size:12.0pt;mso-bidi-font-size: 10.0pt"&gt;</w:t>
      </w:r>
      <w:r>
        <w:t xml:space="preserve">Средняя Америка, включающая территорию Мексики, стран Центральной Америки и Антильской островной дуги. </w:t>
      </w:r>
      <w:r>
        <w:rPr>
          <w:i/>
          <w:iCs/>
        </w:rPr>
        <w:t>Бокситы</w:t>
      </w:r>
      <w:r>
        <w:t xml:space="preserve"> (Ямайка, Доминиканская республика); </w:t>
      </w:r>
      <w:r>
        <w:rPr>
          <w:i/>
          <w:iCs/>
        </w:rPr>
        <w:t>никель</w:t>
      </w:r>
      <w:r>
        <w:t xml:space="preserve"> (Куба); </w:t>
      </w:r>
      <w:r>
        <w:rPr>
          <w:i/>
          <w:iCs/>
        </w:rPr>
        <w:t>железные</w:t>
      </w:r>
      <w:r>
        <w:t xml:space="preserve">; </w:t>
      </w:r>
      <w:r>
        <w:rPr>
          <w:i/>
          <w:iCs/>
        </w:rPr>
        <w:t>полиметаллические</w:t>
      </w:r>
      <w:r>
        <w:t xml:space="preserve">; </w:t>
      </w:r>
      <w:r>
        <w:rPr>
          <w:i/>
          <w:iCs/>
        </w:rPr>
        <w:t>медные руды</w:t>
      </w:r>
      <w:r>
        <w:t xml:space="preserve"> и </w:t>
      </w:r>
      <w:r>
        <w:rPr>
          <w:i/>
          <w:iCs/>
        </w:rPr>
        <w:t>сера</w:t>
      </w:r>
      <w:r>
        <w:t xml:space="preserve"> (Мексика). В Мексике в юго-восточной части на побережье Мексиканского залива – </w:t>
      </w:r>
      <w:r>
        <w:rPr>
          <w:i/>
          <w:iCs/>
        </w:rPr>
        <w:t>месторождения нефти</w:t>
      </w:r>
      <w:r>
        <w:t xml:space="preserve"> – “Золотой пояс”.</w:t>
      </w:r>
      <w:r>
        <w:rPr>
          <w:rStyle w:val="HTMLMarkup"/>
        </w:rPr>
        <w:t>&lt;span style="mso-spacerun: yes"&gt;</w:t>
      </w:r>
      <w:r>
        <w:t xml:space="preserve">       </w:t>
      </w:r>
      <w:r>
        <w:rPr>
          <w:rStyle w:val="HTMLMarkup"/>
        </w:rPr>
        <w:t>&lt;/span&gt;&lt;o:p&gt;&lt;/o:p&gt;&lt;/span&gt;</w:t>
      </w:r>
    </w:p>
    <w:p w:rsidR="00EC45CD" w:rsidRDefault="00EC45CD">
      <w:pPr>
        <w:widowControl/>
        <w:spacing w:before="0" w:after="0"/>
        <w:ind w:firstLine="567"/>
        <w:jc w:val="both"/>
      </w:pPr>
      <w:r>
        <w:rPr>
          <w:rStyle w:val="HTMLMarkup"/>
          <w:u w:val="single"/>
        </w:rPr>
        <w:t>&lt;span style="font-size:12.0pt;mso-bidi-font-size:10.0pt"&gt;</w:t>
      </w:r>
      <w:r>
        <w:rPr>
          <w:u w:val="single"/>
        </w:rPr>
        <w:t>Итог:</w:t>
      </w:r>
      <w:r>
        <w:rPr>
          <w:rStyle w:val="HTMLMarkup"/>
          <w:u w:val="single"/>
        </w:rPr>
        <w:t>&lt;/span&gt;</w:t>
      </w:r>
      <w:r>
        <w:rPr>
          <w:rStyle w:val="HTMLMarkup"/>
        </w:rPr>
        <w:t>&lt;span style="font-size:12.0pt;mso-bidi-font-size:10.0pt"&gt;</w:t>
      </w:r>
      <w:r>
        <w:t xml:space="preserve"> по богатству и разнообразию природных ресурсов 1-ое место занимает Бразилия, потом Мексика, Чили, Перу, Колумбия.</w:t>
      </w:r>
      <w:r>
        <w:rPr>
          <w:rStyle w:val="HTMLMarkup"/>
        </w:rPr>
        <w:t>&lt;span style="mso-spacerun: yes"&gt;</w:t>
      </w:r>
      <w:r>
        <w:t xml:space="preserve">  </w:t>
      </w:r>
    </w:p>
    <w:p w:rsidR="00EC45CD" w:rsidRDefault="00EC45CD">
      <w:pPr>
        <w:widowControl/>
        <w:spacing w:before="0" w:after="0"/>
        <w:ind w:firstLine="567"/>
        <w:jc w:val="both"/>
      </w:pPr>
    </w:p>
    <w:p w:rsidR="00EC45CD" w:rsidRDefault="00EC45CD">
      <w:pPr>
        <w:widowControl/>
        <w:spacing w:before="0" w:after="0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Население</w:t>
      </w:r>
    </w:p>
    <w:p w:rsidR="00EC45CD" w:rsidRDefault="00EC45CD">
      <w:pPr>
        <w:widowControl/>
        <w:spacing w:before="0" w:after="0"/>
        <w:ind w:firstLine="567"/>
        <w:jc w:val="both"/>
      </w:pPr>
      <w:r>
        <w:rPr>
          <w:rStyle w:val="HTMLMarkup"/>
          <w:b/>
          <w:bCs/>
        </w:rPr>
        <w:t>&lt;span style="font-size:12.0pt;mso-bidi-font-size:10.0pt; font-weight:normal;mso-bidi-font-weight:bold"&gt;</w:t>
      </w:r>
      <w:r>
        <w:t xml:space="preserve"> Этнический и расовый состав населения Латинской Америки характеризуется большой сложностью, что связано с особенностями ее исторического развития. Здесь живут представители всех трех больших рас: монголоидной, европеоидной и экваториальной. Здесь обитают примерно 250 больших и малых народов. В </w:t>
      </w:r>
      <w:r>
        <w:rPr>
          <w:rStyle w:val="HTMLMarkup"/>
          <w:b/>
          <w:bCs/>
        </w:rPr>
        <w:t>&lt;/span&gt;&lt;span lang="EN-US" style="font-size:12.0pt;mso-bidi-font-size:10.0pt;mso-ansi-language:EN-US; font-weight:normal;mso-bidi-font-weight:bold"&gt;</w:t>
      </w:r>
      <w:r>
        <w:t>XIX</w:t>
      </w:r>
      <w:r>
        <w:rPr>
          <w:rStyle w:val="HTMLMarkup"/>
          <w:b/>
          <w:bCs/>
        </w:rPr>
        <w:t>&lt;/span&gt;&lt;span style="font-size: 12.0pt;mso-bidi-font-size:10.0pt;font-weight:normal;mso-bidi-font-weight:bold"&gt;</w:t>
      </w:r>
      <w:r>
        <w:t xml:space="preserve"> веке складываются три главных расово-этнических элемента: креолы (потомки испанских о португальских завоевателей), индейцы (15%), негры (завезенные рабы, 10%) и многочисленные смешанные группы (мулаты, самбо, метисы).</w:t>
      </w:r>
      <w:r>
        <w:rPr>
          <w:rStyle w:val="HTMLMarkup"/>
          <w:b/>
          <w:bCs/>
        </w:rPr>
        <w:t>&lt;o:p&gt;</w:t>
      </w:r>
      <w:r>
        <w:t xml:space="preserve"> </w:t>
      </w:r>
      <w:r>
        <w:rPr>
          <w:rStyle w:val="HTMLMarkup"/>
          <w:b/>
          <w:bCs/>
        </w:rPr>
        <w:t>&lt;/o:p&gt;&lt;/span&gt;</w:t>
      </w:r>
    </w:p>
    <w:p w:rsidR="00EC45CD" w:rsidRDefault="00EC45CD">
      <w:pPr>
        <w:widowControl/>
        <w:spacing w:before="0" w:after="0"/>
        <w:ind w:firstLine="567"/>
        <w:jc w:val="both"/>
      </w:pPr>
      <w:r>
        <w:rPr>
          <w:rStyle w:val="HTMLMarkup"/>
          <w:b/>
          <w:bCs/>
        </w:rPr>
        <w:t>&lt;span style="font-size:12.0pt;mso-bidi-font-size:10.0pt;font-weight:normal; mso-bidi-font-weight:bold"&gt;&lt;span style="mso-tab-count:1"&gt;</w:t>
      </w:r>
      <w:r>
        <w:t xml:space="preserve"> </w:t>
      </w:r>
      <w:r>
        <w:rPr>
          <w:rStyle w:val="HTMLMarkup"/>
          <w:b/>
          <w:bCs/>
        </w:rPr>
        <w:t>&lt;/span&gt;</w:t>
      </w:r>
      <w:r>
        <w:t xml:space="preserve">Языковой состав населения Латинской Америки гораздо более однородный. Испанский (государственный язык в 18 странах), португальский (Бразилия), английский (Ямайка, Барбадос и некоторые другие из Антильских островов, Гайана), французский (Гаити, Гваделупа, Мартиника, французская Гвиана), а также голландский индейские языки. </w:t>
      </w:r>
      <w:r>
        <w:rPr>
          <w:rStyle w:val="HTMLMarkup"/>
          <w:b/>
          <w:bCs/>
        </w:rPr>
        <w:t>&lt;o:p&gt;&lt;/o:p&gt;&lt;/span&gt;</w:t>
      </w:r>
    </w:p>
    <w:p w:rsidR="00EC45CD" w:rsidRDefault="00EC45CD">
      <w:pPr>
        <w:widowControl/>
        <w:spacing w:before="0" w:after="0"/>
        <w:ind w:firstLine="567"/>
        <w:jc w:val="both"/>
      </w:pPr>
      <w:r>
        <w:rPr>
          <w:rStyle w:val="HTMLMarkup"/>
        </w:rPr>
        <w:t>&lt;span style="mso-tab-count:1"&gt;</w:t>
      </w:r>
      <w:r>
        <w:t xml:space="preserve"> </w:t>
      </w:r>
      <w:r>
        <w:rPr>
          <w:rStyle w:val="HTMLMarkup"/>
        </w:rPr>
        <w:t>&lt;/span&gt;&lt;span style="font-size:12.0pt;mso-bidi-font-size:10.0pt"&gt;</w:t>
      </w:r>
      <w:r>
        <w:t>Религиозный состав населения Латинской Америки во многом определяется ее этническим составам и также тесно связан с историей ее колонизации. Примерно 9/10 ее населения исповедуют католицизм, который насильственно насаждался во всех испанских и португальских колониях. Кроме католиков, есть также протестанты и православные, а из нехристианских религий – индуисты и мусульмане (в среде выходцев из Азии).</w:t>
      </w:r>
      <w:r>
        <w:rPr>
          <w:rStyle w:val="HTMLMarkup"/>
        </w:rPr>
        <w:t>&lt;span style="mso-spacerun: yes"&gt;</w:t>
      </w:r>
      <w:r>
        <w:t xml:space="preserve">    </w:t>
      </w:r>
      <w:r>
        <w:rPr>
          <w:rStyle w:val="HTMLMarkup"/>
        </w:rPr>
        <w:t>&lt;/span&gt;&lt;o:p&gt;&lt;/o:p&gt;&lt;/span&gt;</w:t>
      </w:r>
    </w:p>
    <w:p w:rsidR="00EC45CD" w:rsidRDefault="00EC45CD">
      <w:pPr>
        <w:pStyle w:val="3"/>
        <w:jc w:val="center"/>
        <w:outlineLvl w:val="2"/>
        <w:rPr>
          <w:rStyle w:val="HTMLMarkup"/>
          <w:rFonts w:ascii="Times New Roman" w:hAnsi="Times New Roman" w:cs="Times New Roman"/>
          <w:b/>
          <w:bCs/>
          <w:vanish w:val="0"/>
          <w:color w:val="auto"/>
          <w:sz w:val="28"/>
          <w:szCs w:val="28"/>
        </w:rPr>
      </w:pPr>
      <w:r>
        <w:rPr>
          <w:rStyle w:val="HTMLMarkup"/>
          <w:rFonts w:ascii="Times New Roman" w:hAnsi="Times New Roman" w:cs="Times New Roman"/>
          <w:b/>
          <w:bCs/>
          <w:vanish w:val="0"/>
          <w:color w:val="auto"/>
          <w:sz w:val="28"/>
          <w:szCs w:val="28"/>
        </w:rPr>
        <w:t>Производство</w:t>
      </w:r>
    </w:p>
    <w:p w:rsidR="00EC45CD" w:rsidRDefault="00EC45CD">
      <w:pPr>
        <w:widowControl/>
        <w:spacing w:before="0" w:after="0"/>
        <w:ind w:firstLine="567"/>
        <w:jc w:val="both"/>
      </w:pPr>
      <w:r>
        <w:rPr>
          <w:rStyle w:val="HTMLMarkup"/>
        </w:rPr>
        <w:t>&lt;span style="font-size:12.0pt; mso-bidi-font-size:10.0pt"&gt;&lt;span style="mso-tab-count:1"&gt;&lt;/span&gt;</w:t>
      </w:r>
      <w:r>
        <w:t xml:space="preserve">Для Латинской Америки характерен 2-ой тип воспроизводства. </w:t>
      </w:r>
      <w:r>
        <w:rPr>
          <w:rStyle w:val="HTMLMarkup"/>
        </w:rPr>
        <w:t>&lt;o:p&gt;&lt;/o:p&gt;&lt;/span&gt;</w:t>
      </w:r>
    </w:p>
    <w:p w:rsidR="00EC45CD" w:rsidRDefault="00EC45CD">
      <w:pPr>
        <w:widowControl/>
        <w:spacing w:before="0" w:after="0"/>
        <w:ind w:firstLine="567"/>
        <w:jc w:val="both"/>
      </w:pPr>
      <w:r>
        <w:rPr>
          <w:rStyle w:val="HTMLMarkup"/>
        </w:rPr>
        <w:t>&lt;span style="font-size:12.0pt;mso-bidi-font-size:10.0pt"&gt;</w:t>
      </w:r>
      <w:r>
        <w:t xml:space="preserve">Латинская Америка – один из наименее плотно заселенных крупных регионов мира. Но, тем не менее, с началом демографического взрыва население Латинской Америки стало расти очень быстрыми темпами. 1950 – 8 чел./км. кв., а в 1990 – 22 чел./км. кв. Наиболее большими показателями плотности отличаются небольшие островные государства: Барбадос – 700, Гренада – 300. Характерна сильная неравномерность размещения населения. Два типа размещения населения: внутренний (Мексика), приокеанический (Бразилия, Аргентина, Венесуэла). </w:t>
      </w:r>
      <w:r>
        <w:rPr>
          <w:rStyle w:val="HTMLMarkup"/>
        </w:rPr>
        <w:t>&lt;o:p&gt;&lt;/o:p&gt;&lt;/span&gt;</w:t>
      </w:r>
    </w:p>
    <w:p w:rsidR="00EC45CD" w:rsidRDefault="00EC45CD">
      <w:pPr>
        <w:widowControl/>
        <w:spacing w:before="0" w:after="0"/>
        <w:ind w:firstLine="567"/>
        <w:jc w:val="both"/>
      </w:pPr>
      <w:r>
        <w:rPr>
          <w:rStyle w:val="HTMLMarkup"/>
        </w:rPr>
        <w:t>&lt;span style="font-size:12.0pt; mso-bidi-font-size:10.0pt"&gt;&lt;span style="mso-tab-count:1"&gt;&lt;/span&gt;</w:t>
      </w:r>
      <w:r>
        <w:t>Урбанизация в 1990 – 72%, 323 млн. горожан. 2-ое место в мире по росту городов 200 городов, 39 городов-миллионеров, 14 агломераций с населением, превышающим 2 млн. 4 крупнейшие агломерации: Мехико (20,5 млн.), Рио-де-Жанейро (17,5), Сан-Паулу (11,5) и Буэнос-Айрес(11,5; более 1/3 населения Аргентины). Агломерация Большого Мехико, концентрирующая 1/3 населения Мексики на площади 0,5% (от всей страны), по числу жителей вышла на первое место в мире. Характерна “ложная урбанизация”. Высокий естественный прирост, приток мигрантов, приток жителей из провинции.</w:t>
      </w:r>
      <w:r>
        <w:rPr>
          <w:rStyle w:val="HTMLMarkup"/>
        </w:rPr>
        <w:t>&lt;span style="mso-spacerun: yes"&gt;</w:t>
      </w:r>
      <w:r>
        <w:t xml:space="preserve">      </w:t>
      </w:r>
      <w:r>
        <w:rPr>
          <w:rStyle w:val="HTMLMarkup"/>
        </w:rPr>
        <w:t>&lt;/span&gt;&lt;o:p&gt;&lt;/o:p&gt;&lt;/span&gt;</w:t>
      </w:r>
    </w:p>
    <w:p w:rsidR="00EC45CD" w:rsidRDefault="00EC45CD">
      <w:pPr>
        <w:widowControl/>
        <w:spacing w:before="0" w:after="0"/>
        <w:ind w:firstLine="567"/>
        <w:jc w:val="both"/>
      </w:pPr>
      <w:r>
        <w:t> </w:t>
      </w:r>
      <w:r>
        <w:rPr>
          <w:rStyle w:val="HTMLMarkup"/>
        </w:rPr>
        <w:t>&lt;o:p&gt;</w:t>
      </w:r>
      <w:r>
        <w:t xml:space="preserve"> </w:t>
      </w:r>
      <w:r>
        <w:rPr>
          <w:rStyle w:val="HTMLMarkup"/>
        </w:rPr>
        <w:t>&lt;/o:p&gt;</w:t>
      </w:r>
    </w:p>
    <w:p w:rsidR="00EC45CD" w:rsidRDefault="00EC45CD">
      <w:pPr>
        <w:widowControl/>
        <w:spacing w:before="0" w:after="0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Промышленность</w:t>
      </w:r>
    </w:p>
    <w:p w:rsidR="00EC45CD" w:rsidRDefault="00EC45CD">
      <w:pPr>
        <w:widowControl/>
        <w:spacing w:before="0" w:after="0"/>
        <w:ind w:firstLine="567"/>
        <w:jc w:val="both"/>
      </w:pPr>
      <w:r>
        <w:rPr>
          <w:rStyle w:val="HTMLMarkup"/>
        </w:rPr>
        <w:t>&lt;span style="font-weight:normal;mso-bidi-font-weight:bold"&gt;</w:t>
      </w:r>
      <w:r>
        <w:t xml:space="preserve"> </w:t>
      </w:r>
      <w:r>
        <w:rPr>
          <w:rStyle w:val="HTMLMarkup"/>
        </w:rPr>
        <w:t>&lt;/span&gt;&lt;span style="font-size:12.0pt;mso-bidi-font-size:10.0pt;font-weight:normal; mso-bidi-font-weight:bold"&gt;</w:t>
      </w:r>
      <w:r>
        <w:t xml:space="preserve">Латинская Америка дает половину всей продукции развивающегося мира. Она играет значительную роль в мировой горнодобывающей пр-ти (60-80%), но в последнее время перешла к обрабатывающей пр-ти. В регионе действует 25 металлургических комбинатов полного цикла, алюминиевые, нефтехимические предприятия, но особенно развито машиностроение. 4/5 всей обрабатывающей пр-ти дают Бразилия, Мексика и Аргентина. Крупнейшие промышленные районы: </w:t>
      </w:r>
      <w:r>
        <w:rPr>
          <w:rStyle w:val="HTMLMarkup"/>
        </w:rPr>
        <w:t>&lt;o:p&gt;&lt;/o:p&gt;&lt;/span&gt;</w:t>
      </w:r>
    </w:p>
    <w:p w:rsidR="00EC45CD" w:rsidRDefault="00EC45CD">
      <w:pPr>
        <w:widowControl/>
        <w:spacing w:before="0" w:after="0"/>
        <w:ind w:firstLine="567"/>
        <w:jc w:val="both"/>
      </w:pPr>
      <w:r>
        <w:rPr>
          <w:rStyle w:val="HTMLMarkup"/>
        </w:rPr>
        <w:t>&lt;span style="mso-tab-count:1"&gt;&lt;/span&gt;&lt;span style="font-size:12.0pt;mso-bidi-font-size:10.0pt"&gt;</w:t>
      </w:r>
      <w:r>
        <w:t>Самые крупные районы обрабатывающей пр-ти – Сан-Паулу и Большой Мехико – электротехника, нефтепереработка и нефтехимия, автомобилестроение и электрометаллургия.</w:t>
      </w:r>
      <w:r>
        <w:rPr>
          <w:rStyle w:val="HTMLMarkup"/>
        </w:rPr>
        <w:t>&lt;o:p&gt;</w:t>
      </w:r>
      <w:r>
        <w:t xml:space="preserve"> </w:t>
      </w:r>
      <w:r>
        <w:rPr>
          <w:rStyle w:val="HTMLMarkup"/>
        </w:rPr>
        <w:t>&lt;/o:p&gt;&lt;/span&gt;</w:t>
      </w:r>
    </w:p>
    <w:p w:rsidR="00EC45CD" w:rsidRDefault="00EC45CD">
      <w:pPr>
        <w:widowControl/>
        <w:spacing w:before="0" w:after="0"/>
        <w:ind w:firstLine="567"/>
        <w:jc w:val="both"/>
      </w:pPr>
      <w:r>
        <w:rPr>
          <w:rStyle w:val="HTMLMarkup"/>
        </w:rPr>
        <w:t>&lt;span style="font-size:12.0pt; mso-bidi-font-size:10.0pt"&gt;&lt;span style="mso-tab-count:1"&gt;&lt;/span&gt;</w:t>
      </w:r>
      <w:r>
        <w:t>Топливная пр-ть – нефтяной район лагуны Маракайбо в Венесуэле, нефтегазодобывающий район “Золотой пояс”.</w:t>
      </w:r>
      <w:r>
        <w:rPr>
          <w:rStyle w:val="HTMLMarkup"/>
        </w:rPr>
        <w:t>&lt;o:p&gt;</w:t>
      </w:r>
      <w:r>
        <w:t xml:space="preserve"> </w:t>
      </w:r>
      <w:r>
        <w:rPr>
          <w:rStyle w:val="HTMLMarkup"/>
        </w:rPr>
        <w:t>&lt;/o:p&gt;&lt;/span&gt;</w:t>
      </w:r>
    </w:p>
    <w:p w:rsidR="00EC45CD" w:rsidRDefault="00EC45CD">
      <w:pPr>
        <w:widowControl/>
        <w:spacing w:before="0" w:after="0"/>
        <w:ind w:firstLine="567"/>
        <w:jc w:val="both"/>
      </w:pPr>
      <w:r>
        <w:rPr>
          <w:rStyle w:val="HTMLMarkup"/>
        </w:rPr>
        <w:t>&lt;span style="font-size:12.0pt; mso-bidi-font-size:10.0pt"&gt;&lt;span style="mso-tab-count:1"&gt;</w:t>
      </w:r>
      <w:r>
        <w:t xml:space="preserve"> </w:t>
      </w:r>
      <w:r>
        <w:rPr>
          <w:rStyle w:val="HTMLMarkup"/>
        </w:rPr>
        <w:t>&lt;/span&gt;</w:t>
      </w:r>
      <w:r>
        <w:t>Железорудные комбинаты – проект “Большой Каражас”, сооружение ГЭС-Тукури на реке Токантинс – электрометаллургия, порт Понта-до-Мадейра.</w:t>
      </w:r>
      <w:r>
        <w:rPr>
          <w:rStyle w:val="HTMLMarkup"/>
        </w:rPr>
        <w:t>&lt;o:p&gt;</w:t>
      </w:r>
      <w:r>
        <w:t xml:space="preserve"> </w:t>
      </w:r>
      <w:r>
        <w:rPr>
          <w:rStyle w:val="HTMLMarkup"/>
        </w:rPr>
        <w:t>&lt;/o:p&gt;&lt;/span&gt;</w:t>
      </w:r>
    </w:p>
    <w:p w:rsidR="00EC45CD" w:rsidRDefault="00EC45CD">
      <w:pPr>
        <w:widowControl/>
        <w:spacing w:before="0" w:after="0"/>
        <w:ind w:firstLine="567"/>
        <w:jc w:val="both"/>
      </w:pPr>
      <w:r>
        <w:rPr>
          <w:rStyle w:val="HTMLMarkup"/>
        </w:rPr>
        <w:t>&lt;span style="font-size:12.0pt; mso-bidi-font-size:10.0pt"&gt;&lt;span style="mso-tab-count:1"&gt;</w:t>
      </w:r>
      <w:r>
        <w:t xml:space="preserve"> </w:t>
      </w:r>
      <w:r>
        <w:rPr>
          <w:rStyle w:val="HTMLMarkup"/>
        </w:rPr>
        <w:t>&lt;/span&gt;</w:t>
      </w:r>
      <w:r>
        <w:t>Электроэнергетика, черная и цветная металлургия – самый крупный район Латинской Америки – Венесуэльская Гуаяна – р. Карони с гидроэнергетическим потенциалом в 13 млн. КВт – месторождения железной руды (Серро-Боливар), золота, бокситов (штат Боливар), титановой руды, марганца – ориентация района не только на экспорт, но и на внутреннее потребление.</w:t>
      </w:r>
      <w:r>
        <w:rPr>
          <w:rStyle w:val="HTMLMarkup"/>
        </w:rPr>
        <w:t>&lt;span style="mso-spacerun: yes"&gt;</w:t>
      </w:r>
      <w:r>
        <w:t xml:space="preserve">    </w:t>
      </w:r>
      <w:r>
        <w:rPr>
          <w:rStyle w:val="HTMLMarkup"/>
        </w:rPr>
        <w:t>&lt;/span&gt;&lt;o:p&gt;&lt;/o:p&gt;&lt;/span&gt;</w:t>
      </w:r>
    </w:p>
    <w:p w:rsidR="00EC45CD" w:rsidRDefault="00EC45CD">
      <w:pPr>
        <w:widowControl/>
        <w:spacing w:before="0" w:after="0"/>
        <w:ind w:firstLine="567"/>
        <w:jc w:val="both"/>
      </w:pPr>
      <w:r>
        <w:rPr>
          <w:rStyle w:val="HTMLMarkup"/>
        </w:rPr>
        <w:t>&lt;span style="font-size:12.0pt; mso-bidi-font-size:10.0pt"&gt;&lt;span style="mso-tab-count:1"&gt;</w:t>
      </w:r>
      <w:r>
        <w:t xml:space="preserve"> </w:t>
      </w:r>
      <w:r>
        <w:rPr>
          <w:rStyle w:val="HTMLMarkup"/>
        </w:rPr>
        <w:t>&lt;/span&gt;</w:t>
      </w:r>
      <w:r>
        <w:t>Интеграция американских филиалов на границе Мексики и США в мексиканскую экономику на льготных условиях.</w:t>
      </w:r>
      <w:r>
        <w:rPr>
          <w:rStyle w:val="HTMLMarkup"/>
        </w:rPr>
        <w:t>&lt;o:p&gt;</w:t>
      </w:r>
      <w:r>
        <w:t xml:space="preserve"> </w:t>
      </w:r>
      <w:r>
        <w:rPr>
          <w:rStyle w:val="HTMLMarkup"/>
        </w:rPr>
        <w:t>&lt;/o:p&gt;&lt;/span&gt;</w:t>
      </w:r>
    </w:p>
    <w:p w:rsidR="00EC45CD" w:rsidRDefault="00EC45CD">
      <w:pPr>
        <w:widowControl/>
        <w:spacing w:before="0" w:after="0"/>
        <w:ind w:firstLine="567"/>
        <w:jc w:val="both"/>
      </w:pPr>
      <w:r>
        <w:rPr>
          <w:rStyle w:val="HTMLMarkup"/>
        </w:rPr>
        <w:t>&lt;span style="mso-tab-count:1"&gt;&lt;/span&gt;</w:t>
      </w:r>
      <w:r>
        <w:t>АЭС – Аргентина, Бразилия. Крупнейшая ГЭС – Итайпу (Бразилия-Парагвай).</w:t>
      </w:r>
    </w:p>
    <w:p w:rsidR="00EC45CD" w:rsidRDefault="00EC45CD">
      <w:pPr>
        <w:widowControl/>
        <w:spacing w:before="0" w:after="0"/>
        <w:ind w:firstLine="567"/>
        <w:jc w:val="both"/>
      </w:pPr>
      <w:r>
        <w:rPr>
          <w:rStyle w:val="HTMLMarkup"/>
        </w:rPr>
        <w:t>&lt;span style="font-size:12.0pt; mso-bidi-font-size:10.0pt"&gt;&lt;span style="mso-tab-count:1"&gt;&lt;/span&gt;</w:t>
      </w:r>
      <w:r>
        <w:rPr>
          <w:i/>
          <w:iCs/>
        </w:rPr>
        <w:t>Судостроение</w:t>
      </w:r>
      <w:r>
        <w:t xml:space="preserve">: Арг, Браз, Мекс; </w:t>
      </w:r>
      <w:r>
        <w:rPr>
          <w:i/>
          <w:iCs/>
        </w:rPr>
        <w:t>Черная металлургия</w:t>
      </w:r>
      <w:r>
        <w:t xml:space="preserve">: Бр; Тяжелое </w:t>
      </w:r>
      <w:r>
        <w:rPr>
          <w:i/>
          <w:iCs/>
        </w:rPr>
        <w:t>машиностроение</w:t>
      </w:r>
      <w:r>
        <w:t xml:space="preserve">: Бр; </w:t>
      </w:r>
      <w:r>
        <w:rPr>
          <w:i/>
          <w:iCs/>
        </w:rPr>
        <w:t>Станкостроение для добывающей пр-ти</w:t>
      </w:r>
      <w:r>
        <w:t xml:space="preserve">; </w:t>
      </w:r>
      <w:r>
        <w:rPr>
          <w:i/>
          <w:iCs/>
        </w:rPr>
        <w:t>Приборостроение</w:t>
      </w:r>
      <w:r>
        <w:t xml:space="preserve">; </w:t>
      </w:r>
      <w:r>
        <w:rPr>
          <w:i/>
          <w:iCs/>
        </w:rPr>
        <w:t>Транспортное машиностроение</w:t>
      </w:r>
      <w:r>
        <w:t xml:space="preserve">: Бр, Арг; </w:t>
      </w:r>
      <w:r>
        <w:rPr>
          <w:i/>
          <w:iCs/>
        </w:rPr>
        <w:t>Легкая пр-ть</w:t>
      </w:r>
      <w:r>
        <w:t xml:space="preserve"> (1/2 – кустарное пр-во). </w:t>
      </w:r>
      <w:r>
        <w:rPr>
          <w:rStyle w:val="HTMLMarkup"/>
        </w:rPr>
        <w:t>&lt;o:p&gt;&lt;/o:p&gt;&lt;/span&gt;</w:t>
      </w:r>
    </w:p>
    <w:p w:rsidR="00EC45CD" w:rsidRDefault="00EC45CD">
      <w:pPr>
        <w:widowControl/>
        <w:spacing w:before="0" w:after="0"/>
        <w:ind w:firstLine="567"/>
        <w:jc w:val="both"/>
      </w:pPr>
      <w:r>
        <w:rPr>
          <w:rStyle w:val="HTMLMarkup"/>
        </w:rPr>
        <w:t>&lt;span style="font-size:12.0pt; mso-bidi-font-size:10.0pt"&gt;</w:t>
      </w:r>
      <w:r>
        <w:t> </w:t>
      </w:r>
      <w:r>
        <w:rPr>
          <w:rStyle w:val="HTMLMarkup"/>
        </w:rPr>
        <w:t>&lt;o:p&gt;</w:t>
      </w:r>
      <w:r>
        <w:t xml:space="preserve"> </w:t>
      </w:r>
      <w:r>
        <w:rPr>
          <w:rStyle w:val="HTMLMarkup"/>
        </w:rPr>
        <w:t>&lt;/o:p&gt;&lt;/span&gt;</w:t>
      </w:r>
    </w:p>
    <w:p w:rsidR="00EC45CD" w:rsidRDefault="00EC45CD">
      <w:pPr>
        <w:widowControl/>
        <w:spacing w:before="0" w:after="0"/>
        <w:ind w:firstLine="567"/>
        <w:jc w:val="center"/>
        <w:rPr>
          <w:sz w:val="28"/>
          <w:szCs w:val="28"/>
        </w:rPr>
      </w:pPr>
      <w:r>
        <w:rPr>
          <w:rStyle w:val="HTMLMarkup"/>
          <w:sz w:val="28"/>
          <w:szCs w:val="28"/>
        </w:rPr>
        <w:t>&lt;span style="font-size:16.0pt; mso-bidi-font-size:10.0pt"&gt;</w:t>
      </w:r>
      <w:r>
        <w:rPr>
          <w:sz w:val="28"/>
          <w:szCs w:val="28"/>
        </w:rPr>
        <w:t>Сельское хозяйство:</w:t>
      </w:r>
      <w:r>
        <w:rPr>
          <w:rStyle w:val="HTMLMarkup"/>
          <w:sz w:val="28"/>
          <w:szCs w:val="28"/>
        </w:rPr>
        <w:t>&lt;/span&gt;&lt;span style="font-size:12.0pt;mso-bidi-font-size:10.0pt"&gt;</w:t>
      </w:r>
      <w:r>
        <w:rPr>
          <w:sz w:val="28"/>
          <w:szCs w:val="28"/>
        </w:rPr>
        <w:t xml:space="preserve"> </w:t>
      </w:r>
      <w:r>
        <w:rPr>
          <w:rStyle w:val="HTMLMarkup"/>
          <w:sz w:val="28"/>
          <w:szCs w:val="28"/>
        </w:rPr>
        <w:t>&lt;o:p&gt;&lt;/o:p&gt;&lt;/span&gt;</w:t>
      </w:r>
    </w:p>
    <w:p w:rsidR="00EC45CD" w:rsidRDefault="00EC45CD">
      <w:pPr>
        <w:widowControl/>
        <w:spacing w:before="0" w:after="0"/>
        <w:ind w:firstLine="567"/>
        <w:jc w:val="both"/>
      </w:pPr>
      <w:r>
        <w:rPr>
          <w:rStyle w:val="HTMLMarkup"/>
        </w:rPr>
        <w:t>&lt;span style="mso-tab-count:1"&gt;</w:t>
      </w:r>
      <w:r>
        <w:t xml:space="preserve"> </w:t>
      </w:r>
      <w:r>
        <w:rPr>
          <w:rStyle w:val="HTMLMarkup"/>
        </w:rPr>
        <w:t>&lt;/span&gt;&lt;span style="font-size:12.0pt;mso-bidi-font-size:10.0pt"&gt;</w:t>
      </w:r>
      <w:r>
        <w:t>Латинской Америке принадлежит видное место в мировом сельскохозяйственном производстве. Это относится к культурам и тропического, и субтропического, и умеренного климатических поясов, к некоторым направлениям животноводства. Сельское хозяйство региона представлено двумя разными секторами:</w:t>
      </w:r>
      <w:r>
        <w:rPr>
          <w:rStyle w:val="HTMLMarkup"/>
        </w:rPr>
        <w:t>&lt;o:p&gt;</w:t>
      </w:r>
      <w:r>
        <w:t xml:space="preserve"> </w:t>
      </w:r>
      <w:r>
        <w:rPr>
          <w:rStyle w:val="HTMLMarkup"/>
        </w:rPr>
        <w:t>&lt;/o:p&gt;&lt;/span&gt;</w:t>
      </w:r>
    </w:p>
    <w:p w:rsidR="00EC45CD" w:rsidRDefault="00EC45CD">
      <w:pPr>
        <w:widowControl/>
        <w:spacing w:before="0" w:after="0"/>
        <w:ind w:firstLine="567"/>
        <w:jc w:val="both"/>
      </w:pPr>
      <w:r>
        <w:rPr>
          <w:rStyle w:val="HTMLMarkup"/>
        </w:rPr>
        <w:t>&lt;span style="font-size:12.0pt; mso-bidi-font-size:10.0pt"&gt;&lt;span style="mso-tab-count:1"&gt;&lt;/span&gt;</w:t>
      </w:r>
      <w:r>
        <w:rPr>
          <w:i/>
          <w:iCs/>
          <w:u w:val="single"/>
        </w:rPr>
        <w:t>Первый сектор</w:t>
      </w:r>
      <w:r>
        <w:t xml:space="preserve"> – это высокотоварное, преимущественно плантационное хозяйство, которое во многих странах и тем более районах приобрело характер монокультуры. Можно назвать пять важнейших плантационных культур Латинской Америки – сахарный тростник [первая плантационная культура (тропические побережья материка с высокими летними осадками и температурами) - Куба (1-ое место в мире по экспорту), с-в Бразилии (пр-во этилового спирта), Мексика (увеличение сборов), Ямайка, Гаити], кофе [Центральная Америка и Колумбия – высокое качество; Коста-Рика, Мексика, Гватемала, Никарагуа], какао, бананы [Коста-Рика, Гондурас, Панама, Эквадор, Колумбия, Добавим] и хлопок, обеспечивающие половину всего сельскохозяйственного экспорта этого региона.</w:t>
      </w:r>
      <w:r>
        <w:rPr>
          <w:rStyle w:val="HTMLMarkup"/>
        </w:rPr>
        <w:t>&lt;/span&gt;&lt;span style="mso-tab-count:1"&gt;</w:t>
      </w:r>
      <w:r>
        <w:t xml:space="preserve">           </w:t>
      </w:r>
      <w:r>
        <w:rPr>
          <w:rStyle w:val="HTMLMarkup"/>
        </w:rPr>
        <w:t>&lt;/span&gt;&lt;span style="mso-spacerun: yes"&gt;</w:t>
      </w:r>
      <w:r>
        <w:t> </w:t>
      </w:r>
      <w:r>
        <w:rPr>
          <w:rStyle w:val="HTMLMarkup"/>
        </w:rPr>
        <w:t>&lt;/span&gt;</w:t>
      </w:r>
    </w:p>
    <w:p w:rsidR="00EC45CD" w:rsidRDefault="00EC45CD">
      <w:pPr>
        <w:widowControl/>
        <w:spacing w:before="0" w:after="0"/>
        <w:ind w:firstLine="567"/>
        <w:jc w:val="both"/>
      </w:pPr>
      <w:r>
        <w:rPr>
          <w:rStyle w:val="HTMLMarkup"/>
        </w:rPr>
        <w:t>&lt;span style="mso-tab-count:1"&gt;</w:t>
      </w:r>
      <w:r>
        <w:t xml:space="preserve"> </w:t>
      </w:r>
      <w:r>
        <w:rPr>
          <w:rStyle w:val="HTMLMarkup"/>
        </w:rPr>
        <w:t>&lt;/span&gt;&lt;span style="font-size:12.0pt;mso-bidi-font-size:10.0pt"&gt;</w:t>
      </w:r>
      <w:r>
        <w:t>Крупнейший во всем развивающемся мире АПЦ – аргентинская Пампа – “фабрика мяса” (равнинный рельеф, плодородные почвы, субтропический климат и относительно стабильное распределение осадков). Мясное скотоводство и овцеводство; зерновое хозяйство (пшеница, кукуруза), масличные культуры, полевое травосеяние и мясомолочное скотоводство.</w:t>
      </w:r>
      <w:r>
        <w:rPr>
          <w:rStyle w:val="HTMLMarkup"/>
        </w:rPr>
        <w:t>&lt;span style="mso-spacerun: yes"&gt;</w:t>
      </w:r>
      <w:r>
        <w:t xml:space="preserve">  </w:t>
      </w:r>
      <w:r>
        <w:rPr>
          <w:rStyle w:val="HTMLMarkup"/>
        </w:rPr>
        <w:t>&lt;/span&gt;</w:t>
      </w:r>
      <w:r>
        <w:t>Буэнос-Айрес – “столица мяса” – забой скота и переработка мяса.</w:t>
      </w:r>
      <w:r>
        <w:rPr>
          <w:rStyle w:val="HTMLMarkup"/>
        </w:rPr>
        <w:t>&lt;o:p&gt;</w:t>
      </w:r>
      <w:r>
        <w:t xml:space="preserve"> </w:t>
      </w:r>
      <w:r>
        <w:rPr>
          <w:rStyle w:val="HTMLMarkup"/>
        </w:rPr>
        <w:t>&lt;/o:p&gt;&lt;/span&gt;</w:t>
      </w:r>
    </w:p>
    <w:p w:rsidR="00EC45CD" w:rsidRDefault="00EC45CD">
      <w:pPr>
        <w:widowControl/>
        <w:spacing w:before="0" w:after="0"/>
        <w:ind w:firstLine="567"/>
        <w:jc w:val="both"/>
      </w:pPr>
      <w:r>
        <w:rPr>
          <w:rStyle w:val="HTMLMarkup"/>
        </w:rPr>
        <w:t>&lt;span style="font-size:12.0pt; mso-bidi-font-size:10.0pt"&gt;&lt;span style="mso-tab-count:1"&gt;</w:t>
      </w:r>
      <w:r>
        <w:t xml:space="preserve"> </w:t>
      </w:r>
      <w:r>
        <w:rPr>
          <w:rStyle w:val="HTMLMarkup"/>
        </w:rPr>
        <w:t>&lt;/span&gt;</w:t>
      </w:r>
      <w:r>
        <w:rPr>
          <w:i/>
          <w:iCs/>
          <w:u w:val="single"/>
        </w:rPr>
        <w:t>Второй сектор</w:t>
      </w:r>
      <w:r>
        <w:t xml:space="preserve"> – потребительское малотоварное сельское хозяйство, совсем не затронутое “зеленой революцией”. Крестьяне, занятые в нем, выращивают кукурузу, маниоку, фасоль, овощи, картофель. </w:t>
      </w:r>
      <w:r>
        <w:rPr>
          <w:rStyle w:val="HTMLMarkup"/>
        </w:rPr>
        <w:t>&lt;o:p&gt;&lt;/o:p&gt;&lt;/span&gt;</w:t>
      </w:r>
      <w:bookmarkStart w:id="0" w:name="_GoBack"/>
      <w:bookmarkEnd w:id="0"/>
    </w:p>
    <w:sectPr w:rsidR="00EC45CD">
      <w:pgSz w:w="12240" w:h="15840"/>
      <w:pgMar w:top="1134" w:right="1134" w:bottom="1134" w:left="1134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num w:numId="1">
    <w:abstractNumId w:val="1"/>
    <w:lvlOverride w:ilvl="0">
      <w:startOverride w:val="1"/>
      <w:lvl w:ilvl="0">
        <w:start w:val="1"/>
        <w:numFmt w:val="decimal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273E"/>
    <w:rsid w:val="004A6371"/>
    <w:rsid w:val="00DD273E"/>
    <w:rsid w:val="00DF2790"/>
    <w:rsid w:val="00EC4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0FC793F-282E-4B4F-B85D-3BB31616D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widowControl w:val="0"/>
      <w:autoSpaceDE w:val="0"/>
      <w:autoSpaceDN w:val="0"/>
      <w:spacing w:before="100" w:after="100"/>
    </w:pPr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</w:rPr>
  </w:style>
  <w:style w:type="character" w:customStyle="1" w:styleId="a3">
    <w:name w:val="Основной шрифт"/>
    <w:uiPriority w:val="99"/>
  </w:style>
  <w:style w:type="paragraph" w:customStyle="1" w:styleId="DefinitionTerm">
    <w:name w:val="Definition Term"/>
    <w:basedOn w:val="a"/>
    <w:next w:val="DefinitionList"/>
    <w:uiPriority w:val="99"/>
    <w:pPr>
      <w:spacing w:before="0" w:after="0"/>
    </w:pPr>
  </w:style>
  <w:style w:type="paragraph" w:customStyle="1" w:styleId="DefinitionList">
    <w:name w:val="Definition List"/>
    <w:basedOn w:val="a"/>
    <w:next w:val="DefinitionTerm"/>
    <w:uiPriority w:val="99"/>
    <w:pPr>
      <w:spacing w:before="0" w:after="0"/>
      <w:ind w:left="360"/>
    </w:pPr>
  </w:style>
  <w:style w:type="character" w:customStyle="1" w:styleId="Definition">
    <w:name w:val="Definition"/>
    <w:uiPriority w:val="99"/>
    <w:rPr>
      <w:i/>
      <w:iCs/>
    </w:rPr>
  </w:style>
  <w:style w:type="paragraph" w:customStyle="1" w:styleId="H1">
    <w:name w:val="H1"/>
    <w:basedOn w:val="a"/>
    <w:next w:val="a"/>
    <w:uiPriority w:val="99"/>
    <w:pPr>
      <w:keepNext/>
      <w:outlineLvl w:val="1"/>
    </w:pPr>
    <w:rPr>
      <w:b/>
      <w:bCs/>
      <w:kern w:val="36"/>
      <w:sz w:val="48"/>
      <w:szCs w:val="48"/>
    </w:rPr>
  </w:style>
  <w:style w:type="paragraph" w:customStyle="1" w:styleId="H2">
    <w:name w:val="H2"/>
    <w:basedOn w:val="a"/>
    <w:next w:val="a"/>
    <w:uiPriority w:val="99"/>
    <w:pPr>
      <w:keepNext/>
      <w:outlineLvl w:val="2"/>
    </w:pPr>
    <w:rPr>
      <w:b/>
      <w:bCs/>
      <w:sz w:val="36"/>
      <w:szCs w:val="36"/>
    </w:rPr>
  </w:style>
  <w:style w:type="paragraph" w:customStyle="1" w:styleId="H3">
    <w:name w:val="H3"/>
    <w:basedOn w:val="a"/>
    <w:next w:val="a"/>
    <w:uiPriority w:val="99"/>
    <w:pPr>
      <w:keepNext/>
      <w:outlineLvl w:val="3"/>
    </w:pPr>
    <w:rPr>
      <w:b/>
      <w:bCs/>
      <w:sz w:val="28"/>
      <w:szCs w:val="28"/>
    </w:rPr>
  </w:style>
  <w:style w:type="paragraph" w:customStyle="1" w:styleId="H4">
    <w:name w:val="H4"/>
    <w:basedOn w:val="a"/>
    <w:next w:val="a"/>
    <w:uiPriority w:val="99"/>
    <w:pPr>
      <w:keepNext/>
      <w:outlineLvl w:val="4"/>
    </w:pPr>
    <w:rPr>
      <w:b/>
      <w:bCs/>
    </w:rPr>
  </w:style>
  <w:style w:type="paragraph" w:customStyle="1" w:styleId="H5">
    <w:name w:val="H5"/>
    <w:basedOn w:val="a"/>
    <w:next w:val="a"/>
    <w:uiPriority w:val="99"/>
    <w:pPr>
      <w:keepNext/>
      <w:outlineLvl w:val="5"/>
    </w:pPr>
    <w:rPr>
      <w:b/>
      <w:bCs/>
      <w:sz w:val="20"/>
      <w:szCs w:val="20"/>
    </w:rPr>
  </w:style>
  <w:style w:type="paragraph" w:customStyle="1" w:styleId="H6">
    <w:name w:val="H6"/>
    <w:basedOn w:val="a"/>
    <w:next w:val="a"/>
    <w:uiPriority w:val="99"/>
    <w:pPr>
      <w:keepNext/>
      <w:outlineLvl w:val="6"/>
    </w:pPr>
    <w:rPr>
      <w:b/>
      <w:bCs/>
      <w:sz w:val="16"/>
      <w:szCs w:val="16"/>
    </w:rPr>
  </w:style>
  <w:style w:type="paragraph" w:customStyle="1" w:styleId="Address">
    <w:name w:val="Address"/>
    <w:basedOn w:val="a"/>
    <w:next w:val="a"/>
    <w:uiPriority w:val="99"/>
    <w:pPr>
      <w:spacing w:before="0" w:after="0"/>
    </w:pPr>
    <w:rPr>
      <w:i/>
      <w:iCs/>
    </w:rPr>
  </w:style>
  <w:style w:type="paragraph" w:customStyle="1" w:styleId="Blockquote">
    <w:name w:val="Blockquote"/>
    <w:basedOn w:val="a"/>
    <w:uiPriority w:val="99"/>
    <w:pPr>
      <w:ind w:left="360" w:right="360"/>
    </w:pPr>
  </w:style>
  <w:style w:type="character" w:customStyle="1" w:styleId="CITE">
    <w:name w:val="CITE"/>
    <w:uiPriority w:val="99"/>
    <w:rPr>
      <w:i/>
      <w:iCs/>
    </w:rPr>
  </w:style>
  <w:style w:type="character" w:customStyle="1" w:styleId="CODE">
    <w:name w:val="CODE"/>
    <w:uiPriority w:val="99"/>
    <w:rPr>
      <w:rFonts w:ascii="Courier New" w:hAnsi="Courier New" w:cs="Courier New"/>
      <w:sz w:val="20"/>
      <w:szCs w:val="20"/>
    </w:rPr>
  </w:style>
  <w:style w:type="character" w:styleId="a4">
    <w:name w:val="Emphasis"/>
    <w:uiPriority w:val="99"/>
    <w:qFormat/>
    <w:rPr>
      <w:i/>
      <w:iCs/>
    </w:rPr>
  </w:style>
  <w:style w:type="character" w:styleId="a5">
    <w:name w:val="Hyperlink"/>
    <w:uiPriority w:val="99"/>
    <w:rPr>
      <w:color w:val="0000FF"/>
      <w:u w:val="single"/>
    </w:rPr>
  </w:style>
  <w:style w:type="character" w:styleId="a6">
    <w:name w:val="FollowedHyperlink"/>
    <w:uiPriority w:val="99"/>
    <w:rPr>
      <w:color w:val="800080"/>
      <w:u w:val="single"/>
    </w:rPr>
  </w:style>
  <w:style w:type="character" w:customStyle="1" w:styleId="Keyboard">
    <w:name w:val="Keyboard"/>
    <w:uiPriority w:val="99"/>
    <w:rPr>
      <w:rFonts w:ascii="Courier New" w:hAnsi="Courier New" w:cs="Courier New"/>
      <w:b/>
      <w:bCs/>
      <w:sz w:val="20"/>
      <w:szCs w:val="20"/>
    </w:rPr>
  </w:style>
  <w:style w:type="paragraph" w:customStyle="1" w:styleId="Preformatted">
    <w:name w:val="Preformatted"/>
    <w:basedOn w:val="a"/>
    <w:uiPriority w:val="99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 w:cs="Courier New"/>
      <w:sz w:val="20"/>
      <w:szCs w:val="20"/>
    </w:rPr>
  </w:style>
  <w:style w:type="paragraph" w:customStyle="1" w:styleId="z-BottomofForm">
    <w:name w:val="z-Bottom of Form"/>
    <w:next w:val="a"/>
    <w:hidden/>
    <w:uiPriority w:val="99"/>
    <w:pPr>
      <w:widowControl w:val="0"/>
      <w:pBdr>
        <w:top w:val="double" w:sz="2" w:space="0" w:color="000000"/>
      </w:pBdr>
      <w:autoSpaceDE w:val="0"/>
      <w:autoSpaceDN w:val="0"/>
      <w:jc w:val="center"/>
    </w:pPr>
    <w:rPr>
      <w:rFonts w:ascii="Arial" w:hAnsi="Arial" w:cs="Arial"/>
      <w:vanish/>
      <w:sz w:val="16"/>
      <w:szCs w:val="16"/>
      <w:lang w:val="ru-RU" w:eastAsia="ru-RU"/>
    </w:rPr>
  </w:style>
  <w:style w:type="paragraph" w:customStyle="1" w:styleId="z-TopofForm">
    <w:name w:val="z-Top of Form"/>
    <w:next w:val="a"/>
    <w:hidden/>
    <w:uiPriority w:val="99"/>
    <w:pPr>
      <w:widowControl w:val="0"/>
      <w:pBdr>
        <w:bottom w:val="double" w:sz="2" w:space="0" w:color="000000"/>
      </w:pBdr>
      <w:autoSpaceDE w:val="0"/>
      <w:autoSpaceDN w:val="0"/>
      <w:jc w:val="center"/>
    </w:pPr>
    <w:rPr>
      <w:rFonts w:ascii="Arial" w:hAnsi="Arial" w:cs="Arial"/>
      <w:vanish/>
      <w:sz w:val="16"/>
      <w:szCs w:val="16"/>
      <w:lang w:val="ru-RU" w:eastAsia="ru-RU"/>
    </w:rPr>
  </w:style>
  <w:style w:type="character" w:customStyle="1" w:styleId="Sample">
    <w:name w:val="Sample"/>
    <w:uiPriority w:val="99"/>
    <w:rPr>
      <w:rFonts w:ascii="Courier New" w:hAnsi="Courier New" w:cs="Courier New"/>
    </w:rPr>
  </w:style>
  <w:style w:type="character" w:styleId="a7">
    <w:name w:val="Strong"/>
    <w:uiPriority w:val="99"/>
    <w:qFormat/>
    <w:rPr>
      <w:b/>
      <w:bCs/>
    </w:rPr>
  </w:style>
  <w:style w:type="character" w:customStyle="1" w:styleId="Typewriter">
    <w:name w:val="Typewriter"/>
    <w:uiPriority w:val="99"/>
    <w:rPr>
      <w:rFonts w:ascii="Courier New" w:hAnsi="Courier New" w:cs="Courier New"/>
      <w:sz w:val="20"/>
      <w:szCs w:val="20"/>
    </w:rPr>
  </w:style>
  <w:style w:type="character" w:customStyle="1" w:styleId="Variable">
    <w:name w:val="Variable"/>
    <w:uiPriority w:val="99"/>
    <w:rPr>
      <w:i/>
      <w:iCs/>
    </w:rPr>
  </w:style>
  <w:style w:type="character" w:customStyle="1" w:styleId="HTMLMarkup">
    <w:name w:val="HTML Markup"/>
    <w:uiPriority w:val="99"/>
    <w:rPr>
      <w:vanish/>
      <w:color w:val="FF0000"/>
    </w:rPr>
  </w:style>
  <w:style w:type="character" w:customStyle="1" w:styleId="Comment">
    <w:name w:val="Comment"/>
    <w:uiPriority w:val="99"/>
    <w:rPr>
      <w: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8365</Words>
  <Characters>4769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Латинская Америка</vt:lpstr>
    </vt:vector>
  </TitlesOfParts>
  <Company>HOME</Company>
  <LinksUpToDate>false</LinksUpToDate>
  <CharactersWithSpaces>13108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Латинская Америка</dc:title>
  <dc:subject/>
  <dc:creator>Irina</dc:creator>
  <cp:keywords/>
  <dc:description/>
  <cp:lastModifiedBy>admin</cp:lastModifiedBy>
  <cp:revision>2</cp:revision>
  <dcterms:created xsi:type="dcterms:W3CDTF">2014-01-27T19:34:00Z</dcterms:created>
  <dcterms:modified xsi:type="dcterms:W3CDTF">2014-01-27T19:34:00Z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4.0</vt:lpwstr>
  </property>
  <property fmtid="{D5CDD505-2E9C-101B-9397-08002B2CF9AE}" pid="3" name="ProgId">
    <vt:lpwstr>FrontPage.Editor.Document</vt:lpwstr>
  </property>
  <property fmtid="{D5CDD505-2E9C-101B-9397-08002B2CF9AE}" pid="4" name="UnknownHead_0_1_0">
    <vt:lpwstr>&lt;!-- mstheme--&gt;</vt:lpwstr>
  </property>
  <property fmtid="{D5CDD505-2E9C-101B-9397-08002B2CF9AE}" pid="5" name="UnknownHead_1_1_0">
    <vt:lpwstr>&lt;LINK rel="stylesheet" type="text/css" href="_themes/clearday/clea1111-1251.css"&gt;_x000d__x000d_</vt:lpwstr>
  </property>
  <property fmtid="{D5CDD505-2E9C-101B-9397-08002B2CF9AE}" pid="6" name="Microsoft Theme">
    <vt:lpwstr>clearday 1111, default</vt:lpwstr>
  </property>
</Properties>
</file>