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1F7" w:rsidRDefault="008F31F7">
      <w:pPr>
        <w:pStyle w:val="2"/>
        <w:jc w:val="center"/>
        <w:rPr>
          <w:sz w:val="28"/>
          <w:szCs w:val="28"/>
          <w:lang w:val="ru-RU"/>
        </w:rPr>
      </w:pPr>
      <w:r>
        <w:rPr>
          <w:sz w:val="28"/>
          <w:szCs w:val="28"/>
          <w:lang w:val="ru-RU"/>
        </w:rPr>
        <w:t>Рубки и экспорт древесины в Китай - региональный фокус</w:t>
      </w:r>
    </w:p>
    <w:p w:rsidR="008F31F7" w:rsidRDefault="008F31F7">
      <w:pPr>
        <w:pStyle w:val="a3"/>
        <w:jc w:val="center"/>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АМУРСКАЯ ОБЛАСТЬ</w:t>
      </w:r>
    </w:p>
    <w:p w:rsidR="008F31F7" w:rsidRDefault="008F31F7">
      <w:pPr>
        <w:pStyle w:val="a3"/>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Использование расчетной лесосеки в Амурской области (официальные данные Лесной Службы)</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42"/>
        <w:gridCol w:w="1514"/>
        <w:gridCol w:w="1043"/>
        <w:gridCol w:w="914"/>
        <w:gridCol w:w="914"/>
        <w:gridCol w:w="914"/>
        <w:gridCol w:w="914"/>
        <w:gridCol w:w="1452"/>
      </w:tblGrid>
      <w:tr w:rsidR="008F31F7" w:rsidRPr="008F31F7">
        <w:trPr>
          <w:tblCellSpacing w:w="7" w:type="dxa"/>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Данные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Мера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1995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1996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1997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1998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1999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Первая половина 2000 </w:t>
            </w:r>
          </w:p>
        </w:tc>
      </w:tr>
      <w:tr w:rsidR="008F31F7" w:rsidRPr="008F31F7">
        <w:trPr>
          <w:tblCellSpacing w:w="7" w:type="dxa"/>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Расчетная лесосека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1000 кубометров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15838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15838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16039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16039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16039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16039 </w:t>
            </w:r>
          </w:p>
        </w:tc>
      </w:tr>
      <w:tr w:rsidR="008F31F7" w:rsidRPr="008F31F7">
        <w:trPr>
          <w:tblCellSpacing w:w="7" w:type="dxa"/>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Включая доступные для рубки участки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1000 кубо метров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9971,7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9971,7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9971,7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9971,7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9971,7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9971,7 </w:t>
            </w:r>
          </w:p>
        </w:tc>
      </w:tr>
      <w:tr w:rsidR="008F31F7" w:rsidRPr="008F31F7">
        <w:trPr>
          <w:tblCellSpacing w:w="7" w:type="dxa"/>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Использование расчетной лесосеки (объем заготовок)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1000 кубометров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1715 (1990 - 5118)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1542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1531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848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1306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591 </w:t>
            </w:r>
          </w:p>
        </w:tc>
      </w:tr>
      <w:tr w:rsidR="008F31F7" w:rsidRPr="008F31F7">
        <w:trPr>
          <w:tblCellSpacing w:w="7" w:type="dxa"/>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Использование расчетной лесосеки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10,8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10,0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9,5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5,3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8,1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3,7 </w:t>
            </w:r>
          </w:p>
        </w:tc>
      </w:tr>
    </w:tbl>
    <w:p w:rsidR="008F31F7" w:rsidRDefault="008F31F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Древесина может экспортироваться из Амурской области, в том числе в Китай, по временным разрешениям, выдающимся специальной рабочей группой, созданной губернатором. Основной целью этого разрешения является ограничение существующей демпинговой тенденции и гарантия российским банкам в получении соответствующих доходов по экспортному контракту. Ее работа также нацелена на выполнение условий бартерного обмена, чтобы выполнялись оговоренные по контракту поставки. Эта группа собирает апелляции экспортеров, которые должны включать документы, подтверждающие, что древесина получена легальным путем. Также она проверяет соответствие контрактных цен существующему уровню цен на международном рынке, в особенности, ценам на японском рынке. </w:t>
      </w:r>
    </w:p>
    <w:p w:rsidR="008F31F7" w:rsidRDefault="008F31F7">
      <w:pPr>
        <w:pStyle w:val="a3"/>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В апелляцию входит (по указу губернатора </w:t>
      </w:r>
      <w:r>
        <w:rPr>
          <w:rFonts w:ascii="Times New Roman" w:hAnsi="Times New Roman" w:cs="Times New Roman"/>
          <w:b/>
          <w:bCs/>
          <w:color w:val="000000"/>
          <w:sz w:val="24"/>
          <w:szCs w:val="24"/>
        </w:rPr>
        <w:t>N</w:t>
      </w:r>
      <w:r>
        <w:rPr>
          <w:rFonts w:ascii="Times New Roman" w:hAnsi="Times New Roman" w:cs="Times New Roman"/>
          <w:b/>
          <w:bCs/>
          <w:color w:val="000000"/>
          <w:sz w:val="24"/>
          <w:szCs w:val="24"/>
          <w:lang w:val="ru-RU"/>
        </w:rPr>
        <w:t xml:space="preserve"> 25 от 18.01.99) </w:t>
      </w:r>
    </w:p>
    <w:p w:rsidR="008F31F7" w:rsidRDefault="008F31F7">
      <w:pPr>
        <w:pStyle w:val="a3"/>
        <w:numPr>
          <w:ilvl w:val="0"/>
          <w:numId w:val="1"/>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Официальная заявка на экспорт древесины от экспортера, включая сорта, породы, размер партии, источник древесины и контрактную стоимость; </w:t>
      </w:r>
    </w:p>
    <w:p w:rsidR="008F31F7" w:rsidRDefault="008F31F7">
      <w:pPr>
        <w:pStyle w:val="a3"/>
        <w:numPr>
          <w:ilvl w:val="0"/>
          <w:numId w:val="1"/>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Копия контрактов; </w:t>
      </w:r>
    </w:p>
    <w:p w:rsidR="008F31F7" w:rsidRDefault="008F31F7">
      <w:pPr>
        <w:pStyle w:val="a3"/>
        <w:numPr>
          <w:ilvl w:val="0"/>
          <w:numId w:val="1"/>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Документы, подтверждающие первоначальный источник древесины (контракт с заготовительной фирмой, счет-фактура, лесорубочный билет); </w:t>
      </w:r>
    </w:p>
    <w:p w:rsidR="008F31F7" w:rsidRDefault="008F31F7">
      <w:pPr>
        <w:pStyle w:val="a3"/>
        <w:numPr>
          <w:ilvl w:val="0"/>
          <w:numId w:val="1"/>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Подтверждение банка о получении авансовой платы; </w:t>
      </w:r>
    </w:p>
    <w:p w:rsidR="008F31F7" w:rsidRDefault="008F31F7">
      <w:pPr>
        <w:pStyle w:val="a3"/>
        <w:numPr>
          <w:ilvl w:val="0"/>
          <w:numId w:val="1"/>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Подтверждение об уплате обязательных налогов.</w:t>
      </w:r>
    </w:p>
    <w:p w:rsidR="008F31F7" w:rsidRDefault="008F31F7">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Этот пакет документов должен быть проверен и подписан: </w:t>
      </w:r>
    </w:p>
    <w:p w:rsidR="008F31F7" w:rsidRDefault="008F31F7">
      <w:pPr>
        <w:pStyle w:val="a3"/>
        <w:numPr>
          <w:ilvl w:val="0"/>
          <w:numId w:val="2"/>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Лесной службой; </w:t>
      </w:r>
    </w:p>
    <w:p w:rsidR="008F31F7" w:rsidRDefault="008F31F7">
      <w:pPr>
        <w:pStyle w:val="a3"/>
        <w:numPr>
          <w:ilvl w:val="0"/>
          <w:numId w:val="2"/>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Налоговой полицией; </w:t>
      </w:r>
    </w:p>
    <w:p w:rsidR="008F31F7" w:rsidRDefault="008F31F7">
      <w:pPr>
        <w:pStyle w:val="a3"/>
        <w:numPr>
          <w:ilvl w:val="0"/>
          <w:numId w:val="2"/>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Валютным контролем; </w:t>
      </w:r>
    </w:p>
    <w:p w:rsidR="008F31F7" w:rsidRDefault="008F31F7">
      <w:pPr>
        <w:pStyle w:val="a3"/>
        <w:numPr>
          <w:ilvl w:val="0"/>
          <w:numId w:val="2"/>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Налоговой службой; </w:t>
      </w:r>
    </w:p>
    <w:p w:rsidR="008F31F7" w:rsidRDefault="008F31F7">
      <w:pPr>
        <w:pStyle w:val="a3"/>
        <w:numPr>
          <w:ilvl w:val="0"/>
          <w:numId w:val="2"/>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Милицией; </w:t>
      </w:r>
    </w:p>
    <w:p w:rsidR="008F31F7" w:rsidRDefault="008F31F7">
      <w:pPr>
        <w:pStyle w:val="a3"/>
        <w:numPr>
          <w:ilvl w:val="0"/>
          <w:numId w:val="2"/>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Территориальным отделом Министерства торговли; </w:t>
      </w:r>
    </w:p>
    <w:p w:rsidR="008F31F7" w:rsidRDefault="008F31F7">
      <w:pPr>
        <w:pStyle w:val="a3"/>
        <w:numPr>
          <w:ilvl w:val="0"/>
          <w:numId w:val="2"/>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Департаментом юстиции; </w:t>
      </w:r>
    </w:p>
    <w:p w:rsidR="008F31F7" w:rsidRDefault="008F31F7">
      <w:pPr>
        <w:pStyle w:val="a3"/>
        <w:numPr>
          <w:ilvl w:val="0"/>
          <w:numId w:val="2"/>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Таможней.</w:t>
      </w:r>
    </w:p>
    <w:p w:rsidR="008F31F7" w:rsidRDefault="008F31F7">
      <w:pPr>
        <w:pStyle w:val="a3"/>
        <w:ind w:firstLine="36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 Амурская область официально экспортировала в Китай около 1</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 кубометров древесины, главным образом, в Хейхе. Более 50% всех экспортеров поставляли небольшие партии древесины, не более 1</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м</w:t>
      </w:r>
      <w:r>
        <w:rPr>
          <w:rFonts w:ascii="Times New Roman" w:hAnsi="Times New Roman" w:cs="Times New Roman"/>
          <w:color w:val="000000"/>
          <w:sz w:val="24"/>
          <w:szCs w:val="24"/>
          <w:vertAlign w:val="superscript"/>
          <w:lang w:val="ru-RU"/>
        </w:rPr>
        <w:t>3</w:t>
      </w:r>
      <w:r>
        <w:rPr>
          <w:rFonts w:ascii="Times New Roman" w:hAnsi="Times New Roman" w:cs="Times New Roman"/>
          <w:color w:val="000000"/>
          <w:sz w:val="24"/>
          <w:szCs w:val="24"/>
          <w:lang w:val="ru-RU"/>
        </w:rPr>
        <w:t xml:space="preserve">. Только около 4% всего потока экспортируемой древесины - это лиственные виды, в основном береза. Дуб в этом регионе не имеет какой-либо коммерческой ценности. Ключевые заготовительные участки расположены в Зейском, Шимановском, Селемджинстком и Мазановском районах (66%). </w:t>
      </w:r>
    </w:p>
    <w:p w:rsidR="008F31F7" w:rsidRDefault="008F31F7">
      <w:pPr>
        <w:pStyle w:val="a3"/>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Распределение заготовки древесины для экспорта в Китай по административным районам</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8308"/>
        <w:gridCol w:w="1599"/>
      </w:tblGrid>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Административный район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Зейский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21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Шимановский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20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Селемджинский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15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Мазановский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10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Бурейский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9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Белогорский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8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Магдадачинский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6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Тындинский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5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Архаринский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Сковородинский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Завитинский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Итог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100 </w:t>
            </w:r>
          </w:p>
        </w:tc>
      </w:tr>
    </w:tbl>
    <w:p w:rsidR="008F31F7" w:rsidRDefault="008F31F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Леса смолистой сосны, которых в области осталось не более 3%, находятся в наибольшей опасности. В большинстве богатых лесом районов заготовка спелой сосны этого вида была запрещена в октябре 1999</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г. по губернаторскому указу </w:t>
      </w:r>
      <w:r>
        <w:rPr>
          <w:rFonts w:ascii="Times New Roman" w:hAnsi="Times New Roman" w:cs="Times New Roman"/>
          <w:color w:val="000000"/>
          <w:sz w:val="24"/>
          <w:szCs w:val="24"/>
        </w:rPr>
        <w:t>N</w:t>
      </w:r>
      <w:r>
        <w:rPr>
          <w:rFonts w:ascii="Times New Roman" w:hAnsi="Times New Roman" w:cs="Times New Roman"/>
          <w:color w:val="000000"/>
          <w:sz w:val="24"/>
          <w:szCs w:val="24"/>
          <w:lang w:val="ru-RU"/>
        </w:rPr>
        <w:t xml:space="preserve"> 621. Однако все еще возможны некоммерческие рубки, типа рубок ухода, прореживания и выборочно-санитарных, а также рубка сосны на лесных участках, сданных в аренду до подписания этого запрета. Высококачественная сосновая древесина высоко ценится на китайском рынке. Вот почему имеется достаточно причин, чтобы говорить, что разрушительные пожары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г. на всей территории были вызваны не только сухой погодой, но также незаконно действующими заготовителями, которые выдавали свои рубки за санитарные рубки после прохождения слабых низовых пожаров. Такие пройденные незначительным пожаром леса, по российским правилам лесозаготовок, должны сдаваться в аренду для ограничения распространения насекомых-вредителей и болезней леса. В результате администрации не может сократить объем экспорта кедровой сосны. </w:t>
      </w:r>
    </w:p>
    <w:p w:rsidR="008F31F7" w:rsidRDefault="008F31F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Начиная с июня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г., законодательные органы области повысили попенную плату в 8.4 раза, что увеличило конечную стоимость сосны до уровня 200-250 рублей (эквивалентно 8 долларам США). Но местным заготовителям сложно заплатить даже такую малую сумму, так как они планируют продавать сосну местным потребителям, а не экспортировать ее. Такую попенную плату можно компенсировать только на внешнем китайском рынке. В связи с такими рыночными условиями практически невозможно остановить или даже ограничить заготовку сосны кедровой в лесах Амурской области. Если у какого-либо заготовителя остались сосновые бревна после экспорта официальной партии, он легко может продать их другому экспортеру, у которого есть на них другой ранее не использовавшийся для экспорта или даже не использовавшийся на участке лесорубочный билет. Поэтому все административные меры могут лишь частично усложнить экспорт незаконно заготовленной древесины, но никогда не смогут его полностью перекрыть. Окончательный результат в этой безнадежной битве можно достичь только с помощью местных противозаконных нормативов, противоречащих порочному федеральному законодательству. </w:t>
      </w:r>
    </w:p>
    <w:p w:rsidR="008F31F7" w:rsidRDefault="008F31F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Пока что перспективным для развития Амурской области является дальнейшее увеличение российско-китайского экономического сотрудничества в лесозаготовительной и перерабатывающей промышленности. Ключевым проектом здесь будет строительство транс-Амурского моста Благовещенск - Хейхе и создание зоны свободной торговли. Очевидно, что процент незаконных заготовок сократится, только если налоговые привилегии для этой зоны будут содействовать созданию рабочих мест в российской деревоперерабатывающей отрасли, а не в китайской, что, к сожалению, и происходит сейчас. Однако возросший спрос с китайской стороны на древесину из Сибирских лесов может свести к нулю результаты этого положительного процесса. Так что заготовка леса разрастется до масштабов незаконных операций. </w:t>
      </w:r>
    </w:p>
    <w:p w:rsidR="008F31F7" w:rsidRDefault="008F31F7">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Цена на пиловочник сосны кедровой на китайском рынке варьировала в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г. от 45 долларов до 73, на лиственницу - от 34 долларов до 62, на ель - 34-70, а на березу составляла 40 долларов. </w:t>
      </w:r>
    </w:p>
    <w:p w:rsidR="008F31F7" w:rsidRDefault="008F31F7">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Средняя цена одного кубометра экспортного круглого леса в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333"/>
        <w:gridCol w:w="1996"/>
        <w:gridCol w:w="5578"/>
      </w:tblGrid>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Порода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Диаметр, см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Средняя цена, американские доллары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Сосна кедровая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22 и &gt;</w:t>
            </w:r>
            <w:r w:rsidRPr="008F31F7">
              <w:rPr>
                <w:rFonts w:ascii="Times New Roman" w:hAnsi="Times New Roman" w:cs="Times New Roman"/>
                <w:color w:val="000000"/>
                <w:sz w:val="24"/>
                <w:szCs w:val="24"/>
                <w:lang w:val="ru-RU"/>
              </w:rPr>
              <w:br/>
              <w:t xml:space="preserve">32 и &gt;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55</w:t>
            </w:r>
            <w:r w:rsidRPr="008F31F7">
              <w:rPr>
                <w:rFonts w:ascii="Times New Roman" w:hAnsi="Times New Roman" w:cs="Times New Roman"/>
                <w:color w:val="000000"/>
                <w:sz w:val="24"/>
                <w:szCs w:val="24"/>
                <w:lang w:val="ru-RU"/>
              </w:rPr>
              <w:br/>
              <w:t xml:space="preserve">73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Лиственница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16 и &gt;</w:t>
            </w:r>
            <w:r w:rsidRPr="008F31F7">
              <w:rPr>
                <w:rFonts w:ascii="Times New Roman" w:hAnsi="Times New Roman" w:cs="Times New Roman"/>
                <w:color w:val="000000"/>
                <w:sz w:val="24"/>
                <w:szCs w:val="24"/>
                <w:lang w:val="ru-RU"/>
              </w:rPr>
              <w:br/>
              <w:t>22 и &gt;</w:t>
            </w:r>
            <w:r w:rsidRPr="008F31F7">
              <w:rPr>
                <w:rFonts w:ascii="Times New Roman" w:hAnsi="Times New Roman" w:cs="Times New Roman"/>
                <w:color w:val="000000"/>
                <w:sz w:val="24"/>
                <w:szCs w:val="24"/>
                <w:lang w:val="ru-RU"/>
              </w:rPr>
              <w:br/>
              <w:t xml:space="preserve">32 и &gt;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35</w:t>
            </w:r>
            <w:r w:rsidRPr="008F31F7">
              <w:rPr>
                <w:rFonts w:ascii="Times New Roman" w:hAnsi="Times New Roman" w:cs="Times New Roman"/>
                <w:color w:val="000000"/>
                <w:sz w:val="24"/>
                <w:szCs w:val="24"/>
                <w:lang w:val="ru-RU"/>
              </w:rPr>
              <w:br/>
              <w:t>45</w:t>
            </w:r>
            <w:r w:rsidRPr="008F31F7">
              <w:rPr>
                <w:rFonts w:ascii="Times New Roman" w:hAnsi="Times New Roman" w:cs="Times New Roman"/>
                <w:color w:val="000000"/>
                <w:sz w:val="24"/>
                <w:szCs w:val="24"/>
                <w:lang w:val="ru-RU"/>
              </w:rPr>
              <w:br/>
              <w:t xml:space="preserve">62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Ель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22 и &gt;</w:t>
            </w:r>
            <w:r w:rsidRPr="008F31F7">
              <w:rPr>
                <w:rFonts w:ascii="Times New Roman" w:hAnsi="Times New Roman" w:cs="Times New Roman"/>
                <w:color w:val="000000"/>
                <w:sz w:val="24"/>
                <w:szCs w:val="24"/>
                <w:lang w:val="ru-RU"/>
              </w:rPr>
              <w:br/>
              <w:t xml:space="preserve">32 и &gt;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47</w:t>
            </w:r>
            <w:r w:rsidRPr="008F31F7">
              <w:rPr>
                <w:rFonts w:ascii="Times New Roman" w:hAnsi="Times New Roman" w:cs="Times New Roman"/>
                <w:color w:val="000000"/>
                <w:sz w:val="24"/>
                <w:szCs w:val="24"/>
                <w:lang w:val="ru-RU"/>
              </w:rPr>
              <w:br/>
              <w:t xml:space="preserve">70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Береза </w:t>
            </w:r>
          </w:p>
        </w:tc>
        <w:tc>
          <w:tcPr>
            <w:tcW w:w="0" w:type="auto"/>
            <w:tcBorders>
              <w:top w:val="outset" w:sz="6" w:space="0" w:color="auto"/>
              <w:left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18 и &gt;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40 </w:t>
            </w:r>
          </w:p>
        </w:tc>
      </w:tr>
    </w:tbl>
    <w:p w:rsidR="008F31F7" w:rsidRDefault="008F31F7">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Китайские импортеры древесины из Амурской области в 2000</w:t>
      </w:r>
      <w:r>
        <w:rPr>
          <w:rFonts w:ascii="Times New Roman" w:hAnsi="Times New Roman" w:cs="Times New Roman"/>
          <w:color w:val="000000"/>
          <w:sz w:val="24"/>
          <w:szCs w:val="24"/>
        </w:rPr>
        <w:t> </w:t>
      </w:r>
      <w:r>
        <w:rPr>
          <w:rFonts w:ascii="Times New Roman" w:hAnsi="Times New Roman" w:cs="Times New Roman"/>
          <w:color w:val="000000"/>
          <w:sz w:val="24"/>
          <w:szCs w:val="24"/>
          <w:lang w:val="ru-RU"/>
        </w:rPr>
        <w:t>г.:</w:t>
      </w:r>
    </w:p>
    <w:p w:rsidR="008F31F7" w:rsidRDefault="008F31F7">
      <w:pPr>
        <w:rPr>
          <w:color w:val="000000"/>
        </w:rPr>
      </w:pPr>
      <w:r>
        <w:rPr>
          <w:color w:val="000000"/>
        </w:rPr>
        <w:t>Тзин Йан (Хейхе) - 20 000 м</w:t>
      </w:r>
      <w:r>
        <w:rPr>
          <w:color w:val="000000"/>
          <w:vertAlign w:val="superscript"/>
        </w:rPr>
        <w:t>3</w:t>
      </w:r>
      <w:r>
        <w:rPr>
          <w:color w:val="000000"/>
        </w:rPr>
        <w:br/>
        <w:t xml:space="preserve">Да Хей (Хейхе) - </w:t>
      </w:r>
      <w:r>
        <w:rPr>
          <w:color w:val="000000"/>
        </w:rPr>
        <w:br/>
        <w:t>Юкон (Хейхе) - 4 500</w:t>
      </w:r>
      <w:r>
        <w:rPr>
          <w:color w:val="000000"/>
        </w:rPr>
        <w:br/>
        <w:t>Торгово-коммерческая корпорация (Хейхе) - 2 800</w:t>
      </w:r>
      <w:r>
        <w:rPr>
          <w:color w:val="000000"/>
        </w:rPr>
        <w:br/>
        <w:t>Хайлан (Хейхе) - 900</w:t>
      </w:r>
      <w:r>
        <w:rPr>
          <w:color w:val="000000"/>
        </w:rPr>
        <w:br/>
        <w:t>Хуан Зиу (Дальян)</w:t>
      </w:r>
      <w:r>
        <w:rPr>
          <w:color w:val="000000"/>
        </w:rPr>
        <w:br/>
        <w:t xml:space="preserve">Экспорт-импорт Корпоарция. (Хейхе) - 34 000 </w:t>
      </w:r>
      <w:r>
        <w:rPr>
          <w:color w:val="000000"/>
        </w:rPr>
        <w:br/>
        <w:t>Аэропорт Хейхе - 4 600</w:t>
      </w:r>
      <w:r>
        <w:rPr>
          <w:color w:val="000000"/>
        </w:rPr>
        <w:br/>
        <w:t xml:space="preserve">Транспортная корпорация. (Хейхе) - 3 600 </w:t>
      </w:r>
      <w:r>
        <w:rPr>
          <w:color w:val="000000"/>
        </w:rPr>
        <w:br/>
        <w:t>Лун Туан (Хейхе) -</w:t>
      </w:r>
      <w:r>
        <w:rPr>
          <w:color w:val="000000"/>
        </w:rPr>
        <w:br/>
        <w:t>Интер-трейд корпорация, Хейхе - 2 800</w:t>
      </w:r>
      <w:r>
        <w:rPr>
          <w:color w:val="000000"/>
        </w:rPr>
        <w:br/>
        <w:t>Шие (Хейхе) - 2 000</w:t>
      </w:r>
      <w:r>
        <w:rPr>
          <w:color w:val="000000"/>
        </w:rPr>
        <w:br/>
        <w:t>Шин-Хуа (Суйфенхе) -</w:t>
      </w:r>
      <w:r>
        <w:rPr>
          <w:color w:val="000000"/>
        </w:rPr>
        <w:br/>
        <w:t>Сун-Хе торговая корпорация. - 5 000</w:t>
      </w:r>
      <w:r>
        <w:rPr>
          <w:color w:val="000000"/>
        </w:rPr>
        <w:br/>
        <w:t>Хейлоунзян фанера "Тунван" - 1 500</w:t>
      </w:r>
      <w:r>
        <w:rPr>
          <w:color w:val="000000"/>
        </w:rPr>
        <w:br/>
        <w:t>Бейян интер трейд корпорация - 3 700</w:t>
      </w:r>
      <w:r>
        <w:rPr>
          <w:color w:val="000000"/>
        </w:rPr>
        <w:br/>
        <w:t xml:space="preserve">Хейхе интер-трейд - 1 500 </w:t>
      </w:r>
      <w:r>
        <w:rPr>
          <w:color w:val="000000"/>
        </w:rPr>
        <w:br/>
        <w:t xml:space="preserve">Я Сиун (Хейхе) </w:t>
      </w:r>
    </w:p>
    <w:p w:rsidR="008F31F7" w:rsidRDefault="008F31F7">
      <w:pPr>
        <w:pStyle w:val="a3"/>
        <w:jc w:val="both"/>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t xml:space="preserve">Экспортеры древесины из </w:t>
      </w:r>
      <w:r>
        <w:rPr>
          <w:rFonts w:ascii="Times New Roman" w:hAnsi="Times New Roman" w:cs="Times New Roman"/>
          <w:b/>
          <w:bCs/>
          <w:color w:val="000000"/>
          <w:sz w:val="24"/>
          <w:szCs w:val="24"/>
        </w:rPr>
        <w:t>A</w:t>
      </w:r>
      <w:r>
        <w:rPr>
          <w:rFonts w:ascii="Times New Roman" w:hAnsi="Times New Roman" w:cs="Times New Roman"/>
          <w:b/>
          <w:bCs/>
          <w:color w:val="000000"/>
          <w:sz w:val="24"/>
          <w:szCs w:val="24"/>
          <w:lang w:val="ru-RU"/>
        </w:rPr>
        <w:t>мурской области в Китай в 2000</w:t>
      </w:r>
      <w:r>
        <w:rPr>
          <w:rFonts w:ascii="Times New Roman" w:hAnsi="Times New Roman" w:cs="Times New Roman"/>
          <w:b/>
          <w:bCs/>
          <w:color w:val="000000"/>
          <w:sz w:val="24"/>
          <w:szCs w:val="24"/>
        </w:rPr>
        <w:t> </w:t>
      </w:r>
      <w:r>
        <w:rPr>
          <w:rFonts w:ascii="Times New Roman" w:hAnsi="Times New Roman" w:cs="Times New Roman"/>
          <w:b/>
          <w:bCs/>
          <w:color w:val="000000"/>
          <w:sz w:val="24"/>
          <w:szCs w:val="24"/>
          <w:lang w:val="ru-RU"/>
        </w:rPr>
        <w:t xml:space="preserve">г. </w:t>
      </w:r>
    </w:p>
    <w:tbl>
      <w:tblPr>
        <w:tblW w:w="552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205"/>
        <w:gridCol w:w="4315"/>
      </w:tblGrid>
      <w:tr w:rsidR="008F31F7" w:rsidRPr="008F31F7">
        <w:trPr>
          <w:tblCellSpacing w:w="7" w:type="dxa"/>
          <w:jc w:val="center"/>
        </w:trPr>
        <w:tc>
          <w:tcPr>
            <w:tcW w:w="0" w:type="auto"/>
            <w:gridSpan w:val="2"/>
            <w:tcBorders>
              <w:top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Частные предприниматели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1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Дорогайкина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Майстренко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Пиманов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4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Кравцова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5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Завьялов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6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Дибров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7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Луганцев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8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Бабинец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9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Морозов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10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Куделин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11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Загузин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12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Зазуля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13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Саяпин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14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Головатюк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15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Завезенова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16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Валов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17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Кабатов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18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Клиот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19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Резниченко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20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Колодяжный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21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Смолкин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22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Колмаков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23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Немичев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24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Амерханова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25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Попова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26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Шевцов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27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Береза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28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Свинкин </w:t>
            </w:r>
          </w:p>
        </w:tc>
      </w:tr>
      <w:tr w:rsidR="008F31F7" w:rsidRPr="008F31F7">
        <w:trPr>
          <w:tblCellSpacing w:w="7" w:type="dxa"/>
          <w:jc w:val="center"/>
        </w:trPr>
        <w:tc>
          <w:tcPr>
            <w:tcW w:w="0" w:type="auto"/>
            <w:gridSpan w:val="2"/>
            <w:tcBorders>
              <w:top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b/>
                <w:bCs/>
                <w:color w:val="000000"/>
                <w:sz w:val="24"/>
                <w:szCs w:val="24"/>
                <w:lang w:val="ru-RU"/>
              </w:rPr>
              <w:t xml:space="preserve">Компании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29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Амур-Гринпис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30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Бриллиант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31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Север-Инвест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32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Садко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33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Архаринская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34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Ноавая Эра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35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Гонгор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36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Арго-плюс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37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Град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38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Сибирь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39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Мидина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40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Багульник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41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Строитель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42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Санни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43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Родник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44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Татаул </w:t>
            </w:r>
          </w:p>
        </w:tc>
      </w:tr>
      <w:tr w:rsidR="008F31F7" w:rsidRPr="008F31F7">
        <w:trPr>
          <w:tblCellSpacing w:w="7" w:type="dxa"/>
          <w:jc w:val="center"/>
        </w:trPr>
        <w:tc>
          <w:tcPr>
            <w:tcW w:w="0" w:type="auto"/>
            <w:tcBorders>
              <w:top w:val="outset" w:sz="6" w:space="0" w:color="auto"/>
              <w:bottom w:val="outset" w:sz="6" w:space="0" w:color="auto"/>
              <w:right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45 </w:t>
            </w:r>
          </w:p>
        </w:tc>
        <w:tc>
          <w:tcPr>
            <w:tcW w:w="0" w:type="auto"/>
            <w:tcBorders>
              <w:top w:val="outset" w:sz="6" w:space="0" w:color="auto"/>
              <w:left w:val="outset" w:sz="6" w:space="0" w:color="auto"/>
              <w:bottom w:val="outset" w:sz="6" w:space="0" w:color="auto"/>
            </w:tcBorders>
            <w:vAlign w:val="center"/>
          </w:tcPr>
          <w:p w:rsidR="008F31F7" w:rsidRPr="008F31F7" w:rsidRDefault="008F31F7">
            <w:pPr>
              <w:pStyle w:val="a3"/>
              <w:jc w:val="both"/>
              <w:rPr>
                <w:rFonts w:ascii="Times New Roman" w:hAnsi="Times New Roman" w:cs="Times New Roman"/>
                <w:color w:val="000000"/>
                <w:sz w:val="24"/>
                <w:szCs w:val="24"/>
                <w:lang w:val="ru-RU"/>
              </w:rPr>
            </w:pPr>
            <w:r w:rsidRPr="008F31F7">
              <w:rPr>
                <w:rFonts w:ascii="Times New Roman" w:hAnsi="Times New Roman" w:cs="Times New Roman"/>
                <w:color w:val="000000"/>
                <w:sz w:val="24"/>
                <w:szCs w:val="24"/>
                <w:lang w:val="ru-RU"/>
              </w:rPr>
              <w:t xml:space="preserve">Сакура-Экс </w:t>
            </w:r>
          </w:p>
        </w:tc>
      </w:tr>
    </w:tbl>
    <w:p w:rsidR="008F31F7" w:rsidRDefault="008F31F7">
      <w:pPr>
        <w:jc w:val="both"/>
        <w:rPr>
          <w:color w:val="000000"/>
        </w:rPr>
      </w:pPr>
    </w:p>
    <w:p w:rsidR="008F31F7" w:rsidRDefault="008F31F7">
      <w:bookmarkStart w:id="0" w:name="_GoBack"/>
      <w:bookmarkEnd w:id="0"/>
    </w:p>
    <w:sectPr w:rsidR="008F31F7">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4EA8"/>
    <w:multiLevelType w:val="hybridMultilevel"/>
    <w:tmpl w:val="8EACF84A"/>
    <w:lvl w:ilvl="0" w:tplc="EBDCE8D2">
      <w:start w:val="1"/>
      <w:numFmt w:val="decimal"/>
      <w:lvlText w:val="%1."/>
      <w:lvlJc w:val="left"/>
      <w:pPr>
        <w:tabs>
          <w:tab w:val="num" w:pos="720"/>
        </w:tabs>
        <w:ind w:left="720" w:hanging="360"/>
      </w:pPr>
    </w:lvl>
    <w:lvl w:ilvl="1" w:tplc="79F2DEEA">
      <w:start w:val="1"/>
      <w:numFmt w:val="decimal"/>
      <w:lvlText w:val="%2."/>
      <w:lvlJc w:val="left"/>
      <w:pPr>
        <w:tabs>
          <w:tab w:val="num" w:pos="1440"/>
        </w:tabs>
        <w:ind w:left="1440" w:hanging="360"/>
      </w:pPr>
    </w:lvl>
    <w:lvl w:ilvl="2" w:tplc="7804CBD4">
      <w:start w:val="1"/>
      <w:numFmt w:val="decimal"/>
      <w:lvlText w:val="%3."/>
      <w:lvlJc w:val="left"/>
      <w:pPr>
        <w:tabs>
          <w:tab w:val="num" w:pos="2160"/>
        </w:tabs>
        <w:ind w:left="2160" w:hanging="360"/>
      </w:pPr>
    </w:lvl>
    <w:lvl w:ilvl="3" w:tplc="098CA9D4">
      <w:start w:val="1"/>
      <w:numFmt w:val="decimal"/>
      <w:lvlText w:val="%4."/>
      <w:lvlJc w:val="left"/>
      <w:pPr>
        <w:tabs>
          <w:tab w:val="num" w:pos="2880"/>
        </w:tabs>
        <w:ind w:left="2880" w:hanging="360"/>
      </w:pPr>
    </w:lvl>
    <w:lvl w:ilvl="4" w:tplc="A35ECD70">
      <w:start w:val="1"/>
      <w:numFmt w:val="decimal"/>
      <w:lvlText w:val="%5."/>
      <w:lvlJc w:val="left"/>
      <w:pPr>
        <w:tabs>
          <w:tab w:val="num" w:pos="3600"/>
        </w:tabs>
        <w:ind w:left="3600" w:hanging="360"/>
      </w:pPr>
    </w:lvl>
    <w:lvl w:ilvl="5" w:tplc="C0C27580">
      <w:start w:val="1"/>
      <w:numFmt w:val="decimal"/>
      <w:lvlText w:val="%6."/>
      <w:lvlJc w:val="left"/>
      <w:pPr>
        <w:tabs>
          <w:tab w:val="num" w:pos="4320"/>
        </w:tabs>
        <w:ind w:left="4320" w:hanging="360"/>
      </w:pPr>
    </w:lvl>
    <w:lvl w:ilvl="6" w:tplc="0B4CA724">
      <w:start w:val="1"/>
      <w:numFmt w:val="decimal"/>
      <w:lvlText w:val="%7."/>
      <w:lvlJc w:val="left"/>
      <w:pPr>
        <w:tabs>
          <w:tab w:val="num" w:pos="5040"/>
        </w:tabs>
        <w:ind w:left="5040" w:hanging="360"/>
      </w:pPr>
    </w:lvl>
    <w:lvl w:ilvl="7" w:tplc="A4FAB920">
      <w:start w:val="1"/>
      <w:numFmt w:val="decimal"/>
      <w:lvlText w:val="%8."/>
      <w:lvlJc w:val="left"/>
      <w:pPr>
        <w:tabs>
          <w:tab w:val="num" w:pos="5760"/>
        </w:tabs>
        <w:ind w:left="5760" w:hanging="360"/>
      </w:pPr>
    </w:lvl>
    <w:lvl w:ilvl="8" w:tplc="9AF64DE4">
      <w:start w:val="1"/>
      <w:numFmt w:val="decimal"/>
      <w:lvlText w:val="%9."/>
      <w:lvlJc w:val="left"/>
      <w:pPr>
        <w:tabs>
          <w:tab w:val="num" w:pos="6480"/>
        </w:tabs>
        <w:ind w:left="6480" w:hanging="360"/>
      </w:pPr>
    </w:lvl>
  </w:abstractNum>
  <w:abstractNum w:abstractNumId="1">
    <w:nsid w:val="4D236D2F"/>
    <w:multiLevelType w:val="hybridMultilevel"/>
    <w:tmpl w:val="DE46E356"/>
    <w:lvl w:ilvl="0" w:tplc="EAD0E9A6">
      <w:start w:val="1"/>
      <w:numFmt w:val="decimal"/>
      <w:lvlText w:val="%1."/>
      <w:lvlJc w:val="left"/>
      <w:pPr>
        <w:tabs>
          <w:tab w:val="num" w:pos="720"/>
        </w:tabs>
        <w:ind w:left="720" w:hanging="360"/>
      </w:pPr>
    </w:lvl>
    <w:lvl w:ilvl="1" w:tplc="0DBEB054">
      <w:start w:val="1"/>
      <w:numFmt w:val="decimal"/>
      <w:lvlText w:val="%2."/>
      <w:lvlJc w:val="left"/>
      <w:pPr>
        <w:tabs>
          <w:tab w:val="num" w:pos="1440"/>
        </w:tabs>
        <w:ind w:left="1440" w:hanging="360"/>
      </w:pPr>
    </w:lvl>
    <w:lvl w:ilvl="2" w:tplc="1A884AD4">
      <w:start w:val="1"/>
      <w:numFmt w:val="decimal"/>
      <w:lvlText w:val="%3."/>
      <w:lvlJc w:val="left"/>
      <w:pPr>
        <w:tabs>
          <w:tab w:val="num" w:pos="2160"/>
        </w:tabs>
        <w:ind w:left="2160" w:hanging="360"/>
      </w:pPr>
    </w:lvl>
    <w:lvl w:ilvl="3" w:tplc="09845B64">
      <w:start w:val="1"/>
      <w:numFmt w:val="decimal"/>
      <w:lvlText w:val="%4."/>
      <w:lvlJc w:val="left"/>
      <w:pPr>
        <w:tabs>
          <w:tab w:val="num" w:pos="2880"/>
        </w:tabs>
        <w:ind w:left="2880" w:hanging="360"/>
      </w:pPr>
    </w:lvl>
    <w:lvl w:ilvl="4" w:tplc="7026C4E4">
      <w:start w:val="1"/>
      <w:numFmt w:val="decimal"/>
      <w:lvlText w:val="%5."/>
      <w:lvlJc w:val="left"/>
      <w:pPr>
        <w:tabs>
          <w:tab w:val="num" w:pos="3600"/>
        </w:tabs>
        <w:ind w:left="3600" w:hanging="360"/>
      </w:pPr>
    </w:lvl>
    <w:lvl w:ilvl="5" w:tplc="F6A6DE8A">
      <w:start w:val="1"/>
      <w:numFmt w:val="decimal"/>
      <w:lvlText w:val="%6."/>
      <w:lvlJc w:val="left"/>
      <w:pPr>
        <w:tabs>
          <w:tab w:val="num" w:pos="4320"/>
        </w:tabs>
        <w:ind w:left="4320" w:hanging="360"/>
      </w:pPr>
    </w:lvl>
    <w:lvl w:ilvl="6" w:tplc="F1DC3880">
      <w:start w:val="1"/>
      <w:numFmt w:val="decimal"/>
      <w:lvlText w:val="%7."/>
      <w:lvlJc w:val="left"/>
      <w:pPr>
        <w:tabs>
          <w:tab w:val="num" w:pos="5040"/>
        </w:tabs>
        <w:ind w:left="5040" w:hanging="360"/>
      </w:pPr>
    </w:lvl>
    <w:lvl w:ilvl="7" w:tplc="F16C4F7A">
      <w:start w:val="1"/>
      <w:numFmt w:val="decimal"/>
      <w:lvlText w:val="%8."/>
      <w:lvlJc w:val="left"/>
      <w:pPr>
        <w:tabs>
          <w:tab w:val="num" w:pos="5760"/>
        </w:tabs>
        <w:ind w:left="5760" w:hanging="360"/>
      </w:pPr>
    </w:lvl>
    <w:lvl w:ilvl="8" w:tplc="5CA20B7E">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B0E"/>
    <w:rsid w:val="006762B5"/>
    <w:rsid w:val="008F31F7"/>
    <w:rsid w:val="00AB3B0E"/>
    <w:rsid w:val="00F736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0BCB2E-C07B-4CC0-B024-5233F27D4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2">
    <w:name w:val="heading 2"/>
    <w:basedOn w:val="a"/>
    <w:link w:val="20"/>
    <w:uiPriority w:val="99"/>
    <w:qFormat/>
    <w:pPr>
      <w:spacing w:before="100" w:beforeAutospacing="1" w:after="100" w:afterAutospacing="1"/>
      <w:outlineLvl w:val="1"/>
    </w:pPr>
    <w:rPr>
      <w:b/>
      <w:bCs/>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Normal (Web)"/>
    <w:basedOn w:val="a"/>
    <w:uiPriority w:val="99"/>
    <w:pPr>
      <w:spacing w:before="100" w:beforeAutospacing="1" w:after="100" w:afterAutospacing="1"/>
    </w:pPr>
    <w:rPr>
      <w:rFonts w:ascii="Verdana" w:hAnsi="Verdana" w:cs="Verdan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4793</Words>
  <Characters>2733</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Рубки и экспорт древесины в Китай - региональный фокус</vt:lpstr>
    </vt:vector>
  </TitlesOfParts>
  <Company>R-Style</Company>
  <LinksUpToDate>false</LinksUpToDate>
  <CharactersWithSpaces>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Рубки и экспорт древесины в Китай - региональный фокус</dc:title>
  <dc:subject/>
  <dc:creator>Andrew Gabov</dc:creator>
  <cp:keywords/>
  <dc:description/>
  <cp:lastModifiedBy>admin</cp:lastModifiedBy>
  <cp:revision>2</cp:revision>
  <dcterms:created xsi:type="dcterms:W3CDTF">2014-01-27T09:56:00Z</dcterms:created>
  <dcterms:modified xsi:type="dcterms:W3CDTF">2014-01-27T09:56:00Z</dcterms:modified>
</cp:coreProperties>
</file>