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A6C" w:rsidRPr="000D45CC" w:rsidRDefault="005E4A6C" w:rsidP="000D45CC">
      <w:pPr>
        <w:pStyle w:val="af7"/>
        <w:rPr>
          <w:lang w:val="uk-UA"/>
        </w:rPr>
      </w:pPr>
      <w:r w:rsidRPr="000D45CC">
        <w:rPr>
          <w:lang w:val="uk-UA"/>
        </w:rPr>
        <w:t>Зміст</w:t>
      </w:r>
    </w:p>
    <w:p w:rsidR="000D45CC" w:rsidRPr="000D45CC" w:rsidRDefault="000D45CC" w:rsidP="000D45CC">
      <w:pPr>
        <w:pStyle w:val="af7"/>
        <w:rPr>
          <w:lang w:val="uk-UA"/>
        </w:rPr>
      </w:pPr>
    </w:p>
    <w:p w:rsidR="00121ABB" w:rsidRDefault="00121ABB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76899">
        <w:rPr>
          <w:rStyle w:val="a5"/>
          <w:noProof/>
          <w:lang w:val="uk-UA"/>
        </w:rPr>
        <w:t>Вступ</w:t>
      </w:r>
    </w:p>
    <w:p w:rsidR="00121ABB" w:rsidRDefault="00121ABB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76899">
        <w:rPr>
          <w:rStyle w:val="a5"/>
          <w:noProof/>
          <w:lang w:val="uk-UA"/>
        </w:rPr>
        <w:t>Розділ 1. Нетрадиційні операції банків на грошовому ринку</w:t>
      </w:r>
    </w:p>
    <w:p w:rsidR="00121ABB" w:rsidRDefault="00121ABB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76899">
        <w:rPr>
          <w:rStyle w:val="a5"/>
          <w:noProof/>
          <w:lang w:val="uk-UA"/>
        </w:rPr>
        <w:t>Розділ 2. Види діяльності на ринку цінних паперів</w:t>
      </w:r>
    </w:p>
    <w:p w:rsidR="00121ABB" w:rsidRDefault="00121ABB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76899">
        <w:rPr>
          <w:rStyle w:val="a5"/>
          <w:noProof/>
          <w:lang w:val="uk-UA"/>
        </w:rPr>
        <w:t>Розділ 3. Фінансовий аналіз діяльності на фондовому ринку</w:t>
      </w:r>
    </w:p>
    <w:p w:rsidR="00121ABB" w:rsidRDefault="00121ABB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76899">
        <w:rPr>
          <w:rStyle w:val="a5"/>
          <w:noProof/>
          <w:lang w:val="uk-UA"/>
        </w:rPr>
        <w:t>Висновок</w:t>
      </w:r>
    </w:p>
    <w:p w:rsidR="00121ABB" w:rsidRDefault="00121ABB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76899">
        <w:rPr>
          <w:rStyle w:val="a5"/>
          <w:noProof/>
          <w:lang w:val="uk-UA"/>
        </w:rPr>
        <w:t>Список використаної літератури</w:t>
      </w:r>
    </w:p>
    <w:p w:rsidR="00121ABB" w:rsidRDefault="00121ABB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76899">
        <w:rPr>
          <w:rStyle w:val="a5"/>
          <w:noProof/>
          <w:lang w:val="uk-UA"/>
        </w:rPr>
        <w:t>Додатки</w:t>
      </w:r>
    </w:p>
    <w:p w:rsidR="009A6710" w:rsidRPr="000D45CC" w:rsidRDefault="000D45CC" w:rsidP="000D45CC">
      <w:pPr>
        <w:pStyle w:val="1"/>
        <w:rPr>
          <w:lang w:val="uk-UA"/>
        </w:rPr>
      </w:pPr>
      <w:r w:rsidRPr="000D45CC">
        <w:rPr>
          <w:lang w:val="uk-UA"/>
        </w:rPr>
        <w:br w:type="page"/>
      </w:r>
      <w:bookmarkStart w:id="0" w:name="_Toc286424847"/>
      <w:r w:rsidR="009A6710" w:rsidRPr="000D45CC">
        <w:rPr>
          <w:lang w:val="uk-UA"/>
        </w:rPr>
        <w:t>Вступ</w:t>
      </w:r>
      <w:bookmarkEnd w:id="0"/>
    </w:p>
    <w:p w:rsidR="000D45CC" w:rsidRPr="000D45CC" w:rsidRDefault="000D45CC" w:rsidP="000D45CC">
      <w:pPr>
        <w:rPr>
          <w:lang w:val="uk-UA" w:eastAsia="en-US"/>
        </w:rPr>
      </w:pP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Розширення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спектру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зростання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небанківських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установ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інвестиційному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процесі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важливим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підґрунтям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економічного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зростання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Сучасний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сектор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внаслідок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інституційних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функціональних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характеристик,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повною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мірою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тенденціям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світових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ринків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Досвід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економічно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розвинутих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країн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свідчить,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добре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налагоджена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страхова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справа,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розвиток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належне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функціонування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небанківських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кредитних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установ,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пенсійних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посередників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інституційних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інвесторів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сприяють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сталості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систем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розв’язанню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соціальних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проблем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багатьох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країнах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світу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рівень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розвитку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небанківського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сектора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цілому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індикатором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зрілості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відносин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сучасному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етапі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галузі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багато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наукових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досліджень,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мета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яких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розгляд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встановлення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взаємозв’язків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процесами,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відбуваються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Теоретико-методологічні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проблеми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вивчення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пов’язані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відсутністю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єдиного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трактування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основоположних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категорій,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таких,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система,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ринок,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підприємств,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державні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регіональні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місцеві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тощо</w:t>
      </w:r>
      <w:r w:rsidR="000D45CC" w:rsidRPr="000D45CC">
        <w:rPr>
          <w:lang w:val="uk-UA"/>
        </w:rPr>
        <w:t>.</w:t>
      </w:r>
    </w:p>
    <w:p w:rsidR="000D45CC" w:rsidRPr="000D45CC" w:rsidRDefault="008024B7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Основу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складає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величезна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швидко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зростаюча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частина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сфера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Предметом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обміну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цьому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результатом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сектора</w:t>
      </w:r>
      <w:r w:rsidR="000D45CC" w:rsidRPr="000D45CC">
        <w:rPr>
          <w:lang w:val="uk-UA"/>
        </w:rPr>
        <w:t xml:space="preserve">: </w:t>
      </w:r>
      <w:r w:rsidRPr="000D45CC">
        <w:rPr>
          <w:lang w:val="uk-UA"/>
        </w:rPr>
        <w:t>банківські,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страхові,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інвестиційні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</w:t>
      </w:r>
      <w:r w:rsidR="000D45CC" w:rsidRPr="000D45CC">
        <w:rPr>
          <w:lang w:val="uk-UA"/>
        </w:rPr>
        <w:t>.</w:t>
      </w:r>
    </w:p>
    <w:p w:rsidR="000D45CC" w:rsidRPr="000D45CC" w:rsidRDefault="008024B7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Розвиток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промисловості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призводить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вивільнення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робочої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сили,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поглинається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сферою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розширюється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необхідності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виробничих</w:t>
      </w:r>
      <w:r w:rsidR="000D45CC" w:rsidRPr="000D45CC">
        <w:rPr>
          <w:lang w:val="uk-UA"/>
        </w:rPr>
        <w:t xml:space="preserve">" </w:t>
      </w:r>
      <w:r w:rsidRPr="000D45CC">
        <w:rPr>
          <w:lang w:val="uk-UA"/>
        </w:rPr>
        <w:t>послуг,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можливість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продавати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спільно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послугами</w:t>
      </w:r>
      <w:r w:rsidR="000D45CC" w:rsidRPr="000D45CC">
        <w:rPr>
          <w:lang w:val="uk-UA"/>
        </w:rPr>
        <w:t>.</w:t>
      </w:r>
    </w:p>
    <w:p w:rsidR="000D45CC" w:rsidRPr="000D45CC" w:rsidRDefault="008024B7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Змінилася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структура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Зросла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частка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професійних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державних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недержавних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банківських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установ,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небанківських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заощаджувальних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інститутів,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державних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інститутів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контрактних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небанківських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інститутів</w:t>
      </w:r>
      <w:r w:rsidR="000D45CC" w:rsidRPr="000D45CC">
        <w:rPr>
          <w:lang w:val="uk-UA"/>
        </w:rPr>
        <w:t>.</w:t>
      </w:r>
    </w:p>
    <w:p w:rsidR="000D45CC" w:rsidRPr="000D45CC" w:rsidRDefault="008024B7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Трансформування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економіки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характеризується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впливом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низки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чинників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неекономічного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характеру,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поведінка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уряду,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економічна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культура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економічний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порядок,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схильність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заощадження,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недовіра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фізичних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осіб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суб'єктів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господарювання,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низький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рівень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розвитку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ринкової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інфраструктури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тощо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Все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цілому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призводить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нерозвиненості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слабкого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впливу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економічне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зростання</w:t>
      </w:r>
      <w:r w:rsidR="000D45CC" w:rsidRPr="000D45CC">
        <w:rPr>
          <w:lang w:val="uk-UA"/>
        </w:rPr>
        <w:t>.</w:t>
      </w:r>
    </w:p>
    <w:p w:rsidR="003166F1" w:rsidRPr="000D45CC" w:rsidRDefault="000D45CC" w:rsidP="000D45CC">
      <w:pPr>
        <w:pStyle w:val="1"/>
        <w:rPr>
          <w:lang w:val="uk-UA"/>
        </w:rPr>
      </w:pPr>
      <w:r w:rsidRPr="000D45CC">
        <w:rPr>
          <w:lang w:val="uk-UA"/>
        </w:rPr>
        <w:br w:type="page"/>
      </w:r>
      <w:bookmarkStart w:id="1" w:name="_Toc286424848"/>
      <w:r w:rsidR="003166F1" w:rsidRPr="000D45CC">
        <w:rPr>
          <w:lang w:val="uk-UA"/>
        </w:rPr>
        <w:t>Розділ</w:t>
      </w:r>
      <w:r w:rsidRPr="000D45CC">
        <w:rPr>
          <w:lang w:val="uk-UA"/>
        </w:rPr>
        <w:t xml:space="preserve"> </w:t>
      </w:r>
      <w:r w:rsidR="003166F1" w:rsidRPr="000D45CC">
        <w:rPr>
          <w:lang w:val="uk-UA"/>
        </w:rPr>
        <w:t>1</w:t>
      </w:r>
      <w:r w:rsidRPr="000D45CC">
        <w:rPr>
          <w:lang w:val="uk-UA"/>
        </w:rPr>
        <w:t xml:space="preserve">. </w:t>
      </w:r>
      <w:r w:rsidR="003166F1" w:rsidRPr="000D45CC">
        <w:rPr>
          <w:lang w:val="uk-UA"/>
        </w:rPr>
        <w:t>Нетрадиційні</w:t>
      </w:r>
      <w:r w:rsidRPr="000D45CC">
        <w:rPr>
          <w:lang w:val="uk-UA"/>
        </w:rPr>
        <w:t xml:space="preserve"> </w:t>
      </w:r>
      <w:r w:rsidR="003166F1" w:rsidRPr="000D45CC">
        <w:rPr>
          <w:lang w:val="uk-UA"/>
        </w:rPr>
        <w:t>операції</w:t>
      </w:r>
      <w:r w:rsidRPr="000D45CC">
        <w:rPr>
          <w:lang w:val="uk-UA"/>
        </w:rPr>
        <w:t xml:space="preserve"> </w:t>
      </w:r>
      <w:r w:rsidR="003166F1" w:rsidRPr="000D45CC">
        <w:rPr>
          <w:lang w:val="uk-UA"/>
        </w:rPr>
        <w:t>банків</w:t>
      </w:r>
      <w:r w:rsidRPr="000D45CC">
        <w:rPr>
          <w:lang w:val="uk-UA"/>
        </w:rPr>
        <w:t xml:space="preserve"> </w:t>
      </w:r>
      <w:r w:rsidR="003166F1" w:rsidRPr="000D45CC">
        <w:rPr>
          <w:lang w:val="uk-UA"/>
        </w:rPr>
        <w:t>на</w:t>
      </w:r>
      <w:r w:rsidRPr="000D45CC">
        <w:rPr>
          <w:lang w:val="uk-UA"/>
        </w:rPr>
        <w:t xml:space="preserve"> </w:t>
      </w:r>
      <w:r w:rsidR="003166F1" w:rsidRPr="000D45CC">
        <w:rPr>
          <w:lang w:val="uk-UA"/>
        </w:rPr>
        <w:t>грошовому</w:t>
      </w:r>
      <w:r w:rsidRPr="000D45CC">
        <w:rPr>
          <w:lang w:val="uk-UA"/>
        </w:rPr>
        <w:t xml:space="preserve"> </w:t>
      </w:r>
      <w:r w:rsidR="003166F1" w:rsidRPr="000D45CC">
        <w:rPr>
          <w:lang w:val="uk-UA"/>
        </w:rPr>
        <w:t>ринку</w:t>
      </w:r>
      <w:bookmarkEnd w:id="1"/>
    </w:p>
    <w:p w:rsidR="000D45CC" w:rsidRPr="000D45CC" w:rsidRDefault="000D45CC" w:rsidP="000D45CC">
      <w:pPr>
        <w:rPr>
          <w:lang w:val="uk-UA" w:eastAsia="en-US"/>
        </w:rPr>
      </w:pPr>
    </w:p>
    <w:p w:rsidR="000D45CC" w:rsidRPr="000D45CC" w:rsidRDefault="00B85FC6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Законом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України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банківську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діяльність</w:t>
      </w:r>
      <w:r w:rsidR="000D45CC" w:rsidRPr="000D45CC">
        <w:rPr>
          <w:lang w:val="uk-UA"/>
        </w:rPr>
        <w:t xml:space="preserve">"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Положенням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порядок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видачі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банкам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банківських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ліцензій,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письмових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дозволів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ліцензій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окремих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визначено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перелік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банківських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надавати</w:t>
      </w:r>
      <w:r w:rsidR="000D45CC" w:rsidRPr="000D45CC">
        <w:rPr>
          <w:lang w:val="uk-UA"/>
        </w:rPr>
        <w:t>.</w:t>
      </w:r>
    </w:p>
    <w:p w:rsidR="000D45CC" w:rsidRPr="000D45CC" w:rsidRDefault="00B85FC6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Банківські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послуги</w:t>
      </w:r>
      <w:r w:rsidR="000D45CC" w:rsidRPr="000D45CC">
        <w:rPr>
          <w:bCs/>
          <w:lang w:val="uk-UA"/>
        </w:rPr>
        <w:t xml:space="preserve">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комплекс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упорядкованих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пов'язаних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обслуговуванням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процесі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створюється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додана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вартість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працівниками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додаткового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відчуження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накопиченої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вартості,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посилення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ризику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втрати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активів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Банківськими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вважати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також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супроводжують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основні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функції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спрямовані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збільшення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доходу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банку</w:t>
      </w:r>
      <w:r w:rsidR="000D45CC" w:rsidRPr="000D45CC">
        <w:rPr>
          <w:lang w:val="uk-UA"/>
        </w:rPr>
        <w:t>.</w:t>
      </w:r>
    </w:p>
    <w:p w:rsidR="000D45CC" w:rsidRPr="000D45CC" w:rsidRDefault="009247E4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Нетрадиційні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банківські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включають</w:t>
      </w:r>
      <w:r w:rsidR="000D45CC" w:rsidRPr="000D45CC">
        <w:rPr>
          <w:lang w:val="uk-UA"/>
        </w:rPr>
        <w:t xml:space="preserve">: </w:t>
      </w:r>
      <w:r w:rsidRPr="000D45CC">
        <w:rPr>
          <w:lang w:val="uk-UA"/>
        </w:rPr>
        <w:t>лізингові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факторинг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форфейтинг,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гарантійні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трастові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нетрадиційні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банківські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>.</w:t>
      </w:r>
    </w:p>
    <w:p w:rsidR="00FE6079" w:rsidRPr="000D45CC" w:rsidRDefault="00FE6079" w:rsidP="000D45CC">
      <w:pPr>
        <w:shd w:val="clear" w:color="auto" w:fill="FFFFFF"/>
        <w:tabs>
          <w:tab w:val="left" w:pos="726"/>
        </w:tabs>
        <w:rPr>
          <w:b/>
          <w:i/>
          <w:lang w:val="uk-UA"/>
        </w:rPr>
      </w:pPr>
      <w:r w:rsidRPr="000D45CC">
        <w:rPr>
          <w:b/>
          <w:bCs/>
          <w:i/>
          <w:lang w:val="uk-UA"/>
        </w:rPr>
        <w:t>Лізингові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операції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банків</w:t>
      </w:r>
    </w:p>
    <w:p w:rsidR="000D45CC" w:rsidRPr="000D45CC" w:rsidRDefault="00FE6079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Лізинг</w:t>
      </w:r>
      <w:r w:rsidR="000D45CC" w:rsidRPr="000D45CC">
        <w:rPr>
          <w:bCs/>
          <w:lang w:val="uk-UA"/>
        </w:rPr>
        <w:t xml:space="preserve">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комплекс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економічних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відносин,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виникають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зв'язку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купівлею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майна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подальшим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наданням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тимчасове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користування</w:t>
      </w:r>
      <w:r w:rsidR="000D45CC" w:rsidRPr="000D45CC">
        <w:rPr>
          <w:lang w:val="uk-UA"/>
        </w:rPr>
        <w:t>.</w:t>
      </w:r>
    </w:p>
    <w:p w:rsidR="000D45CC" w:rsidRPr="000D45CC" w:rsidRDefault="00FE6079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Іноді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ототожнюють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поняттям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оренда</w:t>
      </w:r>
      <w:r w:rsidR="000D45CC" w:rsidRPr="000D45CC">
        <w:rPr>
          <w:lang w:val="uk-UA"/>
        </w:rPr>
        <w:t xml:space="preserve">". </w:t>
      </w:r>
      <w:r w:rsidRPr="000D45CC">
        <w:rPr>
          <w:lang w:val="uk-UA"/>
        </w:rPr>
        <w:t>Але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насправді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обмежується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зданням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майна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оренду</w:t>
      </w:r>
      <w:r w:rsidR="000D45CC" w:rsidRPr="000D45CC">
        <w:rPr>
          <w:lang w:val="uk-UA"/>
        </w:rPr>
        <w:t>.</w:t>
      </w:r>
    </w:p>
    <w:p w:rsidR="000D45CC" w:rsidRPr="000D45CC" w:rsidRDefault="00FE6079" w:rsidP="000D45CC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0D45CC">
        <w:rPr>
          <w:iCs/>
          <w:lang w:val="uk-UA"/>
        </w:rPr>
        <w:t>Вигоди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лізингодавця</w:t>
      </w:r>
      <w:r w:rsidR="000D45CC" w:rsidRPr="000D45CC">
        <w:rPr>
          <w:iCs/>
          <w:lang w:val="uk-UA"/>
        </w:rPr>
        <w:t>:</w:t>
      </w:r>
    </w:p>
    <w:p w:rsidR="000D45CC" w:rsidRPr="000D45CC" w:rsidRDefault="00FE6079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отримання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доходів</w:t>
      </w:r>
      <w:r w:rsidR="000D45CC" w:rsidRPr="000D45CC">
        <w:rPr>
          <w:lang w:val="uk-UA"/>
        </w:rPr>
        <w:t>;</w:t>
      </w:r>
    </w:p>
    <w:p w:rsidR="000D45CC" w:rsidRPr="000D45CC" w:rsidRDefault="00FE6079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забезпечення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реалізації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продукції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умов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було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невигідно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неможливо</w:t>
      </w:r>
      <w:r w:rsidR="000D45CC" w:rsidRPr="000D45CC">
        <w:rPr>
          <w:lang w:val="uk-UA"/>
        </w:rPr>
        <w:t>;</w:t>
      </w:r>
    </w:p>
    <w:p w:rsidR="000D45CC" w:rsidRPr="000D45CC" w:rsidRDefault="00FE6079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підвищення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економічної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ефективності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зданого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оренду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обладнання</w:t>
      </w:r>
      <w:r w:rsidR="000D45CC" w:rsidRPr="000D45CC">
        <w:rPr>
          <w:lang w:val="uk-UA"/>
        </w:rPr>
        <w:t>;</w:t>
      </w:r>
    </w:p>
    <w:p w:rsidR="000D45CC" w:rsidRPr="000D45CC" w:rsidRDefault="00FE6079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розширення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клієнтури,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зміцнення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зв'язків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нею</w:t>
      </w:r>
      <w:r w:rsidR="000D45CC" w:rsidRPr="000D45CC">
        <w:rPr>
          <w:lang w:val="uk-UA"/>
        </w:rPr>
        <w:t>.</w:t>
      </w:r>
    </w:p>
    <w:p w:rsidR="000D45CC" w:rsidRPr="000D45CC" w:rsidRDefault="00FE6079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Розмір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відсотка,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сплачується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нижчий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відсотка,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сплачується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кредитом,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вигідніше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користуватися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лізингом,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ніж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брати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кредит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придбання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обладнання</w:t>
      </w:r>
      <w:r w:rsidR="000D45CC" w:rsidRPr="000D45CC">
        <w:rPr>
          <w:lang w:val="uk-UA"/>
        </w:rPr>
        <w:t>.</w:t>
      </w:r>
    </w:p>
    <w:p w:rsidR="000D45CC" w:rsidRPr="000D45CC" w:rsidRDefault="00FE6079" w:rsidP="000D45CC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0D45CC">
        <w:rPr>
          <w:iCs/>
          <w:lang w:val="uk-UA"/>
        </w:rPr>
        <w:t>Переваги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для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лізингоодержувача</w:t>
      </w:r>
      <w:r w:rsidR="000D45CC" w:rsidRPr="000D45CC">
        <w:rPr>
          <w:iCs/>
          <w:lang w:val="uk-UA"/>
        </w:rPr>
        <w:t>:</w:t>
      </w:r>
    </w:p>
    <w:p w:rsidR="000D45CC" w:rsidRPr="000D45CC" w:rsidRDefault="00FE6079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100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кредитування,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потребує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негайного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початку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виплат</w:t>
      </w:r>
      <w:r w:rsidR="000D45CC" w:rsidRPr="000D45CC">
        <w:rPr>
          <w:lang w:val="uk-UA"/>
        </w:rPr>
        <w:t>;</w:t>
      </w:r>
    </w:p>
    <w:p w:rsidR="000D45CC" w:rsidRPr="000D45CC" w:rsidRDefault="00FE6079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правило,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отримати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легше,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ніж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кредит</w:t>
      </w:r>
      <w:r w:rsidR="000D45CC" w:rsidRPr="000D45CC">
        <w:rPr>
          <w:lang w:val="uk-UA"/>
        </w:rPr>
        <w:t>;</w:t>
      </w:r>
    </w:p>
    <w:p w:rsidR="000D45CC" w:rsidRPr="000D45CC" w:rsidRDefault="00FE6079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поява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доступу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сучасного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обладнання,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можливості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оперативного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оновлення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виробництва,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причому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ризик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старіння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обладнання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відповідальний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лізингодавець</w:t>
      </w:r>
      <w:r w:rsidR="000D45CC" w:rsidRPr="000D45CC">
        <w:rPr>
          <w:lang w:val="uk-UA"/>
        </w:rPr>
        <w:t>.</w:t>
      </w:r>
    </w:p>
    <w:p w:rsidR="000D45CC" w:rsidRPr="000D45CC" w:rsidRDefault="00FE6079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Лізинг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регулює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правовідносини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суб'єктами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Договір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укладається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формі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багатосторонньої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участю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лізингодавця,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лізингоодержувача,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продавця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об'єкта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двосторонньої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лізингодавцем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лізингоодержувачем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письмовій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формі</w:t>
      </w:r>
      <w:r w:rsidR="000D45CC" w:rsidRPr="000D45CC">
        <w:rPr>
          <w:lang w:val="uk-UA"/>
        </w:rPr>
        <w:t>.</w:t>
      </w:r>
    </w:p>
    <w:p w:rsidR="000D45CC" w:rsidRPr="000D45CC" w:rsidRDefault="00122287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Фінансовий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договір</w:t>
      </w:r>
      <w:r w:rsidR="000D45CC" w:rsidRPr="000D45CC">
        <w:rPr>
          <w:bCs/>
          <w:lang w:val="uk-UA"/>
        </w:rPr>
        <w:t xml:space="preserve">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договір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результаті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укладення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лізингоодержувач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своє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замовлення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отримує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користування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лізингодавця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об'єкт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строк,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менший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строку,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амортизується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60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вартості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об'єкта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визначеної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день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укладення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договору</w:t>
      </w:r>
      <w:r w:rsidR="000D45CC" w:rsidRPr="000D45CC">
        <w:rPr>
          <w:lang w:val="uk-UA"/>
        </w:rPr>
        <w:t>.</w:t>
      </w:r>
    </w:p>
    <w:p w:rsidR="000D45CC" w:rsidRPr="000D45CC" w:rsidRDefault="00122287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Оперативний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договір</w:t>
      </w:r>
      <w:r w:rsidR="000D45CC" w:rsidRPr="000D45CC">
        <w:rPr>
          <w:bCs/>
          <w:lang w:val="uk-UA"/>
        </w:rPr>
        <w:t xml:space="preserve">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договір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результаті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укладення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лізингоодержувач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своє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замовлення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отримує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користування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лізингодавця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об'єкт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строк,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менший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строку,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амортизується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90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вартості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об'єкта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визначеної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день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укладення</w:t>
      </w:r>
    </w:p>
    <w:p w:rsidR="000D45CC" w:rsidRPr="000D45CC" w:rsidRDefault="00122287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Зворотний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договір</w:t>
      </w:r>
      <w:r w:rsidR="000D45CC" w:rsidRPr="000D45CC">
        <w:rPr>
          <w:bCs/>
          <w:lang w:val="uk-UA"/>
        </w:rPr>
        <w:t xml:space="preserve">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договір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передбачає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набуття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лізингодавцем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майна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цього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майна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</w:t>
      </w:r>
      <w:r w:rsidR="000D45CC" w:rsidRPr="000D45CC">
        <w:rPr>
          <w:lang w:val="uk-UA"/>
        </w:rPr>
        <w:t>.</w:t>
      </w:r>
    </w:p>
    <w:p w:rsidR="000D45CC" w:rsidRPr="000D45CC" w:rsidRDefault="00122287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Пайовий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договір</w:t>
      </w:r>
      <w:r w:rsidR="000D45CC" w:rsidRPr="000D45CC">
        <w:rPr>
          <w:bCs/>
          <w:lang w:val="uk-UA"/>
        </w:rPr>
        <w:t xml:space="preserve">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участю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суб'єктів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основі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укладення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багатостороннього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залучення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кількох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кредиторів,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беруть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участь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здійсненні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інвестуючи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кошти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цьому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сума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інвестованих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кредиторами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коштів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перевищувати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80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вартості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набутого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майна</w:t>
      </w:r>
      <w:r w:rsidR="000D45CC" w:rsidRPr="000D45CC">
        <w:rPr>
          <w:lang w:val="uk-UA"/>
        </w:rPr>
        <w:t>.</w:t>
      </w:r>
    </w:p>
    <w:p w:rsidR="000D45CC" w:rsidRPr="000D45CC" w:rsidRDefault="00122287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Міжнародний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договір</w:t>
      </w:r>
      <w:r w:rsidR="000D45CC" w:rsidRPr="000D45CC">
        <w:rPr>
          <w:bCs/>
          <w:lang w:val="uk-UA"/>
        </w:rPr>
        <w:t xml:space="preserve">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договір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суб'єктами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перебувають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юрисдикцією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різних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держав,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майно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платежі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перетинають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державні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кордони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Міжнародний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Закону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України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</w:t>
      </w:r>
      <w:r w:rsidR="000D45CC" w:rsidRPr="000D45CC">
        <w:rPr>
          <w:lang w:val="uk-UA"/>
        </w:rPr>
        <w:t>"</w:t>
      </w:r>
      <w:r w:rsidRPr="000D45CC">
        <w:rPr>
          <w:lang w:val="uk-UA"/>
        </w:rPr>
        <w:t>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законодавчих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міжнародних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бере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участь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укладених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суб'єктами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>.</w:t>
      </w:r>
    </w:p>
    <w:p w:rsidR="000D45CC" w:rsidRPr="000D45CC" w:rsidRDefault="00122287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Об'єкт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протягом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терміну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власністю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лізингодавця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разі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переходу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об'єкт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лізингодавця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особи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договір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зберігає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силу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власника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передбачатися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викупу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об'єкта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лізингоодержувачем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після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закінчення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але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раніше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строку,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протягом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амортизується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60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вартості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об'єкта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визначеної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день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укладення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Право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</w:t>
      </w:r>
      <w:r w:rsidR="00EE6F66" w:rsidRPr="000D45CC">
        <w:rPr>
          <w:lang w:val="uk-UA"/>
        </w:rPr>
        <w:t>а</w:t>
      </w:r>
      <w:r w:rsidR="000D45CC" w:rsidRPr="000D45CC">
        <w:rPr>
          <w:lang w:val="uk-UA"/>
        </w:rPr>
        <w:t xml:space="preserve"> </w:t>
      </w:r>
      <w:r w:rsidR="00EE6F66" w:rsidRPr="000D45CC">
        <w:rPr>
          <w:lang w:val="uk-UA"/>
        </w:rPr>
        <w:t>об'єкт</w:t>
      </w:r>
      <w:r w:rsidR="000D45CC" w:rsidRPr="000D45CC">
        <w:rPr>
          <w:lang w:val="uk-UA"/>
        </w:rPr>
        <w:t xml:space="preserve"> </w:t>
      </w:r>
      <w:r w:rsidR="00EE6F66" w:rsidRPr="000D45CC">
        <w:rPr>
          <w:lang w:val="uk-UA"/>
        </w:rPr>
        <w:t>фінансового</w:t>
      </w:r>
      <w:r w:rsidR="000D45CC" w:rsidRPr="000D45CC">
        <w:rPr>
          <w:lang w:val="uk-UA"/>
        </w:rPr>
        <w:t xml:space="preserve"> </w:t>
      </w:r>
      <w:r w:rsidR="00EE6F66"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="00EE6F66" w:rsidRPr="000D45CC">
        <w:rPr>
          <w:lang w:val="uk-UA"/>
        </w:rPr>
        <w:t>на</w:t>
      </w:r>
      <w:r w:rsidRPr="000D45CC">
        <w:rPr>
          <w:lang w:val="uk-UA"/>
        </w:rPr>
        <w:t>бувається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лізингоодержувачем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після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сплати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вартості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об'єкта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умов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законодавства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України</w:t>
      </w:r>
      <w:r w:rsidR="000D45CC" w:rsidRPr="000D45CC">
        <w:rPr>
          <w:lang w:val="uk-UA"/>
        </w:rPr>
        <w:t>.</w:t>
      </w:r>
    </w:p>
    <w:p w:rsidR="000D45CC" w:rsidRPr="000D45CC" w:rsidRDefault="00122287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метою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забезпечення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інтересів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суб'єктів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об'єкт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ризики,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пов'язані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виконанням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також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ризики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випадкового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знищення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пошкодження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об'єктів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підлягають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страхуванню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домовленістю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сторін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законодавства</w:t>
      </w:r>
      <w:r w:rsidR="000D45CC" w:rsidRPr="000D45CC">
        <w:rPr>
          <w:lang w:val="uk-UA"/>
        </w:rPr>
        <w:t>.</w:t>
      </w:r>
    </w:p>
    <w:p w:rsidR="000D45CC" w:rsidRPr="000D45CC" w:rsidRDefault="00122287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Лізингоодержувач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користування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об'єктом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вносить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періодичні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платежі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Тривалість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періоду,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вноситься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лізинговий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платіж,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встановлюється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нерівномірною</w:t>
      </w:r>
      <w:r w:rsidR="000D45CC" w:rsidRPr="000D45CC">
        <w:rPr>
          <w:lang w:val="uk-UA"/>
        </w:rPr>
        <w:t>.</w:t>
      </w:r>
    </w:p>
    <w:p w:rsidR="000D45CC" w:rsidRPr="000D45CC" w:rsidRDefault="00122287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розрахунку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платежів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використовують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концепцію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теперішньої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вартості,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пов'язана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вартістю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процентами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користування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грошима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протягом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>.</w:t>
      </w:r>
    </w:p>
    <w:p w:rsidR="000D45CC" w:rsidRPr="000D45CC" w:rsidRDefault="00122287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Теперішня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вартість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пов'язана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розрахунком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складного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дисконту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кожного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платежу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Теперішню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вартість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платежу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яку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коштів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необхідно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вкласти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зараз,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щоб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через</w:t>
      </w:r>
      <w:r w:rsidR="000D45CC" w:rsidRPr="000D45CC">
        <w:rPr>
          <w:lang w:val="uk-UA"/>
        </w:rPr>
        <w:t xml:space="preserve"> </w:t>
      </w:r>
      <w:r w:rsidRPr="000D45CC">
        <w:rPr>
          <w:i/>
          <w:iCs/>
          <w:lang w:val="uk-UA"/>
        </w:rPr>
        <w:t>п</w:t>
      </w:r>
      <w:r w:rsidR="000D45CC" w:rsidRPr="000D45CC">
        <w:rPr>
          <w:i/>
          <w:iCs/>
          <w:lang w:val="uk-UA"/>
        </w:rPr>
        <w:t xml:space="preserve"> </w:t>
      </w:r>
      <w:r w:rsidRPr="000D45CC">
        <w:rPr>
          <w:lang w:val="uk-UA"/>
        </w:rPr>
        <w:t>періодів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отримати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</w:t>
      </w:r>
      <w:r w:rsidR="000D45CC" w:rsidRPr="000D45CC">
        <w:rPr>
          <w:lang w:val="uk-UA"/>
        </w:rPr>
        <w:t xml:space="preserve"> </w:t>
      </w:r>
      <w:r w:rsidR="0048641A" w:rsidRPr="000D45CC">
        <w:rPr>
          <w:lang w:val="uk-UA"/>
        </w:rPr>
        <w:t>грн</w:t>
      </w:r>
      <w:r w:rsidR="000D45CC" w:rsidRPr="000D45CC">
        <w:rPr>
          <w:lang w:val="uk-UA"/>
        </w:rPr>
        <w:t xml:space="preserve">) </w:t>
      </w:r>
      <w:r w:rsidR="0048641A" w:rsidRPr="000D45CC">
        <w:rPr>
          <w:lang w:val="uk-UA"/>
        </w:rPr>
        <w:t>розраховують</w:t>
      </w:r>
      <w:r w:rsidR="000D45CC" w:rsidRPr="000D45CC">
        <w:rPr>
          <w:lang w:val="uk-UA"/>
        </w:rPr>
        <w:t xml:space="preserve"> </w:t>
      </w:r>
      <w:r w:rsidR="0048641A"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="0048641A" w:rsidRPr="000D45CC">
        <w:rPr>
          <w:lang w:val="uk-UA"/>
        </w:rPr>
        <w:t>формулою</w:t>
      </w:r>
      <w:r w:rsidR="000D45CC" w:rsidRPr="000D45CC">
        <w:rPr>
          <w:lang w:val="uk-UA"/>
        </w:rPr>
        <w:t xml:space="preserve">: </w:t>
      </w:r>
      <w:r w:rsidR="0048641A" w:rsidRPr="000D45CC">
        <w:rPr>
          <w:lang w:val="uk-UA"/>
        </w:rPr>
        <w:t>1</w:t>
      </w:r>
      <w:r w:rsidR="000D45CC" w:rsidRPr="000D45CC">
        <w:rPr>
          <w:lang w:val="uk-UA"/>
        </w:rPr>
        <w:t xml:space="preserve"> (</w:t>
      </w:r>
      <w:r w:rsidR="0048641A" w:rsidRPr="000D45CC">
        <w:rPr>
          <w:lang w:val="uk-UA"/>
        </w:rPr>
        <w:t>1+</w:t>
      </w:r>
      <w:r w:rsidR="0048641A" w:rsidRPr="000D45CC">
        <w:rPr>
          <w:i/>
          <w:lang w:val="uk-UA"/>
        </w:rPr>
        <w:t>і</w:t>
      </w:r>
      <w:r w:rsidR="000D45CC" w:rsidRPr="000D45CC">
        <w:rPr>
          <w:lang w:val="uk-UA"/>
        </w:rPr>
        <w:t xml:space="preserve">) </w:t>
      </w:r>
      <w:r w:rsidR="0048641A" w:rsidRPr="000D45CC">
        <w:rPr>
          <w:i/>
          <w:vertAlign w:val="superscript"/>
          <w:lang w:val="uk-UA"/>
        </w:rPr>
        <w:t>п</w:t>
      </w:r>
      <w:r w:rsidR="0048641A" w:rsidRPr="000D45CC">
        <w:rPr>
          <w:i/>
          <w:lang w:val="uk-UA"/>
        </w:rPr>
        <w:t>,</w:t>
      </w:r>
      <w:r w:rsidR="000D45CC" w:rsidRPr="000D45CC">
        <w:rPr>
          <w:lang w:val="uk-UA"/>
        </w:rPr>
        <w:t xml:space="preserve"> (</w:t>
      </w:r>
      <w:r w:rsidR="0048641A" w:rsidRPr="000D45CC">
        <w:rPr>
          <w:lang w:val="uk-UA"/>
        </w:rPr>
        <w:t>1</w:t>
      </w:r>
      <w:r w:rsidR="000D45CC" w:rsidRPr="000D45CC">
        <w:rPr>
          <w:lang w:val="uk-UA"/>
        </w:rPr>
        <w:t xml:space="preserve">.1), </w:t>
      </w:r>
      <w:r w:rsidRPr="000D45CC">
        <w:rPr>
          <w:lang w:val="uk-UA"/>
        </w:rPr>
        <w:t>де</w:t>
      </w:r>
      <w:r w:rsidR="000D45CC" w:rsidRPr="000D45CC">
        <w:rPr>
          <w:lang w:val="uk-UA"/>
        </w:rPr>
        <w:t xml:space="preserve"> </w:t>
      </w:r>
      <w:r w:rsidR="0048641A" w:rsidRPr="000D45CC">
        <w:rPr>
          <w:i/>
          <w:lang w:val="uk-UA"/>
        </w:rPr>
        <w:t>і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ставка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процента</w:t>
      </w:r>
      <w:r w:rsidR="000D45CC" w:rsidRPr="000D45CC">
        <w:rPr>
          <w:lang w:val="uk-UA"/>
        </w:rPr>
        <w:t xml:space="preserve">; </w:t>
      </w:r>
      <w:r w:rsidR="0048641A" w:rsidRPr="000D45CC">
        <w:rPr>
          <w:i/>
          <w:iCs/>
          <w:lang w:val="uk-UA"/>
        </w:rPr>
        <w:t>п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кількість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періодів</w:t>
      </w:r>
      <w:r w:rsidR="000D45CC" w:rsidRPr="000D45CC">
        <w:rPr>
          <w:lang w:val="uk-UA"/>
        </w:rPr>
        <w:t>.</w:t>
      </w:r>
    </w:p>
    <w:p w:rsidR="000D45CC" w:rsidRPr="000D45CC" w:rsidRDefault="00AD5DB6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Сплату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мита,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податку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додану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вартість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акцизного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збору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ввезенні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об'єктів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митну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територію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здійсненні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міжнародного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законодавства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України</w:t>
      </w:r>
      <w:r w:rsidR="000D45CC" w:rsidRPr="000D45CC">
        <w:rPr>
          <w:lang w:val="uk-UA"/>
        </w:rPr>
        <w:t>.</w:t>
      </w:r>
    </w:p>
    <w:p w:rsidR="000D45CC" w:rsidRPr="000D45CC" w:rsidRDefault="00AD5DB6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Якщо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об'єктом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державне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майно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договір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пайового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передбачає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залучення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державних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коштів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забезпечення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надаються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державні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гарантії,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договір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підлягає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обов'язковій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встановленому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Кабінетом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Міністрів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порядку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Договори,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зареєстровані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встановленому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порядку,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недійсними</w:t>
      </w:r>
      <w:r w:rsidR="000D45CC" w:rsidRPr="000D45CC">
        <w:rPr>
          <w:lang w:val="uk-UA"/>
        </w:rPr>
        <w:t>.</w:t>
      </w:r>
    </w:p>
    <w:p w:rsidR="00AD5DB6" w:rsidRPr="000D45CC" w:rsidRDefault="00AD5DB6" w:rsidP="000D45CC">
      <w:pPr>
        <w:shd w:val="clear" w:color="auto" w:fill="FFFFFF"/>
        <w:tabs>
          <w:tab w:val="left" w:pos="726"/>
        </w:tabs>
        <w:rPr>
          <w:b/>
          <w:i/>
          <w:lang w:val="uk-UA"/>
        </w:rPr>
      </w:pPr>
      <w:r w:rsidRPr="000D45CC">
        <w:rPr>
          <w:b/>
          <w:bCs/>
          <w:i/>
          <w:lang w:val="uk-UA"/>
        </w:rPr>
        <w:t>Факторинг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і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форфейтинг</w:t>
      </w:r>
      <w:r w:rsidR="000D45CC" w:rsidRPr="000D45CC">
        <w:rPr>
          <w:b/>
          <w:bCs/>
          <w:i/>
          <w:lang w:val="uk-UA"/>
        </w:rPr>
        <w:t>.</w:t>
      </w:r>
    </w:p>
    <w:p w:rsidR="000D45CC" w:rsidRPr="000D45CC" w:rsidRDefault="00AD5DB6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Законом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України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банківську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діяльність</w:t>
      </w:r>
      <w:r w:rsidR="000D45CC" w:rsidRPr="000D45CC">
        <w:rPr>
          <w:lang w:val="uk-UA"/>
        </w:rPr>
        <w:t xml:space="preserve">" </w:t>
      </w:r>
      <w:r w:rsidRPr="000D45CC">
        <w:rPr>
          <w:bCs/>
          <w:lang w:val="uk-UA"/>
        </w:rPr>
        <w:t>факторинг</w:t>
      </w:r>
      <w:r w:rsidR="000D45CC" w:rsidRPr="000D45CC">
        <w:rPr>
          <w:bCs/>
          <w:lang w:val="uk-UA"/>
        </w:rPr>
        <w:t xml:space="preserve"> </w:t>
      </w:r>
      <w:r w:rsidRPr="000D45CC">
        <w:rPr>
          <w:lang w:val="uk-UA"/>
        </w:rPr>
        <w:t>визначається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придбання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вимоги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постачання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прийняття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ризику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вимог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інкасація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вимог</w:t>
      </w:r>
      <w:r w:rsidR="000D45CC" w:rsidRPr="000D45CC">
        <w:rPr>
          <w:lang w:val="uk-UA"/>
        </w:rPr>
        <w:t>.</w:t>
      </w:r>
    </w:p>
    <w:p w:rsidR="000D45CC" w:rsidRPr="000D45CC" w:rsidRDefault="00AD5DB6" w:rsidP="000D45CC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0D45CC">
        <w:rPr>
          <w:iCs/>
          <w:lang w:val="uk-UA"/>
        </w:rPr>
        <w:t>У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факторингу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беруть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участь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три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сторони</w:t>
      </w:r>
      <w:r w:rsidR="000D45CC" w:rsidRPr="000D45CC">
        <w:rPr>
          <w:iCs/>
          <w:lang w:val="uk-UA"/>
        </w:rPr>
        <w:t>:</w:t>
      </w:r>
    </w:p>
    <w:p w:rsidR="000D45CC" w:rsidRPr="000D45CC" w:rsidRDefault="00AD5DB6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фактор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спеціалізована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установа,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спеціальний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відділ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комерційного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банку</w:t>
      </w:r>
      <w:r w:rsidR="000D45CC" w:rsidRPr="000D45CC">
        <w:rPr>
          <w:lang w:val="uk-UA"/>
        </w:rPr>
        <w:t>);</w:t>
      </w:r>
    </w:p>
    <w:p w:rsidR="000D45CC" w:rsidRPr="000D45CC" w:rsidRDefault="00AD5DB6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постачальник</w:t>
      </w:r>
      <w:r w:rsidR="000D45CC" w:rsidRPr="000D45CC">
        <w:rPr>
          <w:lang w:val="uk-UA"/>
        </w:rPr>
        <w:t>;</w:t>
      </w:r>
    </w:p>
    <w:p w:rsidR="000D45CC" w:rsidRPr="000D45CC" w:rsidRDefault="00AD5DB6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покупець</w:t>
      </w:r>
      <w:r w:rsidR="000D45CC" w:rsidRPr="000D45CC">
        <w:rPr>
          <w:lang w:val="uk-UA"/>
        </w:rPr>
        <w:t>.</w:t>
      </w:r>
    </w:p>
    <w:p w:rsidR="000D45CC" w:rsidRPr="000D45CC" w:rsidRDefault="00AD5DB6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При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факторингу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без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фінансування</w:t>
      </w:r>
      <w:r w:rsidR="000D45CC" w:rsidRPr="000D45CC">
        <w:rPr>
          <w:bCs/>
          <w:lang w:val="uk-UA"/>
        </w:rPr>
        <w:t xml:space="preserve"> </w:t>
      </w:r>
      <w:r w:rsidRPr="000D45CC">
        <w:rPr>
          <w:lang w:val="uk-UA"/>
        </w:rPr>
        <w:t>клієнт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подає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фактору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документи,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підтверджують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відвантаження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фактор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отримати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користь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грошові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кошти,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тобто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роль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фактора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зводиться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інкасування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документів</w:t>
      </w:r>
      <w:r w:rsidR="000D45CC" w:rsidRPr="000D45CC">
        <w:rPr>
          <w:lang w:val="uk-UA"/>
        </w:rPr>
        <w:t>.</w:t>
      </w:r>
    </w:p>
    <w:p w:rsidR="000D45CC" w:rsidRPr="000D45CC" w:rsidRDefault="00AD5DB6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Факторинг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з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фінансуванням</w:t>
      </w:r>
      <w:r w:rsidR="000D45CC" w:rsidRPr="000D45CC">
        <w:rPr>
          <w:bCs/>
          <w:lang w:val="uk-UA"/>
        </w:rPr>
        <w:t xml:space="preserve"> </w:t>
      </w:r>
      <w:r w:rsidRPr="000D45CC">
        <w:rPr>
          <w:lang w:val="uk-UA"/>
        </w:rPr>
        <w:t>полягає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тому,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фактор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купує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рахунки-фактури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виплачує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грошові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кошти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розмірі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80-90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боргу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Решта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10-20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%,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залишилася,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отримує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компенсацію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ризику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погашення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боргу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Після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погашення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боргу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повертає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отриману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клієнту</w:t>
      </w:r>
      <w:r w:rsidR="000D45CC" w:rsidRPr="000D45CC">
        <w:rPr>
          <w:lang w:val="uk-UA"/>
        </w:rPr>
        <w:t>.</w:t>
      </w:r>
    </w:p>
    <w:p w:rsidR="000D45CC" w:rsidRPr="000D45CC" w:rsidRDefault="00AD5DB6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Факторинг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з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правом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регресу</w:t>
      </w:r>
      <w:r w:rsidR="000D45CC" w:rsidRPr="000D45CC">
        <w:rPr>
          <w:bCs/>
          <w:lang w:val="uk-UA"/>
        </w:rPr>
        <w:t xml:space="preserve"> </w:t>
      </w:r>
      <w:r w:rsidRPr="000D45CC">
        <w:rPr>
          <w:lang w:val="uk-UA"/>
        </w:rPr>
        <w:t>передбачає,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банк-фактор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повернення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фактором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несплачених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покупцем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розрахункових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документів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вимогою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повернення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коштів</w:t>
      </w:r>
      <w:r w:rsidR="000D45CC" w:rsidRPr="000D45CC">
        <w:rPr>
          <w:lang w:val="uk-UA"/>
        </w:rPr>
        <w:t>.</w:t>
      </w:r>
    </w:p>
    <w:p w:rsidR="000D45CC" w:rsidRPr="000D45CC" w:rsidRDefault="00AD5DB6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Факторинг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без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права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регресу</w:t>
      </w:r>
      <w:r w:rsidR="000D45CC" w:rsidRPr="000D45CC">
        <w:rPr>
          <w:bCs/>
          <w:lang w:val="uk-UA"/>
        </w:rPr>
        <w:t xml:space="preserve"> </w:t>
      </w:r>
      <w:r w:rsidRPr="000D45CC">
        <w:rPr>
          <w:lang w:val="uk-UA"/>
        </w:rPr>
        <w:t>зумовлює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ризик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фактора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відмові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платника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своїх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зобов'язань</w:t>
      </w:r>
      <w:r w:rsidR="000D45CC" w:rsidRPr="000D45CC">
        <w:rPr>
          <w:lang w:val="uk-UA"/>
        </w:rPr>
        <w:t>.</w:t>
      </w:r>
    </w:p>
    <w:p w:rsidR="000D45CC" w:rsidRPr="000D45CC" w:rsidRDefault="00AD5DB6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bCs/>
          <w:lang w:val="uk-UA"/>
        </w:rPr>
        <w:t>відкритому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факторингу</w:t>
      </w:r>
      <w:r w:rsidR="000D45CC" w:rsidRPr="000D45CC">
        <w:rPr>
          <w:bCs/>
          <w:lang w:val="uk-UA"/>
        </w:rPr>
        <w:t xml:space="preserve"> </w:t>
      </w:r>
      <w:r w:rsidRPr="000D45CC">
        <w:rPr>
          <w:lang w:val="uk-UA"/>
        </w:rPr>
        <w:t>дебіторам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надсилається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повідомлення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укладення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пропонується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здійснити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платежі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безпосередньо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фактору</w:t>
      </w:r>
      <w:r w:rsidR="000D45CC" w:rsidRPr="000D45CC">
        <w:rPr>
          <w:lang w:val="uk-UA"/>
        </w:rPr>
        <w:t>.</w:t>
      </w:r>
    </w:p>
    <w:p w:rsidR="000D45CC" w:rsidRPr="000D45CC" w:rsidRDefault="00AD5DB6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При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закритому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факторингу</w:t>
      </w:r>
      <w:r w:rsidR="000D45CC" w:rsidRPr="000D45CC">
        <w:rPr>
          <w:bCs/>
          <w:lang w:val="uk-UA"/>
        </w:rPr>
        <w:t xml:space="preserve"> </w:t>
      </w:r>
      <w:r w:rsidRPr="000D45CC">
        <w:rPr>
          <w:lang w:val="uk-UA"/>
        </w:rPr>
        <w:t>дебітори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направляють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кошти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розраховується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фактором</w:t>
      </w:r>
      <w:r w:rsidR="000D45CC" w:rsidRPr="000D45CC">
        <w:rPr>
          <w:lang w:val="uk-UA"/>
        </w:rPr>
        <w:t>.</w:t>
      </w:r>
    </w:p>
    <w:p w:rsidR="000D45CC" w:rsidRPr="000D45CC" w:rsidRDefault="00AD5DB6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Внутрішній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факторинг</w:t>
      </w:r>
      <w:r w:rsidR="000D45CC" w:rsidRPr="000D45CC">
        <w:rPr>
          <w:bCs/>
          <w:lang w:val="uk-UA"/>
        </w:rPr>
        <w:t xml:space="preserve"> - </w:t>
      </w:r>
      <w:r w:rsidRPr="000D45CC">
        <w:rPr>
          <w:lang w:val="uk-UA"/>
        </w:rPr>
        <w:t>коли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постачальник,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фактор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перебувають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одній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країні</w:t>
      </w:r>
      <w:r w:rsidR="000D45CC" w:rsidRPr="000D45CC">
        <w:rPr>
          <w:lang w:val="uk-UA"/>
        </w:rPr>
        <w:t>.</w:t>
      </w:r>
    </w:p>
    <w:p w:rsidR="000D45CC" w:rsidRPr="000D45CC" w:rsidRDefault="00AD5DB6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Зовнішній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факторинг</w:t>
      </w:r>
      <w:r w:rsidR="000D45CC" w:rsidRPr="000D45CC">
        <w:rPr>
          <w:bCs/>
          <w:lang w:val="uk-UA"/>
        </w:rPr>
        <w:t xml:space="preserve"> - </w:t>
      </w:r>
      <w:r w:rsidRPr="000D45CC">
        <w:rPr>
          <w:lang w:val="uk-UA"/>
        </w:rPr>
        <w:t>коли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один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учасників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перебуває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країні</w:t>
      </w:r>
      <w:r w:rsidR="000D45CC" w:rsidRPr="000D45CC">
        <w:rPr>
          <w:lang w:val="uk-UA"/>
        </w:rPr>
        <w:t>.</w:t>
      </w:r>
    </w:p>
    <w:p w:rsidR="000D45CC" w:rsidRPr="000D45CC" w:rsidRDefault="00AD5DB6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Простий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факторинг</w:t>
      </w:r>
      <w:r w:rsidR="000D45CC" w:rsidRPr="000D45CC">
        <w:rPr>
          <w:bCs/>
          <w:lang w:val="uk-UA"/>
        </w:rPr>
        <w:t xml:space="preserve"> - </w:t>
      </w:r>
      <w:r w:rsidRPr="000D45CC">
        <w:rPr>
          <w:lang w:val="uk-UA"/>
        </w:rPr>
        <w:t>коли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об'єктами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факторингу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рахунки-фактури</w:t>
      </w:r>
      <w:r w:rsidR="000D45CC" w:rsidRPr="000D45CC">
        <w:rPr>
          <w:lang w:val="uk-UA"/>
        </w:rPr>
        <w:t>.</w:t>
      </w:r>
    </w:p>
    <w:p w:rsidR="000D45CC" w:rsidRPr="000D45CC" w:rsidRDefault="00AD5DB6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Вексельний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факторинг</w:t>
      </w:r>
      <w:r w:rsidR="000D45CC" w:rsidRPr="000D45CC">
        <w:rPr>
          <w:bCs/>
          <w:lang w:val="uk-UA"/>
        </w:rPr>
        <w:t xml:space="preserve"> - </w:t>
      </w:r>
      <w:r w:rsidRPr="000D45CC">
        <w:rPr>
          <w:lang w:val="uk-UA"/>
        </w:rPr>
        <w:t>коли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об'єктом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векселі,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виписані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постачальника,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обліковуються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фактором</w:t>
      </w:r>
      <w:r w:rsidR="000D45CC" w:rsidRPr="000D45CC">
        <w:rPr>
          <w:lang w:val="uk-UA"/>
        </w:rPr>
        <w:t>.</w:t>
      </w:r>
    </w:p>
    <w:p w:rsidR="000D45CC" w:rsidRPr="000D45CC" w:rsidRDefault="00AD5DB6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Факторинг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за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партіями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товарів</w:t>
      </w:r>
      <w:r w:rsidR="000D45CC" w:rsidRPr="000D45CC">
        <w:rPr>
          <w:bCs/>
          <w:lang w:val="uk-UA"/>
        </w:rPr>
        <w:t xml:space="preserve"> - </w:t>
      </w:r>
      <w:r w:rsidRPr="000D45CC">
        <w:rPr>
          <w:lang w:val="uk-UA"/>
        </w:rPr>
        <w:t>коли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відкритий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рахунків-фактур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партіями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платники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переказують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фактору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платежі,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призначені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постачальнику</w:t>
      </w:r>
      <w:r w:rsidR="000D45CC" w:rsidRPr="000D45CC">
        <w:rPr>
          <w:lang w:val="uk-UA"/>
        </w:rPr>
        <w:t>.</w:t>
      </w:r>
    </w:p>
    <w:p w:rsidR="000D45CC" w:rsidRPr="000D45CC" w:rsidRDefault="00AD5DB6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Факторинг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агентського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типу</w:t>
      </w:r>
      <w:r w:rsidR="000D45CC" w:rsidRPr="000D45CC">
        <w:rPr>
          <w:bCs/>
          <w:lang w:val="uk-UA"/>
        </w:rPr>
        <w:t xml:space="preserve"> - </w:t>
      </w:r>
      <w:r w:rsidRPr="000D45CC">
        <w:rPr>
          <w:lang w:val="uk-UA"/>
        </w:rPr>
        <w:t>коли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дисконтуються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продажі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окремим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покупцям,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кредит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забезпечується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фактором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відкриттям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спеціальних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рахунків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конкретні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>.</w:t>
      </w:r>
    </w:p>
    <w:p w:rsidR="000D45CC" w:rsidRPr="000D45CC" w:rsidRDefault="00E36409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Форфейтинг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схожий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факторинг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Але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факторинг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використовують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кредитування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короткострокової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заборгованості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всередині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країни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кордоном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правило,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через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придбання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всіх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вимог,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форфейтування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інструментом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кредитування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окремих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експортних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вимог,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зазвичай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середньострокових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Спільне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факторингом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форфейтингом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полягає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тому,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методи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використовують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скорочення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заборгованості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балансі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результаті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продажу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вимог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0D45CC">
        <w:rPr>
          <w:iCs/>
          <w:lang w:val="uk-UA"/>
        </w:rPr>
        <w:t>Переваги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форфе</w:t>
      </w:r>
      <w:r w:rsidR="0048641A" w:rsidRPr="000D45CC">
        <w:rPr>
          <w:iCs/>
          <w:lang w:val="uk-UA"/>
        </w:rPr>
        <w:t>й</w:t>
      </w:r>
      <w:r w:rsidRPr="000D45CC">
        <w:rPr>
          <w:iCs/>
          <w:lang w:val="uk-UA"/>
        </w:rPr>
        <w:t>тингу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для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клієнта</w:t>
      </w:r>
      <w:r w:rsidR="000D45CC" w:rsidRPr="000D45CC">
        <w:rPr>
          <w:iCs/>
          <w:lang w:val="uk-UA"/>
        </w:rPr>
        <w:t>:</w:t>
      </w:r>
    </w:p>
    <w:p w:rsidR="000D45CC" w:rsidRPr="000D45CC" w:rsidRDefault="000645C5" w:rsidP="000D45CC">
      <w:pPr>
        <w:numPr>
          <w:ilvl w:val="0"/>
          <w:numId w:val="1"/>
        </w:numPr>
        <w:shd w:val="clear" w:color="auto" w:fill="FFFFFF"/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існує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ризику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процентних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ставок</w:t>
      </w:r>
      <w:r w:rsidR="000D45CC" w:rsidRPr="000D45CC">
        <w:rPr>
          <w:lang w:val="uk-UA"/>
        </w:rPr>
        <w:t>;</w:t>
      </w:r>
    </w:p>
    <w:p w:rsidR="000D45CC" w:rsidRPr="000D45CC" w:rsidRDefault="000645C5" w:rsidP="000D45CC">
      <w:pPr>
        <w:numPr>
          <w:ilvl w:val="0"/>
          <w:numId w:val="1"/>
        </w:numPr>
        <w:shd w:val="clear" w:color="auto" w:fill="FFFFFF"/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відсутність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витрат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інкасування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стягнення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дорученням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клієнта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боргу</w:t>
      </w:r>
      <w:r w:rsidR="000D45CC" w:rsidRPr="000D45CC">
        <w:rPr>
          <w:lang w:val="uk-UA"/>
        </w:rPr>
        <w:t>;</w:t>
      </w:r>
    </w:p>
    <w:p w:rsidR="000D45CC" w:rsidRPr="000D45CC" w:rsidRDefault="000645C5" w:rsidP="000D45CC">
      <w:pPr>
        <w:numPr>
          <w:ilvl w:val="0"/>
          <w:numId w:val="1"/>
        </w:numPr>
        <w:shd w:val="clear" w:color="auto" w:fill="FFFFFF"/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усунення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валютних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ризиків</w:t>
      </w:r>
      <w:r w:rsidR="000D45CC" w:rsidRPr="000D45CC">
        <w:rPr>
          <w:lang w:val="uk-UA"/>
        </w:rPr>
        <w:t>;</w:t>
      </w:r>
    </w:p>
    <w:p w:rsidR="000D45CC" w:rsidRPr="000D45CC" w:rsidRDefault="000645C5" w:rsidP="000D45CC">
      <w:pPr>
        <w:numPr>
          <w:ilvl w:val="0"/>
          <w:numId w:val="1"/>
        </w:numPr>
        <w:shd w:val="clear" w:color="auto" w:fill="FFFFFF"/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відсутність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політичного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ризику</w:t>
      </w:r>
      <w:r w:rsidR="000D45CC" w:rsidRPr="000D45CC">
        <w:rPr>
          <w:lang w:val="uk-UA"/>
        </w:rPr>
        <w:t>;</w:t>
      </w:r>
    </w:p>
    <w:p w:rsidR="000D45CC" w:rsidRPr="000D45CC" w:rsidRDefault="000645C5" w:rsidP="000D45CC">
      <w:pPr>
        <w:numPr>
          <w:ilvl w:val="0"/>
          <w:numId w:val="1"/>
        </w:numPr>
        <w:shd w:val="clear" w:color="auto" w:fill="FFFFFF"/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відсутність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ризику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неплатежу</w:t>
      </w:r>
      <w:r w:rsidR="000D45CC" w:rsidRPr="000D45CC">
        <w:rPr>
          <w:lang w:val="uk-UA"/>
        </w:rPr>
        <w:t>;</w:t>
      </w:r>
    </w:p>
    <w:p w:rsidR="000D45CC" w:rsidRPr="000D45CC" w:rsidRDefault="000645C5" w:rsidP="000D45CC">
      <w:pPr>
        <w:numPr>
          <w:ilvl w:val="0"/>
          <w:numId w:val="1"/>
        </w:numPr>
        <w:shd w:val="clear" w:color="auto" w:fill="FFFFFF"/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поліпшення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ліквідної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позиції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експортера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iCs/>
          <w:lang w:val="uk-UA"/>
        </w:rPr>
        <w:t>недоліків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форфеитингу</w:t>
      </w:r>
      <w:r w:rsidR="000D45CC" w:rsidRPr="000D45CC">
        <w:rPr>
          <w:iCs/>
          <w:lang w:val="uk-UA"/>
        </w:rPr>
        <w:t xml:space="preserve"> </w:t>
      </w:r>
      <w:r w:rsidRPr="000D45CC">
        <w:rPr>
          <w:lang w:val="uk-UA"/>
        </w:rPr>
        <w:t>належать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такі</w:t>
      </w:r>
      <w:r w:rsidR="000D45CC" w:rsidRPr="000D45CC">
        <w:rPr>
          <w:lang w:val="uk-UA"/>
        </w:rPr>
        <w:t>:</w:t>
      </w:r>
    </w:p>
    <w:p w:rsidR="000D45CC" w:rsidRPr="000D45CC" w:rsidRDefault="000645C5" w:rsidP="000D45CC">
      <w:pPr>
        <w:numPr>
          <w:ilvl w:val="0"/>
          <w:numId w:val="1"/>
        </w:numPr>
        <w:shd w:val="clear" w:color="auto" w:fill="FFFFFF"/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висока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вартість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>;</w:t>
      </w:r>
    </w:p>
    <w:p w:rsidR="000D45CC" w:rsidRPr="000D45CC" w:rsidRDefault="000645C5" w:rsidP="000D45CC">
      <w:pPr>
        <w:numPr>
          <w:ilvl w:val="0"/>
          <w:numId w:val="1"/>
        </w:numPr>
        <w:shd w:val="clear" w:color="auto" w:fill="FFFFFF"/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складність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знайти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форфейтера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Форфейтинг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застосовують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операціях</w:t>
      </w:r>
      <w:r w:rsidR="000D45CC" w:rsidRPr="000D45CC">
        <w:rPr>
          <w:lang w:val="uk-UA"/>
        </w:rPr>
        <w:t>:</w:t>
      </w:r>
    </w:p>
    <w:p w:rsidR="000D45CC" w:rsidRPr="000D45CC" w:rsidRDefault="000645C5" w:rsidP="000D45CC">
      <w:pPr>
        <w:numPr>
          <w:ilvl w:val="0"/>
          <w:numId w:val="1"/>
        </w:numPr>
        <w:shd w:val="clear" w:color="auto" w:fill="FFFFFF"/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фінансових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метою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швидкої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реалізації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довгострокових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зобов'язань</w:t>
      </w:r>
      <w:r w:rsidR="000D45CC" w:rsidRPr="000D45CC">
        <w:rPr>
          <w:lang w:val="uk-UA"/>
        </w:rPr>
        <w:t>;</w:t>
      </w:r>
    </w:p>
    <w:p w:rsidR="000D45CC" w:rsidRPr="000D45CC" w:rsidRDefault="000645C5" w:rsidP="000D45CC">
      <w:pPr>
        <w:numPr>
          <w:ilvl w:val="0"/>
          <w:numId w:val="1"/>
        </w:numPr>
        <w:shd w:val="clear" w:color="auto" w:fill="FFFFFF"/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експортних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сприяння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надходженню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готівки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експортеру,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надав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кредит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зарубіжному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покупцеві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iCs/>
          <w:lang w:val="uk-UA"/>
        </w:rPr>
        <w:t>вартість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форфе</w:t>
      </w:r>
      <w:r w:rsidR="00EA1E8D" w:rsidRPr="000D45CC">
        <w:rPr>
          <w:iCs/>
          <w:lang w:val="uk-UA"/>
        </w:rPr>
        <w:t>й</w:t>
      </w:r>
      <w:r w:rsidRPr="000D45CC">
        <w:rPr>
          <w:iCs/>
          <w:lang w:val="uk-UA"/>
        </w:rPr>
        <w:t>тингу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входять</w:t>
      </w:r>
      <w:r w:rsidR="000D45CC" w:rsidRPr="000D45CC">
        <w:rPr>
          <w:iCs/>
          <w:lang w:val="uk-UA"/>
        </w:rPr>
        <w:t>: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прибуток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форфейтера</w:t>
      </w:r>
      <w:r w:rsidR="000D45CC" w:rsidRPr="000D45CC">
        <w:rPr>
          <w:lang w:val="uk-UA"/>
        </w:rPr>
        <w:t>;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вартість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грошових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коштів</w:t>
      </w:r>
      <w:r w:rsidR="000D45CC" w:rsidRPr="000D45CC">
        <w:rPr>
          <w:lang w:val="uk-UA"/>
        </w:rPr>
        <w:t>;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покриття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комерційного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ризику</w:t>
      </w:r>
      <w:r w:rsidR="000D45CC" w:rsidRPr="000D45CC">
        <w:rPr>
          <w:lang w:val="uk-UA"/>
        </w:rPr>
        <w:t>;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покриття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політичного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ризику</w:t>
      </w:r>
      <w:r w:rsidR="000D45CC" w:rsidRPr="000D45CC">
        <w:rPr>
          <w:lang w:val="uk-UA"/>
        </w:rPr>
        <w:t>;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покриття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валютного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ризику</w:t>
      </w:r>
      <w:r w:rsidR="000D45CC" w:rsidRPr="000D45CC">
        <w:rPr>
          <w:lang w:val="uk-UA"/>
        </w:rPr>
        <w:t>;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покриття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процентного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ризику</w:t>
      </w:r>
      <w:r w:rsidR="000D45CC" w:rsidRPr="000D45CC">
        <w:rPr>
          <w:lang w:val="uk-UA"/>
        </w:rPr>
        <w:t>.</w:t>
      </w:r>
    </w:p>
    <w:p w:rsidR="000645C5" w:rsidRPr="000D45CC" w:rsidRDefault="000645C5" w:rsidP="000D45CC">
      <w:pPr>
        <w:shd w:val="clear" w:color="auto" w:fill="FFFFFF"/>
        <w:tabs>
          <w:tab w:val="left" w:pos="726"/>
        </w:tabs>
        <w:rPr>
          <w:b/>
          <w:i/>
          <w:lang w:val="uk-UA"/>
        </w:rPr>
      </w:pPr>
      <w:r w:rsidRPr="000D45CC">
        <w:rPr>
          <w:b/>
          <w:bCs/>
          <w:i/>
          <w:lang w:val="uk-UA"/>
        </w:rPr>
        <w:t>Гарантійні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операції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банків</w:t>
      </w:r>
      <w:r w:rsidR="000D45CC" w:rsidRPr="000D45CC">
        <w:rPr>
          <w:b/>
          <w:bCs/>
          <w:i/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Гарантійні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операції</w:t>
      </w:r>
      <w:r w:rsidR="000D45CC" w:rsidRPr="000D45CC">
        <w:rPr>
          <w:bCs/>
          <w:lang w:val="uk-UA"/>
        </w:rPr>
        <w:t xml:space="preserve"> </w:t>
      </w:r>
      <w:r w:rsidRPr="000D45CC">
        <w:rPr>
          <w:lang w:val="uk-UA"/>
        </w:rPr>
        <w:t>полягають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виплатити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борг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останній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зможе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захоче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виконати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зобов'язання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D45CC">
        <w:rPr>
          <w:lang w:val="uk-UA"/>
        </w:rPr>
        <w:t>Плата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гарантійних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bCs/>
          <w:lang w:val="uk-UA"/>
        </w:rPr>
        <w:t>комісія</w:t>
      </w:r>
      <w:r w:rsidR="000D45CC" w:rsidRPr="000D45CC">
        <w:rPr>
          <w:bCs/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Банківські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гарантії,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особливо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відомих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платоспроможністю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фактично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означають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доступ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кредиту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Поручительство</w:t>
      </w:r>
      <w:r w:rsidR="000D45CC" w:rsidRPr="000D45CC">
        <w:rPr>
          <w:bCs/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однією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гарантії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договір,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згідно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особа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поручитель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бере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себе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кредитором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відповідальність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боржником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повному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обсязі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тільки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частково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Поручительство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відсутності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домовленості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забезпечує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тільки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основне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головного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боржника,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додаткові,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виникають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основного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закону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наприклад,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сплатити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законні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проценти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прострочення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платежу,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відшкодування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збитків,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відбулись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невиконанні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зобов'язання,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сплату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договірної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неустойки</w:t>
      </w:r>
      <w:r w:rsidR="000D45CC" w:rsidRPr="000D45CC">
        <w:rPr>
          <w:lang w:val="uk-UA"/>
        </w:rPr>
        <w:t>).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Платіжне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зобов'язання</w:t>
      </w:r>
      <w:r w:rsidR="000D45CC" w:rsidRPr="000D45CC">
        <w:rPr>
          <w:bCs/>
          <w:lang w:val="uk-UA"/>
        </w:rPr>
        <w:t xml:space="preserve">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форма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гарантії,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створює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абстрактне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акцесорне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зобов'язання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бенефіціара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покупця</w:t>
      </w:r>
      <w:r w:rsidR="000D45CC" w:rsidRPr="000D45CC">
        <w:rPr>
          <w:lang w:val="uk-UA"/>
        </w:rPr>
        <w:t xml:space="preserve">). </w:t>
      </w:r>
      <w:r w:rsidRPr="000D45CC">
        <w:rPr>
          <w:lang w:val="uk-UA"/>
        </w:rPr>
        <w:t>Гарант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залишається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навіть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тоді,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зобов'язання,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становить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основу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якихось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причин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втрачено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Він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повинен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заперечення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здійснити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платіж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першу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вимогу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Тому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буде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тільки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перевіряти,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правильно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запитана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тобто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формальні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умови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згідно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текстом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гарантії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Він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перевірятиме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матеріальну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правомірність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пред'явлення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вимог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гарантією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Відклична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банківська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гарантія</w:t>
      </w:r>
      <w:r w:rsidR="000D45CC" w:rsidRPr="000D45CC">
        <w:rPr>
          <w:bCs/>
          <w:lang w:val="uk-UA"/>
        </w:rPr>
        <w:t xml:space="preserve">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відкликана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умови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можуть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змінені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попереднього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повідомлення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бенефіціара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Така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містить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твердого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бенефіціаром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отже,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достатнім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забезпеченням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бенефіціара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практиці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міжнародних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розрахунків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відклична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банківська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практично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використовується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Безвідклична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банківська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гарантія</w:t>
      </w:r>
      <w:r w:rsidR="000D45CC" w:rsidRPr="000D45CC">
        <w:rPr>
          <w:bCs/>
          <w:lang w:val="uk-UA"/>
        </w:rPr>
        <w:t xml:space="preserve">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відкликана,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умови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можуть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змінюватись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згоди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бенефіціара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Бенефіціару,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хоче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отримати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тверде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доцільніше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використовувати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саме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тип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гарантії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Умовні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гарантії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гарантії,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реалізації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дотримуватись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певні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умови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Вони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меншою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мірою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вигідні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бенефіціару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Платіжні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гарантії</w:t>
      </w:r>
      <w:r w:rsidR="000D45CC" w:rsidRPr="000D45CC">
        <w:rPr>
          <w:bCs/>
          <w:lang w:val="uk-UA"/>
        </w:rPr>
        <w:t xml:space="preserve"> </w:t>
      </w:r>
      <w:r w:rsidRPr="000D45CC">
        <w:rPr>
          <w:lang w:val="uk-UA"/>
        </w:rPr>
        <w:t>виставляються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банками-гарантами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забезпечення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платіжних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покупців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боржників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щодо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продавців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кредиторів</w:t>
      </w:r>
      <w:r w:rsidR="000D45CC" w:rsidRPr="000D45CC">
        <w:rPr>
          <w:lang w:val="uk-UA"/>
        </w:rPr>
        <w:t xml:space="preserve">). </w:t>
      </w:r>
      <w:r w:rsidRPr="000D45CC">
        <w:rPr>
          <w:lang w:val="uk-UA"/>
        </w:rPr>
        <w:t>Такі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використовують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міжнародних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розрахунках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відкритим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рахунком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формі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інкасо,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розрахунках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умовах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комерційного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кредиту,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захищаючи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інтереси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експортерів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продавців</w:t>
      </w:r>
      <w:r w:rsidR="000D45CC" w:rsidRPr="000D45CC">
        <w:rPr>
          <w:lang w:val="uk-UA"/>
        </w:rPr>
        <w:t>).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Договірні</w:t>
      </w:r>
      <w:r w:rsidR="000D45CC" w:rsidRPr="000D45CC">
        <w:rPr>
          <w:bCs/>
          <w:lang w:val="uk-UA"/>
        </w:rPr>
        <w:t xml:space="preserve"> (</w:t>
      </w:r>
      <w:r w:rsidRPr="000D45CC">
        <w:rPr>
          <w:bCs/>
          <w:lang w:val="uk-UA"/>
        </w:rPr>
        <w:t>контрактні</w:t>
      </w:r>
      <w:r w:rsidR="000D45CC" w:rsidRPr="000D45CC">
        <w:rPr>
          <w:bCs/>
          <w:lang w:val="uk-UA"/>
        </w:rPr>
        <w:t xml:space="preserve">) </w:t>
      </w:r>
      <w:r w:rsidRPr="000D45CC">
        <w:rPr>
          <w:bCs/>
          <w:lang w:val="uk-UA"/>
        </w:rPr>
        <w:t>гарантії</w:t>
      </w:r>
      <w:r w:rsidR="000D45CC" w:rsidRPr="000D45CC">
        <w:rPr>
          <w:bCs/>
          <w:lang w:val="uk-UA"/>
        </w:rPr>
        <w:t xml:space="preserve"> </w:t>
      </w:r>
      <w:r w:rsidRPr="000D45CC">
        <w:rPr>
          <w:lang w:val="uk-UA"/>
        </w:rPr>
        <w:t>забезпечують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платежі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будь-якими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договорами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наприклад,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постачання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певної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послуги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виставляються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забезпеченн</w:t>
      </w:r>
      <w:r w:rsidR="008A0040" w:rsidRPr="000D45CC">
        <w:rPr>
          <w:lang w:val="uk-UA"/>
        </w:rPr>
        <w:t>я</w:t>
      </w:r>
      <w:r w:rsidR="000D45CC" w:rsidRPr="000D45CC">
        <w:rPr>
          <w:lang w:val="uk-UA"/>
        </w:rPr>
        <w:t xml:space="preserve"> </w:t>
      </w:r>
      <w:r w:rsidR="008A0040" w:rsidRPr="000D45CC">
        <w:rPr>
          <w:lang w:val="uk-UA"/>
        </w:rPr>
        <w:t>інтересів</w:t>
      </w:r>
      <w:r w:rsidR="000D45CC" w:rsidRPr="000D45CC">
        <w:rPr>
          <w:lang w:val="uk-UA"/>
        </w:rPr>
        <w:t xml:space="preserve"> </w:t>
      </w:r>
      <w:r w:rsidR="008A0040" w:rsidRPr="000D45CC">
        <w:rPr>
          <w:lang w:val="uk-UA"/>
        </w:rPr>
        <w:t>покупця</w:t>
      </w:r>
      <w:r w:rsidR="000D45CC" w:rsidRPr="000D45CC">
        <w:rPr>
          <w:lang w:val="uk-UA"/>
        </w:rPr>
        <w:t xml:space="preserve"> (</w:t>
      </w:r>
      <w:r w:rsidR="008A0040" w:rsidRPr="000D45CC">
        <w:rPr>
          <w:lang w:val="uk-UA"/>
        </w:rPr>
        <w:t>імпортера</w:t>
      </w:r>
      <w:r w:rsidR="000D45CC" w:rsidRPr="000D45CC">
        <w:rPr>
          <w:lang w:val="uk-UA"/>
        </w:rPr>
        <w:t>).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Розглянемо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основні</w:t>
      </w:r>
      <w:r w:rsidR="000D45CC" w:rsidRPr="000D45CC">
        <w:rPr>
          <w:lang w:val="uk-UA"/>
        </w:rPr>
        <w:t xml:space="preserve"> </w:t>
      </w:r>
      <w:r w:rsidRPr="000D45CC">
        <w:rPr>
          <w:bCs/>
          <w:iCs/>
          <w:lang w:val="uk-UA"/>
        </w:rPr>
        <w:t>види</w:t>
      </w:r>
      <w:r w:rsidR="000D45CC" w:rsidRPr="000D45CC">
        <w:rPr>
          <w:bCs/>
          <w:iCs/>
          <w:lang w:val="uk-UA"/>
        </w:rPr>
        <w:t xml:space="preserve"> </w:t>
      </w:r>
      <w:r w:rsidRPr="000D45CC">
        <w:rPr>
          <w:bCs/>
          <w:iCs/>
          <w:lang w:val="uk-UA"/>
        </w:rPr>
        <w:t>договірних</w:t>
      </w:r>
      <w:r w:rsidR="000D45CC" w:rsidRPr="000D45CC">
        <w:rPr>
          <w:bCs/>
          <w:iCs/>
          <w:lang w:val="uk-UA"/>
        </w:rPr>
        <w:t xml:space="preserve"> </w:t>
      </w:r>
      <w:r w:rsidRPr="000D45CC">
        <w:rPr>
          <w:bCs/>
          <w:iCs/>
          <w:lang w:val="uk-UA"/>
        </w:rPr>
        <w:t>гарантій,</w:t>
      </w:r>
      <w:r w:rsidR="000D45CC" w:rsidRPr="000D45CC">
        <w:rPr>
          <w:bCs/>
          <w:iCs/>
          <w:lang w:val="uk-UA"/>
        </w:rPr>
        <w:t xml:space="preserve"> </w:t>
      </w:r>
      <w:r w:rsidRPr="000D45CC">
        <w:rPr>
          <w:lang w:val="uk-UA"/>
        </w:rPr>
        <w:t>найпоширеніші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міжнародних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операціях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Гарантія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повернення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авансу</w:t>
      </w:r>
      <w:r w:rsidR="000D45CC" w:rsidRPr="000D45CC">
        <w:rPr>
          <w:bCs/>
          <w:lang w:val="uk-UA"/>
        </w:rPr>
        <w:t xml:space="preserve"> (</w:t>
      </w:r>
      <w:r w:rsidRPr="000D45CC">
        <w:rPr>
          <w:lang w:val="uk-UA"/>
        </w:rPr>
        <w:t>гарантія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авансових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платежів</w:t>
      </w:r>
      <w:r w:rsidR="000D45CC" w:rsidRPr="000D45CC">
        <w:rPr>
          <w:lang w:val="uk-UA"/>
        </w:rPr>
        <w:t xml:space="preserve">)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повернення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авансу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невикористаної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частини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разі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невиконання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продавцем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підрядчиком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закріплених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контракті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обов'язків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постачання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товару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виконання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робіт</w:t>
      </w:r>
      <w:r w:rsidR="000D45CC" w:rsidRPr="000D45CC">
        <w:rPr>
          <w:lang w:val="uk-UA"/>
        </w:rPr>
        <w:t xml:space="preserve">). </w:t>
      </w:r>
      <w:r w:rsidRPr="000D45CC">
        <w:rPr>
          <w:lang w:val="uk-UA"/>
        </w:rPr>
        <w:t>Така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дорученням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підрядчика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експортера</w:t>
      </w:r>
      <w:r w:rsidR="000D45CC" w:rsidRPr="000D45CC">
        <w:rPr>
          <w:lang w:val="uk-UA"/>
        </w:rPr>
        <w:t xml:space="preserve">), </w:t>
      </w:r>
      <w:r w:rsidRPr="000D45CC">
        <w:rPr>
          <w:lang w:val="uk-UA"/>
        </w:rPr>
        <w:t>який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умов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контракту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отримує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авансом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вартість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частину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Аванс,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правило,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становить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10-20%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контракту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Гарантії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авансового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платежу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завжди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складають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формі,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вони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вводилися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тільки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після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отримання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продавцем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узгодженого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авансу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Гарантія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виконання</w:t>
      </w:r>
      <w:r w:rsidR="000D45CC" w:rsidRPr="000D45CC">
        <w:rPr>
          <w:bCs/>
          <w:lang w:val="uk-UA"/>
        </w:rPr>
        <w:t xml:space="preserve"> (</w:t>
      </w:r>
      <w:r w:rsidRPr="000D45CC">
        <w:rPr>
          <w:lang w:val="uk-UA"/>
        </w:rPr>
        <w:t>виконання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контракту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забезпечує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сплату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банком-гарантом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штрафів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вимогу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бенефіціара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Гарантія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дорученням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продавця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підрядчика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експортера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користь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покупця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імпортера</w:t>
      </w:r>
      <w:r w:rsidR="000D45CC" w:rsidRPr="000D45CC">
        <w:rPr>
          <w:lang w:val="uk-UA"/>
        </w:rPr>
        <w:t xml:space="preserve">). </w:t>
      </w:r>
      <w:r w:rsidRPr="000D45CC">
        <w:rPr>
          <w:lang w:val="uk-UA"/>
        </w:rPr>
        <w:t>Умови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контрактів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особливо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зовнішньоторговельних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зазвичай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передбачають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санкції,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застосовуються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продавця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підрядчика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експортера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разі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невиконання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неналежного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своїх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зобов'язань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Такими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санкціями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штрафи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Найчастіше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видаються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здійсненні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підрядного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будівництва,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сума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завжди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перевищує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10-15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контракту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Гарантія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коносамента</w:t>
      </w:r>
      <w:r w:rsidR="000D45CC" w:rsidRPr="000D45CC">
        <w:rPr>
          <w:bCs/>
          <w:lang w:val="uk-UA"/>
        </w:rPr>
        <w:t xml:space="preserve"> (</w:t>
      </w:r>
      <w:r w:rsidRPr="000D45CC">
        <w:rPr>
          <w:lang w:val="uk-UA"/>
        </w:rPr>
        <w:t>гарантія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втрачений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коносамент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документ,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перевізником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вантажу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відправнику,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посвідчує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прийняття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вантажу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перевезення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містить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доставити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вантаж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пункт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призначення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отримувачу</w:t>
      </w:r>
      <w:r w:rsidR="000D45CC" w:rsidRPr="000D45CC">
        <w:rPr>
          <w:lang w:val="uk-UA"/>
        </w:rPr>
        <w:t xml:space="preserve">) - </w:t>
      </w:r>
      <w:r w:rsidRPr="000D45CC">
        <w:rPr>
          <w:lang w:val="uk-UA"/>
        </w:rPr>
        <w:t>зобов'язання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здійснювати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витрати,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виникають,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виявиться,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приймальник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правомірним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отримувачем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Цей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найчастіше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використовують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тоді,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платіж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забезпечується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акредитивом,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уже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перебуває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порту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призначення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Сума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коносаменту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встановлюється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розмірі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вартості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плюс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маржа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150-200%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вартості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вантажу</w:t>
      </w:r>
      <w:r w:rsidR="000D45CC" w:rsidRPr="000D45CC">
        <w:rPr>
          <w:lang w:val="uk-UA"/>
        </w:rPr>
        <w:t xml:space="preserve">). </w:t>
      </w:r>
      <w:r w:rsidRPr="000D45CC">
        <w:rPr>
          <w:lang w:val="uk-UA"/>
        </w:rPr>
        <w:t>Термін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лімітується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моменту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подання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оригіналів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коносаменту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Митна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гарантія</w:t>
      </w:r>
      <w:r w:rsidR="000D45CC" w:rsidRPr="000D45CC">
        <w:rPr>
          <w:bCs/>
          <w:lang w:val="uk-UA"/>
        </w:rPr>
        <w:t xml:space="preserve"> (</w:t>
      </w:r>
      <w:r w:rsidRPr="000D45CC">
        <w:rPr>
          <w:lang w:val="uk-UA"/>
        </w:rPr>
        <w:t>гарантія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митного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очищення,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тимчасового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ввезення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видається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дорученням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підрядчиків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забезпечення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безмитного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тимчасового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ввезення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обладнання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матеріалів,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необхідних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будівництва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об'єктів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робіт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Гарантія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якості</w:t>
      </w:r>
      <w:r w:rsidR="000D45CC" w:rsidRPr="000D45CC">
        <w:rPr>
          <w:bCs/>
          <w:lang w:val="uk-UA"/>
        </w:rPr>
        <w:t xml:space="preserve"> </w:t>
      </w:r>
      <w:r w:rsidRPr="000D45CC">
        <w:rPr>
          <w:lang w:val="uk-UA"/>
        </w:rPr>
        <w:t>забезпечує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покупцеві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імпортерові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гарантії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разі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отримання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неякісних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товарів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Цю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випадок,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постачальник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зверненні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нього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усуне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певних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недоліків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Сума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вказується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контракті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становить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5-20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вартості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Гарантія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поставки</w:t>
      </w:r>
      <w:r w:rsidR="000D45CC" w:rsidRPr="000D45CC">
        <w:rPr>
          <w:bCs/>
          <w:lang w:val="uk-UA"/>
        </w:rPr>
        <w:t xml:space="preserve"> </w:t>
      </w:r>
      <w:r w:rsidRPr="000D45CC">
        <w:rPr>
          <w:lang w:val="uk-UA"/>
        </w:rPr>
        <w:t>забезпечує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покупця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імпортера</w:t>
      </w:r>
      <w:r w:rsidR="000D45CC" w:rsidRPr="000D45CC">
        <w:rPr>
          <w:lang w:val="uk-UA"/>
        </w:rPr>
        <w:t xml:space="preserve">), </w:t>
      </w:r>
      <w:r w:rsidRPr="000D45CC">
        <w:rPr>
          <w:lang w:val="uk-UA"/>
        </w:rPr>
        <w:t>якщо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продавець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поставить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надасть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зазначений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строк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вона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близька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виконання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Гарантія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обслуговування</w:t>
      </w:r>
      <w:r w:rsidR="000D45CC" w:rsidRPr="000D45CC">
        <w:rPr>
          <w:bCs/>
          <w:lang w:val="uk-UA"/>
        </w:rPr>
        <w:t xml:space="preserve"> </w:t>
      </w:r>
      <w:r w:rsidRPr="000D45CC">
        <w:rPr>
          <w:lang w:val="uk-UA"/>
        </w:rPr>
        <w:t>передбачає,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після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завершення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робіт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будівельник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період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обслуговування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об'єкта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Такі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можуть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використовуватись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укладенні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контрактів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будівництво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об'єктів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моменту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отримання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грошей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замовника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Судова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гарантія</w:t>
      </w:r>
      <w:r w:rsidR="000D45CC" w:rsidRPr="000D45CC">
        <w:rPr>
          <w:bCs/>
          <w:lang w:val="uk-UA"/>
        </w:rPr>
        <w:t xml:space="preserve"> </w:t>
      </w:r>
      <w:r w:rsidRPr="000D45CC">
        <w:rPr>
          <w:lang w:val="uk-UA"/>
        </w:rPr>
        <w:t>забезпечує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витрати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процесу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сторін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судових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процесах,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завершуються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користь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судових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інстанцій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сторін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Гарантія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накладення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арешту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на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майно</w:t>
      </w:r>
      <w:r w:rsidR="000D45CC" w:rsidRPr="000D45CC">
        <w:rPr>
          <w:bCs/>
          <w:lang w:val="uk-UA"/>
        </w:rPr>
        <w:t xml:space="preserve"> (</w:t>
      </w:r>
      <w:r w:rsidRPr="000D45CC">
        <w:rPr>
          <w:bCs/>
          <w:lang w:val="uk-UA"/>
        </w:rPr>
        <w:t>або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гарантія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забезпечення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ризику</w:t>
      </w:r>
      <w:r w:rsidR="000D45CC" w:rsidRPr="000D45CC">
        <w:rPr>
          <w:bCs/>
          <w:lang w:val="uk-UA"/>
        </w:rPr>
        <w:t xml:space="preserve">). </w:t>
      </w:r>
      <w:r w:rsidRPr="000D45CC">
        <w:rPr>
          <w:lang w:val="uk-UA"/>
        </w:rPr>
        <w:t>Якщо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майнові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дебітора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накладається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арешт,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виставити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забезпечення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позову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наприклад,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солідарне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поручительство</w:t>
      </w:r>
      <w:r w:rsidR="000D45CC" w:rsidRPr="000D45CC">
        <w:rPr>
          <w:lang w:val="uk-UA"/>
        </w:rPr>
        <w:t xml:space="preserve">). </w:t>
      </w:r>
      <w:r w:rsidRPr="000D45CC">
        <w:rPr>
          <w:lang w:val="uk-UA"/>
        </w:rPr>
        <w:t>Після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цього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знову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розпоряджатися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цінностями</w:t>
      </w:r>
      <w:r w:rsidR="000D45CC" w:rsidRPr="000D45CC">
        <w:rPr>
          <w:lang w:val="uk-UA"/>
        </w:rPr>
        <w:t>.</w:t>
      </w:r>
    </w:p>
    <w:p w:rsidR="000645C5" w:rsidRPr="000D45CC" w:rsidRDefault="000645C5" w:rsidP="000D45CC">
      <w:pPr>
        <w:shd w:val="clear" w:color="auto" w:fill="FFFFFF"/>
        <w:tabs>
          <w:tab w:val="left" w:pos="726"/>
        </w:tabs>
        <w:rPr>
          <w:b/>
          <w:i/>
          <w:lang w:val="uk-UA"/>
        </w:rPr>
      </w:pPr>
      <w:r w:rsidRPr="000D45CC">
        <w:rPr>
          <w:b/>
          <w:bCs/>
          <w:i/>
          <w:lang w:val="uk-UA"/>
        </w:rPr>
        <w:t>Трастові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послуги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банків</w:t>
      </w:r>
      <w:r w:rsidR="000D45CC" w:rsidRPr="000D45CC">
        <w:rPr>
          <w:b/>
          <w:bCs/>
          <w:i/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0D45CC">
        <w:rPr>
          <w:lang w:val="uk-UA"/>
        </w:rPr>
        <w:t>Трастові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послуги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відносини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заінтересованими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сторонами,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яких</w:t>
      </w:r>
      <w:r w:rsidR="000D45CC" w:rsidRPr="000D45CC">
        <w:rPr>
          <w:lang w:val="uk-UA"/>
        </w:rPr>
        <w:t xml:space="preserve"> (</w:t>
      </w:r>
      <w:r w:rsidRPr="000D45CC">
        <w:rPr>
          <w:iCs/>
          <w:lang w:val="uk-UA"/>
        </w:rPr>
        <w:t>довіритель</w:t>
      </w:r>
      <w:r w:rsidR="000D45CC" w:rsidRPr="000D45CC">
        <w:rPr>
          <w:iCs/>
          <w:lang w:val="uk-UA"/>
        </w:rPr>
        <w:t xml:space="preserve">) </w:t>
      </w:r>
      <w:r w:rsidRPr="000D45CC">
        <w:rPr>
          <w:lang w:val="uk-UA"/>
        </w:rPr>
        <w:t>передає,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інша</w:t>
      </w:r>
      <w:r w:rsidR="000D45CC" w:rsidRPr="000D45CC">
        <w:rPr>
          <w:lang w:val="uk-UA"/>
        </w:rPr>
        <w:t xml:space="preserve"> (</w:t>
      </w:r>
      <w:r w:rsidRPr="000D45CC">
        <w:rPr>
          <w:iCs/>
          <w:lang w:val="uk-UA"/>
        </w:rPr>
        <w:t>траст</w:t>
      </w:r>
      <w:r w:rsidR="000D45CC" w:rsidRPr="000D45CC">
        <w:rPr>
          <w:iCs/>
          <w:lang w:val="uk-UA"/>
        </w:rPr>
        <w:t xml:space="preserve">) </w:t>
      </w:r>
      <w:r w:rsidRPr="000D45CC">
        <w:rPr>
          <w:lang w:val="uk-UA"/>
        </w:rPr>
        <w:t>бере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себе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відповідальність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управління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власністю,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майном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користь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третьої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сторони</w:t>
      </w:r>
      <w:r w:rsidR="000D45CC" w:rsidRPr="000D45CC">
        <w:rPr>
          <w:lang w:val="uk-UA"/>
        </w:rPr>
        <w:t xml:space="preserve"> (</w:t>
      </w:r>
      <w:r w:rsidRPr="000D45CC">
        <w:rPr>
          <w:iCs/>
          <w:lang w:val="uk-UA"/>
        </w:rPr>
        <w:t>бенефіціара</w:t>
      </w:r>
      <w:r w:rsidR="000D45CC" w:rsidRPr="000D45CC">
        <w:rPr>
          <w:iCs/>
          <w:lang w:val="uk-UA"/>
        </w:rPr>
        <w:t>).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Активні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коли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майно,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розміщується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довірчому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управлінні,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відчужуватись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шляхом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продажу,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застави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згоди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довірителя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Пасивні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операції</w:t>
      </w:r>
      <w:r w:rsidR="000D45CC" w:rsidRPr="000D45CC">
        <w:rPr>
          <w:bCs/>
          <w:lang w:val="uk-UA"/>
        </w:rPr>
        <w:t xml:space="preserve"> - </w:t>
      </w:r>
      <w:r w:rsidRPr="000D45CC">
        <w:rPr>
          <w:lang w:val="uk-UA"/>
        </w:rPr>
        <w:t>коли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майно,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передане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довірче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управління,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використовуватися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згоди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довірителя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Трастові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операції,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не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пов'язані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з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управлінням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майном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довірителя</w:t>
      </w:r>
      <w:r w:rsidR="000D45CC" w:rsidRPr="000D45CC">
        <w:rPr>
          <w:bCs/>
          <w:lang w:val="uk-UA"/>
        </w:rPr>
        <w:t xml:space="preserve"> - </w:t>
      </w:r>
      <w:r w:rsidRPr="000D45CC">
        <w:rPr>
          <w:lang w:val="uk-UA"/>
        </w:rPr>
        <w:t>коли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траст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юридичні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рахунок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імені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клієнта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Відкличний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траст</w:t>
      </w:r>
      <w:r w:rsidR="000D45CC" w:rsidRPr="000D45CC">
        <w:rPr>
          <w:bCs/>
          <w:lang w:val="uk-UA"/>
        </w:rPr>
        <w:t xml:space="preserve"> - </w:t>
      </w:r>
      <w:r w:rsidRPr="000D45CC">
        <w:rPr>
          <w:lang w:val="uk-UA"/>
        </w:rPr>
        <w:t>коли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довіритель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попереднього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повідомлення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траста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будь-який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момент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розірвати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угоду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Безвідкличний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траст</w:t>
      </w:r>
      <w:r w:rsidR="000D45CC" w:rsidRPr="000D45CC">
        <w:rPr>
          <w:bCs/>
          <w:lang w:val="uk-UA"/>
        </w:rPr>
        <w:t xml:space="preserve"> - </w:t>
      </w:r>
      <w:r w:rsidRPr="000D45CC">
        <w:rPr>
          <w:lang w:val="uk-UA"/>
        </w:rPr>
        <w:t>коли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розірвання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попереднього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повідомлення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забороняється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Повні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трастові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послуги</w:t>
      </w:r>
      <w:r w:rsidR="000D45CC" w:rsidRPr="000D45CC">
        <w:rPr>
          <w:bCs/>
          <w:lang w:val="uk-UA"/>
        </w:rPr>
        <w:t xml:space="preserve"> - </w:t>
      </w:r>
      <w:r w:rsidRPr="000D45CC">
        <w:rPr>
          <w:lang w:val="uk-UA"/>
        </w:rPr>
        <w:t>коли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управління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всіма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майна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довірителя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Спеціальні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трастові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послуги</w:t>
      </w:r>
      <w:r w:rsidR="000D45CC" w:rsidRPr="000D45CC">
        <w:rPr>
          <w:bCs/>
          <w:lang w:val="uk-UA"/>
        </w:rPr>
        <w:t xml:space="preserve"> - </w:t>
      </w:r>
      <w:r w:rsidRPr="000D45CC">
        <w:rPr>
          <w:lang w:val="uk-UA"/>
        </w:rPr>
        <w:t>коли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управління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окремими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майна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довірителя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наприклад,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грошовими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коштами,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нерухомістю</w:t>
      </w:r>
      <w:r w:rsidR="000D45CC" w:rsidRPr="000D45CC">
        <w:rPr>
          <w:lang w:val="uk-UA"/>
        </w:rPr>
        <w:t>).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iCs/>
          <w:lang w:val="uk-UA"/>
        </w:rPr>
        <w:t>Доходи</w:t>
      </w:r>
      <w:r w:rsidR="000D45CC" w:rsidRPr="000D45CC">
        <w:rPr>
          <w:bCs/>
          <w:iCs/>
          <w:lang w:val="uk-UA"/>
        </w:rPr>
        <w:t xml:space="preserve"> </w:t>
      </w:r>
      <w:r w:rsidRPr="000D45CC">
        <w:rPr>
          <w:bCs/>
          <w:iCs/>
          <w:lang w:val="uk-UA"/>
        </w:rPr>
        <w:t>від</w:t>
      </w:r>
      <w:r w:rsidR="000D45CC" w:rsidRPr="000D45CC">
        <w:rPr>
          <w:bCs/>
          <w:iCs/>
          <w:lang w:val="uk-UA"/>
        </w:rPr>
        <w:t xml:space="preserve"> </w:t>
      </w:r>
      <w:r w:rsidRPr="000D45CC">
        <w:rPr>
          <w:bCs/>
          <w:iCs/>
          <w:lang w:val="uk-UA"/>
        </w:rPr>
        <w:t>трастових</w:t>
      </w:r>
      <w:r w:rsidR="000D45CC" w:rsidRPr="000D45CC">
        <w:rPr>
          <w:bCs/>
          <w:iCs/>
          <w:lang w:val="uk-UA"/>
        </w:rPr>
        <w:t xml:space="preserve"> </w:t>
      </w:r>
      <w:r w:rsidRPr="000D45CC">
        <w:rPr>
          <w:bCs/>
          <w:iCs/>
          <w:lang w:val="uk-UA"/>
        </w:rPr>
        <w:t>послуг</w:t>
      </w:r>
      <w:r w:rsidR="000D45CC" w:rsidRPr="000D45CC">
        <w:rPr>
          <w:bCs/>
          <w:iCs/>
          <w:lang w:val="uk-UA"/>
        </w:rPr>
        <w:t xml:space="preserve"> </w:t>
      </w:r>
      <w:r w:rsidRPr="000D45CC">
        <w:rPr>
          <w:lang w:val="uk-UA"/>
        </w:rPr>
        <w:t>формуються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рахунок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комісійних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винагород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Ставки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внесків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диференційовані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трастів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пов'язаними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управління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трастами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Плата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фіксованою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майна</w:t>
      </w:r>
      <w:r w:rsidR="000D45CC" w:rsidRPr="000D45CC">
        <w:rPr>
          <w:lang w:val="uk-UA"/>
        </w:rPr>
        <w:t xml:space="preserve">; </w:t>
      </w:r>
      <w:r w:rsidRPr="000D45CC">
        <w:rPr>
          <w:lang w:val="uk-UA"/>
        </w:rPr>
        <w:t>залежати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доходу,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одержаного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управління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майном</w:t>
      </w:r>
      <w:r w:rsidR="000D45CC" w:rsidRPr="000D45CC">
        <w:rPr>
          <w:lang w:val="uk-UA"/>
        </w:rPr>
        <w:t xml:space="preserve">; </w:t>
      </w:r>
      <w:r w:rsidRPr="000D45CC">
        <w:rPr>
          <w:lang w:val="uk-UA"/>
        </w:rPr>
        <w:t>бути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визначена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зафіксованим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способом</w:t>
      </w:r>
      <w:r w:rsidR="000D45CC" w:rsidRPr="000D45CC">
        <w:rPr>
          <w:lang w:val="uk-UA"/>
        </w:rPr>
        <w:t>.</w:t>
      </w:r>
    </w:p>
    <w:p w:rsidR="000645C5" w:rsidRPr="000D45CC" w:rsidRDefault="000645C5" w:rsidP="000D45CC">
      <w:pPr>
        <w:shd w:val="clear" w:color="auto" w:fill="FFFFFF"/>
        <w:tabs>
          <w:tab w:val="left" w:pos="726"/>
        </w:tabs>
        <w:rPr>
          <w:b/>
          <w:i/>
          <w:lang w:val="uk-UA"/>
        </w:rPr>
      </w:pPr>
      <w:r w:rsidRPr="000D45CC">
        <w:rPr>
          <w:b/>
          <w:bCs/>
          <w:i/>
          <w:lang w:val="uk-UA"/>
        </w:rPr>
        <w:t>Інші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нетрадиційні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банківські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операції</w:t>
      </w:r>
      <w:r w:rsidR="000D45CC" w:rsidRPr="000D45CC">
        <w:rPr>
          <w:b/>
          <w:bCs/>
          <w:i/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Агентські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характеризуються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тим,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агент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вчиняє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юридичні,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фактичні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дорученням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рахунок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клієнта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принципала</w:t>
      </w:r>
      <w:r w:rsidR="000D45CC" w:rsidRPr="000D45CC">
        <w:rPr>
          <w:lang w:val="uk-UA"/>
        </w:rPr>
        <w:t>).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Кінцева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мета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агентських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полягає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встановленні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договірних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принципалом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третьою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особою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Агент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діє,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правило,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імені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принципала,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укладені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сприяння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обов'язки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безпосередньо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принципала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окремих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випадках,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вступаючи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відносини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третьою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особою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дорученням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принципала,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агент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імені,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розкриваючи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третьою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особою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існування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принципала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вказати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те,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дорученням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рахунок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принципала,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зазначаючи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імені</w:t>
      </w:r>
      <w:r w:rsidR="000D45CC" w:rsidRPr="000D45CC">
        <w:rPr>
          <w:lang w:val="uk-UA"/>
        </w:rPr>
        <w:t xml:space="preserve">). </w:t>
      </w:r>
      <w:r w:rsidRPr="000D45CC">
        <w:rPr>
          <w:lang w:val="uk-UA"/>
        </w:rPr>
        <w:t>Незалежно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того,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виступає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агент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відносинах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третіми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особами,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результат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укладених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полягає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принципала</w:t>
      </w:r>
      <w:r w:rsidR="000D45CC" w:rsidRPr="000D45CC">
        <w:rPr>
          <w:lang w:val="uk-UA"/>
        </w:rPr>
        <w:t>.</w:t>
      </w:r>
    </w:p>
    <w:p w:rsidR="000D45CC" w:rsidRPr="000D45CC" w:rsidRDefault="000645C5" w:rsidP="000D45CC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0D45CC">
        <w:rPr>
          <w:iCs/>
          <w:lang w:val="uk-UA"/>
        </w:rPr>
        <w:t>Агенти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можуть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бути</w:t>
      </w:r>
      <w:r w:rsidR="000D45CC" w:rsidRPr="000D45CC">
        <w:rPr>
          <w:iCs/>
          <w:lang w:val="uk-UA"/>
        </w:rPr>
        <w:t>:</w:t>
      </w:r>
    </w:p>
    <w:p w:rsidR="000D45CC" w:rsidRPr="000D45CC" w:rsidRDefault="000645C5" w:rsidP="000D45CC">
      <w:pPr>
        <w:numPr>
          <w:ilvl w:val="0"/>
          <w:numId w:val="2"/>
        </w:numPr>
        <w:shd w:val="clear" w:color="auto" w:fill="FFFFFF"/>
        <w:tabs>
          <w:tab w:val="clear" w:pos="144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генеральними,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повноваження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вести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справи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принципала,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належать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визначеної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сфери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діяльності</w:t>
      </w:r>
      <w:r w:rsidR="000D45CC" w:rsidRPr="000D45CC">
        <w:rPr>
          <w:lang w:val="uk-UA"/>
        </w:rPr>
        <w:t>;</w:t>
      </w:r>
    </w:p>
    <w:p w:rsidR="000D45CC" w:rsidRPr="000D45CC" w:rsidRDefault="000645C5" w:rsidP="000D45CC">
      <w:pPr>
        <w:numPr>
          <w:ilvl w:val="0"/>
          <w:numId w:val="2"/>
        </w:numPr>
        <w:shd w:val="clear" w:color="auto" w:fill="FFFFFF"/>
        <w:tabs>
          <w:tab w:val="clear" w:pos="144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спеціальними,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лише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конкретно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визначені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дії</w:t>
      </w:r>
      <w:r w:rsidR="000D45CC" w:rsidRPr="000D45CC">
        <w:rPr>
          <w:lang w:val="uk-UA"/>
        </w:rPr>
        <w:t>.</w:t>
      </w:r>
    </w:p>
    <w:p w:rsidR="000D45CC" w:rsidRPr="000D45CC" w:rsidRDefault="00D26871" w:rsidP="000D45CC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0D45CC">
        <w:rPr>
          <w:iCs/>
          <w:lang w:val="uk-UA"/>
        </w:rPr>
        <w:t>Агентські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послуги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включають</w:t>
      </w:r>
      <w:r w:rsidR="000D45CC" w:rsidRPr="000D45CC">
        <w:rPr>
          <w:iCs/>
          <w:lang w:val="uk-UA"/>
        </w:rPr>
        <w:t>:</w:t>
      </w:r>
    </w:p>
    <w:p w:rsidR="000D45CC" w:rsidRPr="000D45CC" w:rsidRDefault="000645C5" w:rsidP="000D45CC">
      <w:pPr>
        <w:numPr>
          <w:ilvl w:val="0"/>
          <w:numId w:val="3"/>
        </w:numPr>
        <w:shd w:val="clear" w:color="auto" w:fill="FFFFFF"/>
        <w:tabs>
          <w:tab w:val="clear" w:pos="144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збереження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активів</w:t>
      </w:r>
      <w:r w:rsidR="000D45CC" w:rsidRPr="000D45CC">
        <w:rPr>
          <w:lang w:val="uk-UA"/>
        </w:rPr>
        <w:t>;</w:t>
      </w:r>
    </w:p>
    <w:p w:rsidR="000D45CC" w:rsidRPr="000D45CC" w:rsidRDefault="000645C5" w:rsidP="000D45CC">
      <w:pPr>
        <w:numPr>
          <w:ilvl w:val="0"/>
          <w:numId w:val="3"/>
        </w:numPr>
        <w:shd w:val="clear" w:color="auto" w:fill="FFFFFF"/>
        <w:tabs>
          <w:tab w:val="clear" w:pos="144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одержання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доходів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повідомлення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клієнта</w:t>
      </w:r>
      <w:r w:rsidR="000D45CC" w:rsidRPr="000D45CC">
        <w:rPr>
          <w:lang w:val="uk-UA"/>
        </w:rPr>
        <w:t>;</w:t>
      </w:r>
    </w:p>
    <w:p w:rsidR="000D45CC" w:rsidRPr="000D45CC" w:rsidRDefault="000645C5" w:rsidP="000D45CC">
      <w:pPr>
        <w:numPr>
          <w:ilvl w:val="0"/>
          <w:numId w:val="3"/>
        </w:numPr>
        <w:shd w:val="clear" w:color="auto" w:fill="FFFFFF"/>
        <w:tabs>
          <w:tab w:val="clear" w:pos="144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купівлю-продаж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доставку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клієнту</w:t>
      </w:r>
      <w:r w:rsidR="000D45CC" w:rsidRPr="000D45CC">
        <w:rPr>
          <w:lang w:val="uk-UA"/>
        </w:rPr>
        <w:t>;</w:t>
      </w:r>
    </w:p>
    <w:p w:rsidR="000D45CC" w:rsidRPr="000D45CC" w:rsidRDefault="000645C5" w:rsidP="000D45CC">
      <w:pPr>
        <w:numPr>
          <w:ilvl w:val="0"/>
          <w:numId w:val="3"/>
        </w:numPr>
        <w:shd w:val="clear" w:color="auto" w:fill="FFFFFF"/>
        <w:tabs>
          <w:tab w:val="clear" w:pos="144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обмін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>;</w:t>
      </w:r>
    </w:p>
    <w:p w:rsidR="000D45CC" w:rsidRPr="000D45CC" w:rsidRDefault="000645C5" w:rsidP="000D45CC">
      <w:pPr>
        <w:numPr>
          <w:ilvl w:val="0"/>
          <w:numId w:val="3"/>
        </w:numPr>
        <w:shd w:val="clear" w:color="auto" w:fill="FFFFFF"/>
        <w:tabs>
          <w:tab w:val="clear" w:pos="144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погашення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облігацій</w:t>
      </w:r>
      <w:r w:rsidR="000D45CC" w:rsidRPr="000D45CC">
        <w:rPr>
          <w:lang w:val="uk-UA"/>
        </w:rPr>
        <w:t>;</w:t>
      </w:r>
    </w:p>
    <w:p w:rsidR="000D45CC" w:rsidRPr="000D45CC" w:rsidRDefault="008A21EB" w:rsidP="000D45CC">
      <w:pPr>
        <w:numPr>
          <w:ilvl w:val="0"/>
          <w:numId w:val="3"/>
        </w:numPr>
        <w:shd w:val="clear" w:color="auto" w:fill="FFFFFF"/>
        <w:tabs>
          <w:tab w:val="clear" w:pos="144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сплату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податків</w:t>
      </w:r>
      <w:r w:rsidR="000D45CC" w:rsidRPr="000D45CC">
        <w:rPr>
          <w:lang w:val="uk-UA"/>
        </w:rPr>
        <w:t>;</w:t>
      </w:r>
    </w:p>
    <w:p w:rsidR="000D45CC" w:rsidRPr="000D45CC" w:rsidRDefault="008A21EB" w:rsidP="000D45CC">
      <w:pPr>
        <w:numPr>
          <w:ilvl w:val="0"/>
          <w:numId w:val="3"/>
        </w:numPr>
        <w:shd w:val="clear" w:color="auto" w:fill="FFFFFF"/>
        <w:tabs>
          <w:tab w:val="clear" w:pos="144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оформлення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страхових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полісів</w:t>
      </w:r>
      <w:r w:rsidR="000D45CC" w:rsidRPr="000D45CC">
        <w:rPr>
          <w:lang w:val="uk-UA"/>
        </w:rPr>
        <w:t>;</w:t>
      </w:r>
    </w:p>
    <w:p w:rsidR="000D45CC" w:rsidRPr="000D45CC" w:rsidRDefault="008A21EB" w:rsidP="000D45CC">
      <w:pPr>
        <w:numPr>
          <w:ilvl w:val="0"/>
          <w:numId w:val="3"/>
        </w:numPr>
        <w:shd w:val="clear" w:color="auto" w:fill="FFFFFF"/>
        <w:tabs>
          <w:tab w:val="clear" w:pos="144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оплату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рахунків</w:t>
      </w:r>
      <w:r w:rsidR="000D45CC" w:rsidRPr="000D45CC">
        <w:rPr>
          <w:lang w:val="uk-UA"/>
        </w:rPr>
        <w:t>;</w:t>
      </w:r>
    </w:p>
    <w:p w:rsidR="000D45CC" w:rsidRPr="000D45CC" w:rsidRDefault="008A21EB" w:rsidP="000D45CC">
      <w:pPr>
        <w:numPr>
          <w:ilvl w:val="0"/>
          <w:numId w:val="3"/>
        </w:numPr>
        <w:shd w:val="clear" w:color="auto" w:fill="FFFFFF"/>
        <w:tabs>
          <w:tab w:val="clear" w:pos="144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укладення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імені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клієнта</w:t>
      </w:r>
      <w:r w:rsidR="000D45CC" w:rsidRPr="000D45CC">
        <w:rPr>
          <w:lang w:val="uk-UA"/>
        </w:rPr>
        <w:t>;</w:t>
      </w:r>
    </w:p>
    <w:p w:rsidR="000D45CC" w:rsidRPr="000D45CC" w:rsidRDefault="008A21EB" w:rsidP="000D45CC">
      <w:pPr>
        <w:numPr>
          <w:ilvl w:val="0"/>
          <w:numId w:val="3"/>
        </w:numPr>
        <w:shd w:val="clear" w:color="auto" w:fill="FFFFFF"/>
        <w:tabs>
          <w:tab w:val="clear" w:pos="144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отримання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кредитів</w:t>
      </w:r>
      <w:r w:rsidR="000D45CC" w:rsidRPr="000D45CC">
        <w:rPr>
          <w:lang w:val="uk-UA"/>
        </w:rPr>
        <w:t>;</w:t>
      </w:r>
    </w:p>
    <w:p w:rsidR="000D45CC" w:rsidRPr="000D45CC" w:rsidRDefault="008A21EB" w:rsidP="000D45CC">
      <w:pPr>
        <w:numPr>
          <w:ilvl w:val="0"/>
          <w:numId w:val="3"/>
        </w:numPr>
        <w:shd w:val="clear" w:color="auto" w:fill="FFFFFF"/>
        <w:tabs>
          <w:tab w:val="clear" w:pos="144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купівлю-продаж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іноземної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валюти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дорогоцінних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металів</w:t>
      </w:r>
      <w:r w:rsidR="000D45CC" w:rsidRPr="000D45CC">
        <w:rPr>
          <w:lang w:val="uk-UA"/>
        </w:rPr>
        <w:t>.</w:t>
      </w:r>
    </w:p>
    <w:p w:rsidR="000D45CC" w:rsidRPr="000D45CC" w:rsidRDefault="008A21EB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Відмінність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агентських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трастових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полягає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тому,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наданні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втрачає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повноважень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лише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доручає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вчинення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імені</w:t>
      </w:r>
      <w:r w:rsidR="000D45CC" w:rsidRPr="000D45CC">
        <w:rPr>
          <w:lang w:val="uk-UA"/>
        </w:rPr>
        <w:t>.</w:t>
      </w:r>
    </w:p>
    <w:p w:rsidR="000D45CC" w:rsidRPr="000D45CC" w:rsidRDefault="008A21EB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Банки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можуть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консультувати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певних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питань</w:t>
      </w:r>
      <w:r w:rsidR="000D45CC" w:rsidRPr="000D45CC">
        <w:rPr>
          <w:lang w:val="uk-UA"/>
        </w:rPr>
        <w:t>:</w:t>
      </w:r>
    </w:p>
    <w:p w:rsidR="000D45CC" w:rsidRPr="000D45CC" w:rsidRDefault="008A21EB" w:rsidP="000D45CC">
      <w:pPr>
        <w:numPr>
          <w:ilvl w:val="0"/>
          <w:numId w:val="4"/>
        </w:numPr>
        <w:shd w:val="clear" w:color="auto" w:fill="FFFFFF"/>
        <w:tabs>
          <w:tab w:val="clear" w:pos="144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бухгалтерського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звітності,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оподаткування,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аналізу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фінансово-господарської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платоспроможності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господарських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партнерів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клієнта</w:t>
      </w:r>
      <w:r w:rsidR="000D45CC" w:rsidRPr="000D45CC">
        <w:rPr>
          <w:lang w:val="uk-UA"/>
        </w:rPr>
        <w:t>;</w:t>
      </w:r>
    </w:p>
    <w:p w:rsidR="000D45CC" w:rsidRPr="000D45CC" w:rsidRDefault="008A21EB" w:rsidP="000D45CC">
      <w:pPr>
        <w:numPr>
          <w:ilvl w:val="0"/>
          <w:numId w:val="4"/>
        </w:numPr>
        <w:shd w:val="clear" w:color="auto" w:fill="FFFFFF"/>
        <w:tabs>
          <w:tab w:val="clear" w:pos="144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організації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емісії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вторинного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обігу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>;</w:t>
      </w:r>
    </w:p>
    <w:p w:rsidR="000D45CC" w:rsidRPr="000D45CC" w:rsidRDefault="008A21EB" w:rsidP="000D45CC">
      <w:pPr>
        <w:numPr>
          <w:ilvl w:val="0"/>
          <w:numId w:val="4"/>
        </w:numPr>
        <w:shd w:val="clear" w:color="auto" w:fill="FFFFFF"/>
        <w:tabs>
          <w:tab w:val="clear" w:pos="144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вибору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напрямів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інвестування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коштів</w:t>
      </w:r>
      <w:r w:rsidR="000D45CC" w:rsidRPr="000D45CC">
        <w:rPr>
          <w:lang w:val="uk-UA"/>
        </w:rPr>
        <w:t>.</w:t>
      </w:r>
    </w:p>
    <w:p w:rsidR="000D45CC" w:rsidRPr="000D45CC" w:rsidRDefault="008A21EB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Цей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тісно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пов'язаний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іншими,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зокрема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кредитними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лізинговими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Такі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менеджери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підрозділів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працівники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спеціально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створених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підрозділів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Плата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консультації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враховується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складі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основний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операцій,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супроводжуються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консультацією</w:t>
      </w:r>
      <w:r w:rsidR="000D45CC" w:rsidRPr="000D45CC">
        <w:rPr>
          <w:lang w:val="uk-UA"/>
        </w:rPr>
        <w:t>.</w:t>
      </w:r>
    </w:p>
    <w:p w:rsidR="000D45CC" w:rsidRPr="000D45CC" w:rsidRDefault="008A21EB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Банки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здійснюють</w:t>
      </w:r>
      <w:r w:rsidR="000D45CC" w:rsidRPr="000D45CC">
        <w:rPr>
          <w:lang w:val="uk-UA"/>
        </w:rPr>
        <w:t xml:space="preserve"> </w:t>
      </w:r>
      <w:r w:rsidRPr="000D45CC">
        <w:rPr>
          <w:bCs/>
          <w:lang w:val="uk-UA"/>
        </w:rPr>
        <w:t>інформаційну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діяльність</w:t>
      </w:r>
      <w:r w:rsidR="000D45CC" w:rsidRPr="000D45CC">
        <w:rPr>
          <w:bCs/>
          <w:lang w:val="uk-UA"/>
        </w:rPr>
        <w:t xml:space="preserve">: </w:t>
      </w:r>
      <w:r w:rsidRPr="000D45CC">
        <w:rPr>
          <w:lang w:val="uk-UA"/>
        </w:rPr>
        <w:t>одержують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інформацію,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використовують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її,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поширюють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зберігають</w:t>
      </w:r>
      <w:r w:rsidR="000D45CC" w:rsidRPr="000D45CC">
        <w:rPr>
          <w:lang w:val="uk-UA"/>
        </w:rPr>
        <w:t>.</w:t>
      </w:r>
    </w:p>
    <w:p w:rsidR="000D45CC" w:rsidRPr="000D45CC" w:rsidRDefault="008A21EB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Інформація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буває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відкрита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публікації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офіційних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друкованих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виданнях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обмеженим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доступом</w:t>
      </w:r>
      <w:r w:rsidR="000D45CC" w:rsidRPr="000D45CC">
        <w:rPr>
          <w:lang w:val="uk-UA"/>
        </w:rPr>
        <w:t>. [</w:t>
      </w:r>
      <w:r w:rsidR="003379D5" w:rsidRPr="000D45CC">
        <w:rPr>
          <w:lang w:val="uk-UA"/>
        </w:rPr>
        <w:t>12</w:t>
      </w:r>
      <w:r w:rsidR="000D45CC" w:rsidRPr="000D45CC">
        <w:rPr>
          <w:lang w:val="uk-UA"/>
        </w:rPr>
        <w:t>.]</w:t>
      </w:r>
    </w:p>
    <w:p w:rsidR="009A6710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</w:p>
    <w:p w:rsidR="009A6710" w:rsidRPr="000D45CC" w:rsidRDefault="009A6710" w:rsidP="000D45CC">
      <w:pPr>
        <w:pStyle w:val="1"/>
        <w:rPr>
          <w:lang w:val="uk-UA"/>
        </w:rPr>
      </w:pPr>
      <w:bookmarkStart w:id="2" w:name="_Toc286424849"/>
      <w:r w:rsidRPr="000D45CC">
        <w:rPr>
          <w:lang w:val="uk-UA"/>
        </w:rPr>
        <w:t>Розділ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Види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bookmarkEnd w:id="2"/>
    </w:p>
    <w:p w:rsidR="000D45CC" w:rsidRPr="000D45CC" w:rsidRDefault="000D45CC" w:rsidP="000D45CC">
      <w:pPr>
        <w:rPr>
          <w:lang w:val="uk-UA" w:eastAsia="en-US"/>
        </w:rPr>
      </w:pP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Цінні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свідоцтва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участь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капіталі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акціонерного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товариства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наданні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позички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Вони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передбачають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емітентів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сплачувати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власникам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доходи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вигляді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дивідендів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процентів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юридичному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розумінні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майнове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право,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засвідчується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певним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документом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реалізується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порядку,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вказується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цьому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документі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зв'язку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розвитком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електронних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систем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змінюється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зовнішня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форма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існування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Цінні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через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електронні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системи,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речового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титулу,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тобто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документи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Вони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існують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одиниці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комп'ютерній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системі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обертаються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лише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формі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переказів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рахунків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учасників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рахунки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інших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Цінні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капіталом,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одержують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доходи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володіння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Проте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капітал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цей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фіктивний,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оскільки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вартості,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хоча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купуються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;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ірраціональний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характер</w:t>
      </w:r>
      <w:r w:rsidR="000D45CC" w:rsidRPr="000D45CC">
        <w:rPr>
          <w:lang w:val="uk-UA"/>
        </w:rPr>
        <w:t>. [</w:t>
      </w:r>
      <w:r w:rsidR="003379D5" w:rsidRPr="000D45CC">
        <w:rPr>
          <w:lang w:val="uk-UA"/>
        </w:rPr>
        <w:t>5</w:t>
      </w:r>
      <w:r w:rsidR="000D45CC" w:rsidRPr="000D45CC">
        <w:rPr>
          <w:lang w:val="uk-UA"/>
        </w:rPr>
        <w:t>.]</w:t>
      </w:r>
    </w:p>
    <w:p w:rsidR="009A6710" w:rsidRPr="000D45CC" w:rsidRDefault="009A6710" w:rsidP="000D45CC">
      <w:pPr>
        <w:shd w:val="clear" w:color="auto" w:fill="FFFFFF"/>
        <w:tabs>
          <w:tab w:val="left" w:pos="726"/>
        </w:tabs>
        <w:rPr>
          <w:b/>
          <w:i/>
          <w:lang w:val="uk-UA"/>
        </w:rPr>
      </w:pPr>
      <w:r w:rsidRPr="000D45CC">
        <w:rPr>
          <w:b/>
          <w:bCs/>
          <w:i/>
          <w:lang w:val="uk-UA"/>
        </w:rPr>
        <w:t>Особливості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формування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ринку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акцій</w:t>
      </w:r>
      <w:r w:rsidR="000D45CC" w:rsidRPr="000D45CC">
        <w:rPr>
          <w:b/>
          <w:bCs/>
          <w:i/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Акція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цінний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папір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установленого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обігу,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засвідчує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майнову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участь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капіталі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акціонерного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товариства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Власники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пайовиками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акціонерного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товариства,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співвласниками,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вони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можуть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вимагати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товариства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повернення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вкладених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коштів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Проте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вони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можуть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акції,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але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цьому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випадку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втрачають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співвласника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0D45CC">
        <w:rPr>
          <w:lang w:val="uk-UA"/>
        </w:rPr>
        <w:t>Власники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співвласники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товариства,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одержання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частини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прибутку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товариства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пропорційно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своїй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участі,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також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участь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розподілі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майна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ліквідації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акціонерного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товариства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Дохід,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одержує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акціонер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акції,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називається</w:t>
      </w:r>
      <w:r w:rsidR="000D45CC" w:rsidRPr="000D45CC">
        <w:rPr>
          <w:lang w:val="uk-UA"/>
        </w:rPr>
        <w:t xml:space="preserve"> </w:t>
      </w:r>
      <w:r w:rsidRPr="000D45CC">
        <w:rPr>
          <w:iCs/>
          <w:lang w:val="uk-UA"/>
        </w:rPr>
        <w:t>дивідендом</w:t>
      </w:r>
      <w:r w:rsidR="000D45CC" w:rsidRPr="000D45CC">
        <w:rPr>
          <w:iCs/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Товариства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корпорації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намагаються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підтримувати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дивідендні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платежі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високому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рівні,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переважно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саме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через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ринкову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репутацію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рейтинг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корпорації,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чергу,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спроможність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корпорації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залучення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позичкового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капіталу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додаткового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Крім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дивідендів,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можуть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одержати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дохід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вигляді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курсової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різниці</w:t>
      </w:r>
      <w:r w:rsidR="000D45CC" w:rsidRPr="000D45CC">
        <w:rPr>
          <w:lang w:val="uk-UA"/>
        </w:rPr>
        <w:t xml:space="preserve">), </w:t>
      </w:r>
      <w:r w:rsidRPr="000D45CC">
        <w:rPr>
          <w:lang w:val="uk-UA"/>
        </w:rPr>
        <w:t>якщо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вони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продадуть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дорожче,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ніж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купили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Випуск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засновникам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акціонерного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товариства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необмежені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можливості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консолідувати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значний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капітал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основні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об'єднання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безлічі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індивідуальних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капіталів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заощаджень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iCs/>
          <w:lang w:val="uk-UA"/>
        </w:rPr>
        <w:t>Акціонерне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товариство</w:t>
      </w:r>
      <w:r w:rsidR="000D45CC" w:rsidRPr="000D45CC">
        <w:rPr>
          <w:iCs/>
          <w:lang w:val="uk-UA"/>
        </w:rPr>
        <w:t xml:space="preserve"> (</w:t>
      </w:r>
      <w:r w:rsidRPr="000D45CC">
        <w:rPr>
          <w:iCs/>
          <w:lang w:val="uk-UA"/>
        </w:rPr>
        <w:t>компанія,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корпорація</w:t>
      </w:r>
      <w:r w:rsidR="000D45CC" w:rsidRPr="000D45CC">
        <w:rPr>
          <w:iCs/>
          <w:lang w:val="uk-UA"/>
        </w:rPr>
        <w:t xml:space="preserve">)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домінуюча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форма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комерційної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організації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країнах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ринковою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економікою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Важливою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перевагою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акціонерної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порівняно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формами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комерційної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організації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індивідуальний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бізнес,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партнерство,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кооперативи</w:t>
      </w:r>
      <w:r w:rsidR="000D45CC" w:rsidRPr="000D45CC">
        <w:rPr>
          <w:lang w:val="uk-UA"/>
        </w:rPr>
        <w:t xml:space="preserve">),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обмежена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відповідальність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зобов'язаннями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Виникнувши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початку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розвитку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приватного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підприємництва,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акціонерна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форма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виявилася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надзвичайно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гнучкою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життєздатною</w:t>
      </w:r>
      <w:r w:rsidR="000D45CC" w:rsidRPr="000D45CC">
        <w:rPr>
          <w:lang w:val="uk-UA"/>
        </w:rPr>
        <w:t>. [</w:t>
      </w:r>
      <w:r w:rsidR="003379D5" w:rsidRPr="000D45CC">
        <w:rPr>
          <w:lang w:val="uk-UA"/>
        </w:rPr>
        <w:t>6</w:t>
      </w:r>
      <w:r w:rsidR="000D45CC" w:rsidRPr="000D45CC">
        <w:rPr>
          <w:lang w:val="uk-UA"/>
        </w:rPr>
        <w:t>.]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створення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акціонерного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товариства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засновники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розробляють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статут,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форма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узаконена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державою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статуті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визначаються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найменування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мета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створення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товариства,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розмір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капіталу,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характеристика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випускатимуться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товариством,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спосіб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розповсюдження,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порядок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управління,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структура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керівних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органів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Товариство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подає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статут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документи,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стверджують,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воно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дотримується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всіх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вимог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згідно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законом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організацію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акціонерних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товариств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державну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установу,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реєстрацію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товариств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видачу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дозволу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організацію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Після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одержання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дозволу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засновники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приступають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розповсюдження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Теоретично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контрольний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пакет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повинен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становити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50%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усіх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випущених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плюс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акція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Проте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сучасному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розпорошенні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серед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великої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кількості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дрібних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акціонерів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реального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контролю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тією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корпорацією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іноді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досить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володіти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лише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5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20%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усіх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випущених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iCs/>
          <w:lang w:val="uk-UA"/>
        </w:rPr>
        <w:t>Корпоративні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облігації</w:t>
      </w:r>
      <w:r w:rsidR="000D45CC" w:rsidRPr="000D45CC">
        <w:rPr>
          <w:iCs/>
          <w:lang w:val="uk-UA"/>
        </w:rPr>
        <w:t xml:space="preserve">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свідоцтво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власникам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довгострокової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позички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корпорації,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фірмі,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підприємству,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тобто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облігації,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емітовані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юридичними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особами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Випуск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облігацій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більш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вигідний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спосіб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формування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додаткового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капіталу,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ніж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проценти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облігаціями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сплачуються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прибутку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корпорацій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виплати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податків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Крім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того,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одержують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голосу,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оскільки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вони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співвласники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корпорації,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кредитори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Корпоративні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більше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піддаються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ризику,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ніж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державні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облігації,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проте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доходи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значно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вищі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підприємств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можуть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випущені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лише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після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цього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Державній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комісії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Якщо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пропонуються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відкритого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продажу,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емітент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подати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ДКЦПФР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також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інформацію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облігацій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Реєстрація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інформації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порядку,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визначеному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Тимчасовим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положенням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порядок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підприємств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інформації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затвердженим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наказом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ДКЦПФР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вересня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1996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№210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Акціонерні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товариства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можуть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суму,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становить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більше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25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відсотків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розміру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статутного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лише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після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оплати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всіх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випущених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Таке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обмеження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облігацій,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встановлене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Законом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України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біржу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ст</w:t>
      </w:r>
      <w:r w:rsidR="000D45CC" w:rsidRPr="000D45CC">
        <w:rPr>
          <w:lang w:val="uk-UA"/>
        </w:rPr>
        <w:t>.1</w:t>
      </w:r>
      <w:r w:rsidRPr="000D45CC">
        <w:rPr>
          <w:lang w:val="uk-UA"/>
        </w:rPr>
        <w:t>1</w:t>
      </w:r>
      <w:r w:rsidR="000D45CC" w:rsidRPr="000D45CC">
        <w:rPr>
          <w:lang w:val="uk-UA"/>
        </w:rPr>
        <w:t>).</w:t>
      </w:r>
    </w:p>
    <w:p w:rsidR="009A6710" w:rsidRPr="000D45CC" w:rsidRDefault="009A6710" w:rsidP="000D45CC">
      <w:pPr>
        <w:shd w:val="clear" w:color="auto" w:fill="FFFFFF"/>
        <w:tabs>
          <w:tab w:val="left" w:pos="726"/>
        </w:tabs>
        <w:rPr>
          <w:b/>
          <w:i/>
          <w:lang w:val="uk-UA"/>
        </w:rPr>
      </w:pPr>
      <w:r w:rsidRPr="000D45CC">
        <w:rPr>
          <w:b/>
          <w:bCs/>
          <w:i/>
          <w:lang w:val="uk-UA"/>
        </w:rPr>
        <w:t>Фактори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формування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ринку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державних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цінних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паперів</w:t>
      </w:r>
      <w:r w:rsidR="000D45CC" w:rsidRPr="000D45CC">
        <w:rPr>
          <w:b/>
          <w:bCs/>
          <w:i/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Ринок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державних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важливий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компонент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світу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світі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держави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використовуються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еталон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вільного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ризику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доходу,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вічна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альтернатива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вкладам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капіталу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Формування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державних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відбувається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після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виникнення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корпорацій</w:t>
      </w:r>
      <w:r w:rsidR="000D45CC" w:rsidRPr="000D45CC">
        <w:rPr>
          <w:lang w:val="uk-UA"/>
        </w:rPr>
        <w:t>.</w:t>
      </w:r>
    </w:p>
    <w:p w:rsidR="009A6710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Характеристика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державних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облігацій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Облігація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свідоцтво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позички,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одержання,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правило,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щорічного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доходу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вигляді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процента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Привабливість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полягає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одержанні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фіксованого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доходу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відміну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після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закінчення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визначеного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підлягають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викупу,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емітент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повинен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сплатити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номінальну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вартість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дохід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вигляді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процента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Облігації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випускаються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іменні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пред'явника,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причому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останні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переважають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Залежно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емітента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поділяються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державні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корпоративні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Випуск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обіг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передбачено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главою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Закону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України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біржу</w:t>
      </w:r>
      <w:r w:rsidR="000D45CC" w:rsidRPr="000D45CC">
        <w:rPr>
          <w:lang w:val="uk-UA"/>
        </w:rPr>
        <w:t>"</w:t>
      </w:r>
      <w:r w:rsidRPr="000D45CC">
        <w:rPr>
          <w:lang w:val="uk-UA"/>
        </w:rPr>
        <w:t>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згідно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</w:t>
      </w:r>
      <w:r w:rsidR="000D45CC" w:rsidRPr="000D45CC">
        <w:rPr>
          <w:lang w:val="uk-UA"/>
        </w:rPr>
        <w:t>.1</w:t>
      </w:r>
      <w:r w:rsidRPr="000D45CC">
        <w:rPr>
          <w:lang w:val="uk-UA"/>
        </w:rPr>
        <w:t>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папір,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засвідчує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внесення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грошових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коштів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затверджує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відшкодувати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номінальну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вартість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цього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передбачений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ньому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вимогою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фіксованого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процента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якщо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передбачено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умовами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випуску</w:t>
      </w:r>
      <w:r w:rsidR="000D45CC" w:rsidRPr="000D45CC">
        <w:rPr>
          <w:lang w:val="uk-UA"/>
        </w:rPr>
        <w:t>).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Сьогоднішнє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чинне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законодавство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передбачає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двох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видів</w:t>
      </w:r>
      <w:r w:rsidR="000D45CC" w:rsidRPr="000D45CC">
        <w:rPr>
          <w:lang w:val="uk-UA"/>
        </w:rPr>
        <w:t>:</w:t>
      </w:r>
    </w:p>
    <w:p w:rsidR="000D45CC" w:rsidRPr="000D45CC" w:rsidRDefault="009A6710" w:rsidP="000D45CC">
      <w:pPr>
        <w:numPr>
          <w:ilvl w:val="0"/>
          <w:numId w:val="5"/>
        </w:num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облігації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внутрішніх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республіканських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місцевих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позик</w:t>
      </w:r>
      <w:r w:rsidR="000D45CC" w:rsidRPr="000D45CC">
        <w:rPr>
          <w:lang w:val="uk-UA"/>
        </w:rPr>
        <w:t>;</w:t>
      </w:r>
    </w:p>
    <w:p w:rsidR="000D45CC" w:rsidRPr="000D45CC" w:rsidRDefault="009A6710" w:rsidP="000D45CC">
      <w:pPr>
        <w:numPr>
          <w:ilvl w:val="0"/>
          <w:numId w:val="5"/>
        </w:num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облігації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підприємств</w:t>
      </w:r>
      <w:r w:rsidR="000D45CC" w:rsidRPr="000D45CC">
        <w:rPr>
          <w:lang w:val="uk-UA"/>
        </w:rPr>
        <w:t>.</w:t>
      </w:r>
    </w:p>
    <w:p w:rsidR="009A6710" w:rsidRPr="000D45CC" w:rsidRDefault="009A6710" w:rsidP="000D45CC">
      <w:pPr>
        <w:shd w:val="clear" w:color="auto" w:fill="FFFFFF"/>
        <w:tabs>
          <w:tab w:val="left" w:pos="726"/>
        </w:tabs>
        <w:rPr>
          <w:b/>
          <w:i/>
          <w:lang w:val="uk-UA"/>
        </w:rPr>
      </w:pPr>
      <w:r w:rsidRPr="000D45CC">
        <w:rPr>
          <w:b/>
          <w:bCs/>
          <w:i/>
          <w:lang w:val="uk-UA"/>
        </w:rPr>
        <w:t>Інші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види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цінних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паперів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та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похідні</w:t>
      </w:r>
      <w:r w:rsidR="000D45CC" w:rsidRPr="000D45CC">
        <w:rPr>
          <w:b/>
          <w:bCs/>
          <w:i/>
          <w:lang w:val="uk-UA"/>
        </w:rPr>
        <w:t xml:space="preserve"> (</w:t>
      </w:r>
      <w:r w:rsidRPr="000D45CC">
        <w:rPr>
          <w:b/>
          <w:bCs/>
          <w:i/>
          <w:lang w:val="uk-UA"/>
        </w:rPr>
        <w:t>спеціальні</w:t>
      </w:r>
      <w:r w:rsidR="000D45CC" w:rsidRPr="000D45CC">
        <w:rPr>
          <w:b/>
          <w:bCs/>
          <w:i/>
          <w:lang w:val="uk-UA"/>
        </w:rPr>
        <w:t xml:space="preserve">) </w:t>
      </w:r>
      <w:r w:rsidRPr="000D45CC">
        <w:rPr>
          <w:b/>
          <w:bCs/>
          <w:i/>
          <w:lang w:val="uk-UA"/>
        </w:rPr>
        <w:t>інструменти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ринку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цінних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паперів</w:t>
      </w:r>
      <w:r w:rsidR="000D45CC" w:rsidRPr="000D45CC">
        <w:rPr>
          <w:b/>
          <w:bCs/>
          <w:i/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допущений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обігу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ощадний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сертифікат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iCs/>
          <w:lang w:val="uk-UA"/>
        </w:rPr>
        <w:t>Ощадним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сертифікатом</w:t>
      </w:r>
      <w:r w:rsidR="000D45CC" w:rsidRPr="000D45CC">
        <w:rPr>
          <w:iCs/>
          <w:lang w:val="uk-UA"/>
        </w:rPr>
        <w:t xml:space="preserve"> </w:t>
      </w:r>
      <w:r w:rsidRPr="000D45CC">
        <w:rPr>
          <w:lang w:val="uk-UA"/>
        </w:rPr>
        <w:t>визнається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письмове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свідоцтво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депонування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грошових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коштів,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засвідчує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вкладника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одержання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після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закінчення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встановленого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депозиту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відсотків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ним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ст</w:t>
      </w:r>
      <w:r w:rsidR="000D45CC" w:rsidRPr="000D45CC">
        <w:rPr>
          <w:lang w:val="uk-UA"/>
        </w:rPr>
        <w:t>.1</w:t>
      </w:r>
      <w:r w:rsidRPr="000D45CC">
        <w:rPr>
          <w:lang w:val="uk-UA"/>
        </w:rPr>
        <w:t>8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Закону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України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біржу</w:t>
      </w:r>
      <w:r w:rsidR="000D45CC" w:rsidRPr="000D45CC">
        <w:rPr>
          <w:lang w:val="uk-UA"/>
        </w:rPr>
        <w:t>").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Ощадні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сертифікати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видаються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строкові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під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певний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договірний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відсоток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визначений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строк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запитання,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іменні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пред'явника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українському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спостерігається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активний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обіг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класичного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вексель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Векселем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папір,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засвідчує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безумовне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грошове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векселедавця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сплатити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після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настання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визначену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грошей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векселя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векселедержателю</w:t>
      </w:r>
      <w:r w:rsidR="000D45CC" w:rsidRPr="000D45CC">
        <w:rPr>
          <w:lang w:val="uk-UA"/>
        </w:rPr>
        <w:t>) (</w:t>
      </w:r>
      <w:r w:rsidRPr="000D45CC">
        <w:rPr>
          <w:lang w:val="uk-UA"/>
        </w:rPr>
        <w:t>ст</w:t>
      </w:r>
      <w:r w:rsidR="000D45CC" w:rsidRPr="000D45CC">
        <w:rPr>
          <w:lang w:val="uk-UA"/>
        </w:rPr>
        <w:t>.2</w:t>
      </w:r>
      <w:r w:rsidRPr="000D45CC">
        <w:rPr>
          <w:lang w:val="uk-UA"/>
        </w:rPr>
        <w:t>1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Закону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України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біржу</w:t>
      </w:r>
      <w:r w:rsidR="000D45CC" w:rsidRPr="000D45CC">
        <w:rPr>
          <w:lang w:val="uk-UA"/>
        </w:rPr>
        <w:t>"). [</w:t>
      </w:r>
      <w:r w:rsidR="003379D5" w:rsidRPr="000D45CC">
        <w:rPr>
          <w:lang w:val="uk-UA"/>
        </w:rPr>
        <w:t>3</w:t>
      </w:r>
      <w:r w:rsidR="000D45CC" w:rsidRPr="000D45CC">
        <w:rPr>
          <w:lang w:val="uk-UA"/>
        </w:rPr>
        <w:t>.]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Після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прийняття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Закону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України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біржу</w:t>
      </w:r>
      <w:r w:rsidR="000D45CC" w:rsidRPr="000D45CC">
        <w:rPr>
          <w:lang w:val="uk-UA"/>
        </w:rPr>
        <w:t xml:space="preserve">"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постанови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Верховної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17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червня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1992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застосування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векселів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господарському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обороті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України</w:t>
      </w:r>
      <w:r w:rsidR="000D45CC" w:rsidRPr="000D45CC">
        <w:rPr>
          <w:lang w:val="uk-UA"/>
        </w:rPr>
        <w:t xml:space="preserve">"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нашій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державі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запроваджений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вексельний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обіг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використанням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простого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переказного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векселів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Женевської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конвенції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1930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iCs/>
          <w:lang w:val="uk-UA"/>
        </w:rPr>
        <w:t>Інвестиційний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сертифікат</w:t>
      </w:r>
      <w:r w:rsidR="000D45CC" w:rsidRPr="000D45CC">
        <w:rPr>
          <w:iCs/>
          <w:lang w:val="uk-UA"/>
        </w:rPr>
        <w:t xml:space="preserve"> - </w:t>
      </w:r>
      <w:r w:rsidRPr="000D45CC">
        <w:rPr>
          <w:lang w:val="uk-UA"/>
        </w:rPr>
        <w:t>цінний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папір,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інвестиційним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інвестиційною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компанією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отримання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доходу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вигляді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дивідендів</w:t>
      </w:r>
      <w:r w:rsidR="000D45CC" w:rsidRPr="000D45CC">
        <w:rPr>
          <w:lang w:val="uk-UA"/>
        </w:rPr>
        <w:t>. [</w:t>
      </w:r>
      <w:r w:rsidR="003379D5" w:rsidRPr="000D45CC">
        <w:rPr>
          <w:lang w:val="uk-UA"/>
        </w:rPr>
        <w:t>7</w:t>
      </w:r>
      <w:r w:rsidR="000D45CC" w:rsidRPr="000D45CC">
        <w:rPr>
          <w:lang w:val="uk-UA"/>
        </w:rPr>
        <w:t>.]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Окрім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розглянутих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вище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існують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інструменти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поєднують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собі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елементи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декількох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настільки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специфічними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документами,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неможливо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віднести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тієї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категорії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Такі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інструменти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одержали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назву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похідних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спеціальних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0D45CC">
        <w:rPr>
          <w:iCs/>
          <w:lang w:val="uk-UA"/>
        </w:rPr>
        <w:t>До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спеціальних</w:t>
      </w:r>
      <w:r w:rsidR="000D45CC" w:rsidRPr="000D45CC">
        <w:rPr>
          <w:iCs/>
          <w:lang w:val="uk-UA"/>
        </w:rPr>
        <w:t xml:space="preserve"> (</w:t>
      </w:r>
      <w:r w:rsidRPr="000D45CC">
        <w:rPr>
          <w:iCs/>
          <w:lang w:val="uk-UA"/>
        </w:rPr>
        <w:t>похідних</w:t>
      </w:r>
      <w:r w:rsidR="000D45CC" w:rsidRPr="000D45CC">
        <w:rPr>
          <w:iCs/>
          <w:lang w:val="uk-UA"/>
        </w:rPr>
        <w:t xml:space="preserve">) </w:t>
      </w:r>
      <w:r w:rsidRPr="000D45CC">
        <w:rPr>
          <w:iCs/>
          <w:lang w:val="uk-UA"/>
        </w:rPr>
        <w:t>фондових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інструментів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ринку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цінних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паперів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належать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опціони,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варанти,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ф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'ючерси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та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інші</w:t>
      </w:r>
      <w:r w:rsidR="000D45CC" w:rsidRPr="000D45CC">
        <w:rPr>
          <w:iCs/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iCs/>
          <w:lang w:val="uk-UA"/>
        </w:rPr>
        <w:t>Опціон</w:t>
      </w:r>
      <w:r w:rsidR="000D45CC" w:rsidRPr="000D45CC">
        <w:rPr>
          <w:iCs/>
          <w:lang w:val="uk-UA"/>
        </w:rPr>
        <w:t xml:space="preserve">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контракт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купити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певну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кількість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будь-який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момент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протягом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визначеного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фіксованою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ціною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сприятливій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зміні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використовує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одержує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дохід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вигляді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різниці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поточною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ринковою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тією,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зафіксована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контракті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несприятливій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зміні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своїм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скористається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втратить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цьому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суму,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заплачену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придбання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опціону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Опціонні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можуть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укладені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приводу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будь-якого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пов'язані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торгівлею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різними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Отже,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один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учасників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набуває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купівлі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продажу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зафіксованою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протягом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певного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періоду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часу,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учасник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грошову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премію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забезпечити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разі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необхідності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реалізацію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цього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права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Тобто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готовим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купити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обумовленою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ціною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iCs/>
          <w:lang w:val="uk-UA"/>
        </w:rPr>
        <w:t>Ф'ючерс</w:t>
      </w:r>
      <w:r w:rsidR="000D45CC" w:rsidRPr="000D45CC">
        <w:rPr>
          <w:iCs/>
          <w:lang w:val="uk-UA"/>
        </w:rPr>
        <w:t xml:space="preserve">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різновид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термінових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купівлю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стандартної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кількості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визначених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зазначений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день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визначеною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ціною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відміну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розрахунок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після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закінчення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ф'ючерсної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обов'язковим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похідних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спеціальних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фондових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інструментів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необхідно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віднести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також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документи,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коносамент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складське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свідоцтво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сьогодні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законодавство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передбачає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обігу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похідних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інструментів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вітчизняному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відчутно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гальмує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розвиток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цілому</w:t>
      </w:r>
      <w:r w:rsidR="000D45CC" w:rsidRPr="000D45CC">
        <w:rPr>
          <w:lang w:val="uk-UA"/>
        </w:rPr>
        <w:t>.</w:t>
      </w:r>
    </w:p>
    <w:p w:rsidR="009A6710" w:rsidRPr="000D45CC" w:rsidRDefault="009A6710" w:rsidP="000D45CC">
      <w:pPr>
        <w:shd w:val="clear" w:color="auto" w:fill="FFFFFF"/>
        <w:tabs>
          <w:tab w:val="left" w:pos="726"/>
        </w:tabs>
        <w:rPr>
          <w:b/>
          <w:i/>
          <w:lang w:val="uk-UA"/>
        </w:rPr>
      </w:pPr>
      <w:r w:rsidRPr="000D45CC">
        <w:rPr>
          <w:b/>
          <w:bCs/>
          <w:i/>
          <w:lang w:val="uk-UA"/>
        </w:rPr>
        <w:t>Біржові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операції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з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цінними</w:t>
      </w:r>
      <w:r w:rsidR="000D45CC" w:rsidRPr="000D45CC">
        <w:rPr>
          <w:b/>
          <w:bCs/>
          <w:i/>
          <w:lang w:val="uk-UA"/>
        </w:rPr>
        <w:t xml:space="preserve"> </w:t>
      </w:r>
      <w:r w:rsidRPr="000D45CC">
        <w:rPr>
          <w:b/>
          <w:bCs/>
          <w:i/>
          <w:lang w:val="uk-UA"/>
        </w:rPr>
        <w:t>паперами</w:t>
      </w:r>
      <w:r w:rsidR="000D45CC" w:rsidRPr="000D45CC">
        <w:rPr>
          <w:b/>
          <w:bCs/>
          <w:i/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Фінансовий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ринок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ринок,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відбувається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розподіл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перерозподіл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усіх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активів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країни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впливом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попиту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пропозиції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різноманітних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суб'єктів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економіки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останні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десятиріччя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значна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частина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здійснюваних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раніше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відбувається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безпосередньо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банками,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корпораціями,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позабіржовому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Позабіржовий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відображає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укладаються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біржею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Він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стосується,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насамперед,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первинного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однак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позабіржові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можуть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здійснюватись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вторинному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iCs/>
          <w:lang w:val="uk-UA"/>
        </w:rPr>
        <w:t>Фондова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біржа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є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особливим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посередником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на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ринку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цінних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паперів,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виступаючи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центром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торгівлі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ними</w:t>
      </w:r>
      <w:r w:rsidR="000D45CC" w:rsidRPr="000D45CC">
        <w:rPr>
          <w:iCs/>
          <w:lang w:val="uk-UA"/>
        </w:rPr>
        <w:t xml:space="preserve">. </w:t>
      </w:r>
      <w:r w:rsidRPr="000D45CC">
        <w:rPr>
          <w:iCs/>
          <w:lang w:val="uk-UA"/>
        </w:rPr>
        <w:t>Іншими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словами,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фондова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біржа</w:t>
      </w:r>
      <w:r w:rsidR="000D45CC" w:rsidRPr="000D45CC">
        <w:rPr>
          <w:iCs/>
          <w:lang w:val="uk-UA"/>
        </w:rPr>
        <w:t xml:space="preserve"> - </w:t>
      </w:r>
      <w:r w:rsidRPr="000D45CC">
        <w:rPr>
          <w:iCs/>
          <w:lang w:val="uk-UA"/>
        </w:rPr>
        <w:t>це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ринок,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який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регулярно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функціонує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і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на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якому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здійснюється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торгівля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цінними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паперами</w:t>
      </w:r>
      <w:r w:rsidR="000D45CC" w:rsidRPr="000D45CC">
        <w:rPr>
          <w:iCs/>
          <w:lang w:val="uk-UA"/>
        </w:rPr>
        <w:t xml:space="preserve">.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цьому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саме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оформлення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передача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провадяться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межами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Фондова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основні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функції</w:t>
      </w:r>
      <w:r w:rsidR="000D45CC" w:rsidRPr="000D45CC">
        <w:rPr>
          <w:lang w:val="uk-UA"/>
        </w:rPr>
        <w:t>:</w:t>
      </w:r>
    </w:p>
    <w:p w:rsidR="000D45CC" w:rsidRPr="000D45CC" w:rsidRDefault="009A6710" w:rsidP="000D45CC">
      <w:pPr>
        <w:numPr>
          <w:ilvl w:val="0"/>
          <w:numId w:val="6"/>
        </w:num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посередницьку</w:t>
      </w:r>
      <w:r w:rsidR="000D45CC" w:rsidRPr="000D45CC">
        <w:rPr>
          <w:lang w:val="uk-UA"/>
        </w:rPr>
        <w:t>;</w:t>
      </w:r>
    </w:p>
    <w:p w:rsidR="000D45CC" w:rsidRPr="000D45CC" w:rsidRDefault="009A6710" w:rsidP="000D45CC">
      <w:pPr>
        <w:numPr>
          <w:ilvl w:val="0"/>
          <w:numId w:val="6"/>
        </w:num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індикативну</w:t>
      </w:r>
      <w:r w:rsidR="000D45CC" w:rsidRPr="000D45CC">
        <w:rPr>
          <w:lang w:val="uk-UA"/>
        </w:rPr>
        <w:t>;</w:t>
      </w:r>
    </w:p>
    <w:p w:rsidR="000D45CC" w:rsidRPr="000D45CC" w:rsidRDefault="009A6710" w:rsidP="000D45CC">
      <w:pPr>
        <w:numPr>
          <w:ilvl w:val="0"/>
          <w:numId w:val="6"/>
        </w:num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регулятивну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Суть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посередницької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функції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полягає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тому,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створює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достатні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всебічні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умови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емітентам,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інвесторам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посередникам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Індикативна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функція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полягає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оцінці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вартості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привабливості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Саме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проводиться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котирування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інформацію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інвесторам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вартісну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якісну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оцінку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динаміку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розвитку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створює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передумови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надійного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достовірного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механізму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торгівлі,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хоча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виключає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можливостей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цілеспрямованих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махінацій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метою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спекуляції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Водночас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важливий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чинник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стимулювання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ефективної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емітентів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Регулятивна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функція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виражається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організації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Вона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встановлює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вимоги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емітентів,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виставляють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правила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укладання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механізм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контролю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діяльністю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суб'єктів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біржової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торгівлі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Таким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чином,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забезпечує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прискорення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централізації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капіталу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розширює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межі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використання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тимчасово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вільних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коштів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господарства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Крім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того,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підвищує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мобільність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акціонерного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капіталу,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створює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умови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прискорення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кругообороту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результаті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постійного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обігу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капіталів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змін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складі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інвесторів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забезпечує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перерозподіл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капіталу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різними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галузями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сферами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економіки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Фондові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відіграють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надзвичайно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важливу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роль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економічній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системі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окремих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країн,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рівні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міжнародної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економіки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міжнародних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фінансів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Через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проходять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колосальні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ресурси,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доступ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досить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непростий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Тільки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найбільш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потужні,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надійні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стабільні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емітенти,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високі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результати,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можуть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отримати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Стабільність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світі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багато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залежить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урівноваженості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попиту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пропозиції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біржах,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основою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регулювання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біржової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діяльності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відміну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самостійно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напрями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вкладення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своїх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ресурсів,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адміністративно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регулювати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грошові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потоки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Однак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хоча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інвестори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самостійно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визначають,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вкладати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гроші,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керуються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вони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цьому,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насамперед,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біржовим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котируванням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bCs/>
          <w:lang w:val="uk-UA"/>
        </w:rPr>
        <w:t>Основні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риси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фондового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ринку</w:t>
      </w:r>
      <w:r w:rsidR="000D45CC" w:rsidRPr="000D45CC">
        <w:rPr>
          <w:bCs/>
          <w:lang w:val="uk-UA"/>
        </w:rPr>
        <w:t xml:space="preserve"> </w:t>
      </w:r>
      <w:r w:rsidRPr="000D45CC">
        <w:rPr>
          <w:bCs/>
          <w:lang w:val="uk-UA"/>
        </w:rPr>
        <w:t>України</w:t>
      </w:r>
      <w:r w:rsidR="000D45CC" w:rsidRPr="000D45CC">
        <w:rPr>
          <w:bCs/>
          <w:lang w:val="uk-UA"/>
        </w:rPr>
        <w:t xml:space="preserve">. </w:t>
      </w:r>
      <w:r w:rsidRPr="000D45CC">
        <w:rPr>
          <w:lang w:val="uk-UA"/>
        </w:rPr>
        <w:t>Торгівля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країнах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світу,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біржовому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Донецька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Київська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міжнародна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Українська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міжбанківська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валютна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Кримська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Українська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біржа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позабіржовому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ПФТС,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телефонний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ринок</w:t>
      </w:r>
      <w:r w:rsidR="000D45CC" w:rsidRPr="000D45CC">
        <w:rPr>
          <w:lang w:val="uk-UA"/>
        </w:rPr>
        <w:t>"</w:t>
      </w:r>
      <w:r w:rsidRPr="000D45CC">
        <w:rPr>
          <w:lang w:val="uk-UA"/>
        </w:rPr>
        <w:t>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міжбанківські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фондових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ринках,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чинного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законодавства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обертаються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пайові,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боргові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похідні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Торгівля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зокрема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акціями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незначних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біржах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пояснюється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пропозиціями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неліквідних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підприємств,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незадовільним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самих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виставляються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продаж,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небажанням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неспроможністю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багатьох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українських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компаній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дотримуватись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правил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відкритого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звітування,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необхідного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роботи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тощо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Біржові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своєю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суттю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купівля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Вони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різними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цілями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Цінні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купують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одержання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доходів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вигляді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дивідендів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процентів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цьому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випадку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покупцями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інвестори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Вони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можуть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продавати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метою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придбання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облігацій,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приносять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вищий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дохід,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відчувають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потребу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грошах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Крім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того,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купівлею-продажем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займаються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одержання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доходів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вигляді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курсової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різниці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Основний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об'єкт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операцій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звичайні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акції,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оскільки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курс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найбільше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зазнає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коливань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торговця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немає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значення,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напрямі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змінюється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курс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нього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важливо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передбачити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цей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напрям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Якщо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передбачає,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курс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підніметься,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скуповує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тим,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щоб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пізніше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перепродати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вищою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навпаки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торговельні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угоди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певними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правилами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Найчастіше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купуються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стандартними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пакетами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купуються,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правило,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раніше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випущені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відкритих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корпорацій</w:t>
      </w:r>
      <w:r w:rsidRPr="000D45CC">
        <w:rPr>
          <w:vertAlign w:val="superscript"/>
          <w:lang w:val="uk-UA"/>
        </w:rPr>
        <w:t>33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умови,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вони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допущені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обігу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біржі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Цінні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правило,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передплатою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розміщуються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інвестиційних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дилерів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спочатку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реалізуються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через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позабіржовий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ринок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Тільки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після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цього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компанія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спробувати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одержати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допуск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своїх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тобто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домогтися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включення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список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котируються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біржі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обігу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рішенням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комітету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допускаються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лише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великих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відомих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компаній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Щоб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включеною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цей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обіг,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корпорація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повинна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суворим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кількісним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якісним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критеріям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згоду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дотримання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правил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операцій,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існують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біржі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існують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різні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критерії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допуску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обігу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Важливим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: </w:t>
      </w:r>
      <w:r w:rsidRPr="000D45CC">
        <w:rPr>
          <w:lang w:val="uk-UA"/>
        </w:rPr>
        <w:t>порівняно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великий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публічне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розміщення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серед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широкого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кола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наявність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корпорації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емітента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робочого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капіталу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певному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мінімальному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розмірі,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прибуткова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цієї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корпорації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протягом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кількох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останніх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років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Обмежений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допуск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обігу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спричинив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створення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початку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80-х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основних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окремих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секцій,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дістали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назву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других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ринків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допускаються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біржею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цей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ринок,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висуваються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суворі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вимоги,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включаються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основного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списку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Другий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можливість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новим,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невеликим,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венчурним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компаніям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підняти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ліквідність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Крім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других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деяких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функціонують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вторинних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відносно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опціонів,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ф'ючерсів</w:t>
      </w:r>
      <w:r w:rsidR="000D45CC" w:rsidRPr="000D45CC">
        <w:rPr>
          <w:lang w:val="uk-UA"/>
        </w:rPr>
        <w:t xml:space="preserve">. </w:t>
      </w:r>
      <w:r w:rsidRPr="000D45CC">
        <w:rPr>
          <w:iCs/>
          <w:lang w:val="uk-UA"/>
        </w:rPr>
        <w:t>Як</w:t>
      </w:r>
      <w:r w:rsidR="000D45CC" w:rsidRPr="000D45CC">
        <w:rPr>
          <w:iCs/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світу,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практиці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українських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операцій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правда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частково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допускаються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наступні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операцій</w:t>
      </w:r>
      <w:r w:rsidR="000D45CC" w:rsidRPr="000D45CC">
        <w:rPr>
          <w:lang w:val="uk-UA"/>
        </w:rPr>
        <w:t>:</w:t>
      </w:r>
    </w:p>
    <w:p w:rsidR="000D45CC" w:rsidRPr="000D45CC" w:rsidRDefault="009A6710" w:rsidP="000D45CC">
      <w:pPr>
        <w:numPr>
          <w:ilvl w:val="0"/>
          <w:numId w:val="7"/>
        </w:num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готівкою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касові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>);</w:t>
      </w:r>
    </w:p>
    <w:p w:rsidR="000D45CC" w:rsidRPr="000D45CC" w:rsidRDefault="009A6710" w:rsidP="000D45CC">
      <w:pPr>
        <w:numPr>
          <w:ilvl w:val="0"/>
          <w:numId w:val="7"/>
        </w:num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строк</w:t>
      </w:r>
      <w:r w:rsidR="000D45CC" w:rsidRPr="000D45CC">
        <w:rPr>
          <w:lang w:val="uk-UA"/>
        </w:rPr>
        <w:t>;</w:t>
      </w:r>
    </w:p>
    <w:p w:rsidR="000D45CC" w:rsidRPr="000D45CC" w:rsidRDefault="009A6710" w:rsidP="000D45CC">
      <w:pPr>
        <w:numPr>
          <w:ilvl w:val="0"/>
          <w:numId w:val="7"/>
        </w:num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премією</w:t>
      </w:r>
      <w:r w:rsidR="000D45CC" w:rsidRPr="000D45CC">
        <w:rPr>
          <w:lang w:val="uk-UA"/>
        </w:rPr>
        <w:t>;</w:t>
      </w:r>
    </w:p>
    <w:p w:rsidR="000D45CC" w:rsidRPr="000D45CC" w:rsidRDefault="009A6710" w:rsidP="000D45CC">
      <w:pPr>
        <w:numPr>
          <w:ilvl w:val="0"/>
          <w:numId w:val="7"/>
        </w:num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опціоном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iCs/>
          <w:lang w:val="uk-UA"/>
        </w:rPr>
        <w:t>Суть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операцій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з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готівкою</w:t>
      </w:r>
      <w:r w:rsidR="000D45CC" w:rsidRPr="000D45CC">
        <w:rPr>
          <w:iCs/>
          <w:lang w:val="uk-UA"/>
        </w:rPr>
        <w:t xml:space="preserve"> </w:t>
      </w:r>
      <w:r w:rsidRPr="000D45CC">
        <w:rPr>
          <w:lang w:val="uk-UA"/>
        </w:rPr>
        <w:t>полягає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тому,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оплата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куплених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проводиться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негайно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виходячи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технічних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причин,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встановлені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строки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наприклад,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облігаціями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наступний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день,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акціями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п'ятий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робочий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день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курсом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угоди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Операція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продажу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носить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аналогічний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характер</w:t>
      </w:r>
      <w:r w:rsidR="000D45CC" w:rsidRPr="000D45CC">
        <w:rPr>
          <w:lang w:val="uk-UA"/>
        </w:rPr>
        <w:t xml:space="preserve">. </w:t>
      </w:r>
      <w:r w:rsidRPr="000D45CC">
        <w:rPr>
          <w:iCs/>
          <w:lang w:val="uk-UA"/>
        </w:rPr>
        <w:t>Суть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операцій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на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строк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полягає</w:t>
      </w:r>
      <w:r w:rsidR="000D45CC" w:rsidRPr="000D45CC">
        <w:rPr>
          <w:iCs/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тому,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кінцевий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грошовий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розрахунок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угодою,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здійснюваною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день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X,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проводиться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день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визначений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клієнтами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звичайно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місяця</w:t>
      </w:r>
      <w:r w:rsidR="000D45CC" w:rsidRPr="000D45CC">
        <w:rPr>
          <w:lang w:val="uk-UA"/>
        </w:rPr>
        <w:t>).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iCs/>
          <w:lang w:val="uk-UA"/>
        </w:rPr>
        <w:t>Суть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операцій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з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премією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і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опціоном</w:t>
      </w:r>
      <w:r w:rsidR="000D45CC" w:rsidRPr="000D45CC">
        <w:rPr>
          <w:iCs/>
          <w:lang w:val="uk-UA"/>
        </w:rPr>
        <w:t xml:space="preserve"> </w:t>
      </w:r>
      <w:r w:rsidRPr="000D45CC">
        <w:rPr>
          <w:lang w:val="uk-UA"/>
        </w:rPr>
        <w:t>полягає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тому,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вони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побудовані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принципом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строк,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проте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можливість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відмовитися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своїх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зобов'язань,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виплативши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попередньо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обумовлену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суму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премію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</w:t>
      </w:r>
      <w:r w:rsidR="000D45CC" w:rsidRPr="000D45CC">
        <w:rPr>
          <w:lang w:val="uk-UA"/>
        </w:rPr>
        <w:t>).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премією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відрізняються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одної,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головним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чином,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тривалістю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відстрочки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кінцевих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розрахунків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першому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випадку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відстрочка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1-3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місяці,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другому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1-9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місяців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премією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дають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страховку</w:t>
      </w:r>
      <w:r w:rsidR="000D45CC" w:rsidRPr="000D45CC">
        <w:rPr>
          <w:lang w:val="uk-UA"/>
        </w:rPr>
        <w:t xml:space="preserve">" </w:t>
      </w:r>
      <w:r w:rsidRPr="000D45CC">
        <w:rPr>
          <w:lang w:val="uk-UA"/>
        </w:rPr>
        <w:t>лише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покупцям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продавати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цієї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процедури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можна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Ціна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операціях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премією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складається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котирування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плюс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спеціальне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котирування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плюс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величина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премій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дозволяють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здійснювати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покупця,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продавця,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використовуючи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більш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довгу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відстрочку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прийняття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кінцевого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рішення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Існує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метод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продажу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опціоном,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продавець,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запропонував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відмовитись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продажу,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поступившись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грошовою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сумою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вигляді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користь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покупця,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втримав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результаті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покупку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Будь-яка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більше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курсах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ризиковою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химерою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учасників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Проте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можливі,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головною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умова,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щоб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вони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проходили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рамках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встановлених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правил,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носили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масового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характеру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істотно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впливали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поведінку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біржі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цією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метою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створені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організаційні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умови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передбачені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технічні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можливості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здійснювати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часто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суто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спекулятивні,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частково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залучені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засоби,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позичених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брокерів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також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опціонів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iCs/>
          <w:lang w:val="uk-UA"/>
        </w:rPr>
        <w:t>Зміст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типової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угоди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з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маржею</w:t>
      </w:r>
      <w:r w:rsidR="000D45CC" w:rsidRPr="000D45CC">
        <w:rPr>
          <w:iCs/>
          <w:lang w:val="uk-UA"/>
        </w:rPr>
        <w:t xml:space="preserve"> </w:t>
      </w:r>
      <w:r w:rsidRPr="000D45CC">
        <w:rPr>
          <w:lang w:val="uk-UA"/>
        </w:rPr>
        <w:t>полягає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тому,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клієнт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придбати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певних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корпорацій,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лише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взявши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борг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брокерській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конторі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установі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Спекулятивні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маржею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акціями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корпорацій,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ймовірність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підвищення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курсу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досить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велика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Опціон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двосторонньою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передачу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певного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базисного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активу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валюти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</w:t>
      </w:r>
      <w:r w:rsidR="000D45CC" w:rsidRPr="000D45CC">
        <w:rPr>
          <w:lang w:val="uk-UA"/>
        </w:rPr>
        <w:t xml:space="preserve">.)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визначеною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певну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дату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цьому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покупець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набуває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активу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Продавець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бере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себе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купити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актив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вимогу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покупця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умовами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наприклад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утримувач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опціону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придбати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особи,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виписала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контракт,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обумовленою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ціною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протягом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обумовленого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обмеженого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терміну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Продавець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буде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акції,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зажадає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покупець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умовами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утримувач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опціону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особі,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виписала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обумовленою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обмовлений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термін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Продавець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буде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купити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акції,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зажадає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опціону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угодах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учасники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розраховують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протилежні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тенденції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Покупець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покупці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розраховує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підвищення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курсу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продавець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пониження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Якщо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курс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виявиться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вищим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зазначеного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покупець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отримає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зиск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рахунок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курсової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різниці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винятком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премії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продавцю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опціону</w:t>
      </w:r>
      <w:r w:rsidR="000D45CC" w:rsidRPr="000D45CC">
        <w:rPr>
          <w:lang w:val="uk-UA"/>
        </w:rPr>
        <w:t xml:space="preserve">), </w:t>
      </w:r>
      <w:r w:rsidRPr="000D45CC">
        <w:rPr>
          <w:lang w:val="uk-UA"/>
        </w:rPr>
        <w:t>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продавець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матиме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збитки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Якщо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курс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знизиться,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збережеться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підвищиться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несуттєво,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покупцю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буде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невигідно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його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реалізовувати,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понесе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збитки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розмірі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премії,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виплаченої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продавцю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виписуванні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Продавець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же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цьому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випадку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всякого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вкладення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своїх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засобів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отримає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зиск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розмірі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премії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iCs/>
          <w:lang w:val="uk-UA"/>
        </w:rPr>
        <w:t>Фінансові</w:t>
      </w:r>
      <w:r w:rsidR="000D45CC" w:rsidRPr="000D45CC">
        <w:rPr>
          <w:iCs/>
          <w:lang w:val="uk-UA"/>
        </w:rPr>
        <w:t xml:space="preserve"> </w:t>
      </w:r>
      <w:r w:rsidRPr="000D45CC">
        <w:rPr>
          <w:iCs/>
          <w:lang w:val="uk-UA"/>
        </w:rPr>
        <w:t>ф'ючерси,</w:t>
      </w:r>
      <w:r w:rsidR="000D45CC" w:rsidRPr="000D45CC">
        <w:rPr>
          <w:iCs/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також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контрактом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чітко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встановлений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час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майбутньому,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відрізняються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опціонів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тим,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вони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передбачають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зобов'язання,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проведення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тієї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бере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себе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покупець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ф'ючерсу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операціях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беруть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участь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посередники,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поділяються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брокерів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дилерів</w:t>
      </w:r>
      <w:r w:rsidR="000D45CC" w:rsidRPr="000D45CC">
        <w:rPr>
          <w:lang w:val="uk-UA"/>
        </w:rPr>
        <w:t xml:space="preserve">. </w:t>
      </w:r>
      <w:r w:rsidRPr="000D45CC">
        <w:rPr>
          <w:iCs/>
          <w:lang w:val="uk-UA"/>
        </w:rPr>
        <w:t>Брокер</w:t>
      </w:r>
      <w:r w:rsidR="000D45CC" w:rsidRPr="000D45CC">
        <w:rPr>
          <w:iCs/>
          <w:lang w:val="uk-UA"/>
        </w:rPr>
        <w:t xml:space="preserve"> </w:t>
      </w:r>
      <w:r w:rsidRPr="000D45CC">
        <w:rPr>
          <w:lang w:val="uk-UA"/>
        </w:rPr>
        <w:t>зводить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продавця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покупцем,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одержуючи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посередництво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комісійні</w:t>
      </w:r>
      <w:r w:rsidR="000D45CC" w:rsidRPr="000D45CC">
        <w:rPr>
          <w:lang w:val="uk-UA"/>
        </w:rPr>
        <w:t xml:space="preserve">. </w:t>
      </w:r>
      <w:r w:rsidRPr="000D45CC">
        <w:rPr>
          <w:iCs/>
          <w:lang w:val="uk-UA"/>
        </w:rPr>
        <w:t>Дилер</w:t>
      </w:r>
      <w:r w:rsidR="000D45CC" w:rsidRPr="000D45CC">
        <w:rPr>
          <w:iCs/>
          <w:lang w:val="uk-UA"/>
        </w:rPr>
        <w:t xml:space="preserve"> </w:t>
      </w:r>
      <w:r w:rsidRPr="000D45CC">
        <w:rPr>
          <w:lang w:val="uk-UA"/>
        </w:rPr>
        <w:t>купує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імені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рахунок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метою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перепродажу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посередників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виступають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окремі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особи,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фірми,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інтегруючи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своїй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роботі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брокерські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дилерські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також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комерційні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Спеціалізовані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посередницькі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фірми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єдиної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загальноприйнятої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назви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Найчастіше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називають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інвестиційними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дилерами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банками,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домами</w:t>
      </w:r>
      <w:r w:rsidR="000D45CC" w:rsidRPr="000D45CC">
        <w:rPr>
          <w:lang w:val="uk-UA"/>
        </w:rPr>
        <w:t xml:space="preserve">), </w:t>
      </w:r>
      <w:r w:rsidRPr="000D45CC">
        <w:rPr>
          <w:lang w:val="uk-UA"/>
        </w:rPr>
        <w:t>біржовими,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дилерськими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фірмами</w:t>
      </w:r>
      <w:r w:rsidR="000D45CC" w:rsidRPr="000D45CC">
        <w:rPr>
          <w:lang w:val="uk-UA"/>
        </w:rPr>
        <w:t>. [</w:t>
      </w:r>
      <w:r w:rsidR="003379D5" w:rsidRPr="000D45CC">
        <w:rPr>
          <w:lang w:val="uk-UA"/>
        </w:rPr>
        <w:t>3</w:t>
      </w:r>
      <w:r w:rsidR="000D45CC" w:rsidRPr="000D45CC">
        <w:rPr>
          <w:lang w:val="uk-UA"/>
        </w:rPr>
        <w:t>.]</w:t>
      </w:r>
    </w:p>
    <w:p w:rsidR="00121ABB" w:rsidRDefault="00121ABB" w:rsidP="000D45CC">
      <w:pPr>
        <w:tabs>
          <w:tab w:val="left" w:pos="726"/>
        </w:tabs>
        <w:rPr>
          <w:b/>
          <w:lang w:val="uk-UA"/>
        </w:rPr>
      </w:pPr>
    </w:p>
    <w:p w:rsidR="009A6710" w:rsidRDefault="009A6710" w:rsidP="00121ABB">
      <w:pPr>
        <w:pStyle w:val="1"/>
        <w:rPr>
          <w:lang w:val="uk-UA"/>
        </w:rPr>
      </w:pPr>
      <w:bookmarkStart w:id="3" w:name="_Toc286424850"/>
      <w:r w:rsidRPr="000D45CC">
        <w:rPr>
          <w:lang w:val="uk-UA"/>
        </w:rPr>
        <w:t>Розділ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3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Фінансовий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аналіз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bookmarkEnd w:id="3"/>
    </w:p>
    <w:p w:rsidR="00121ABB" w:rsidRPr="00121ABB" w:rsidRDefault="00121ABB" w:rsidP="00121ABB">
      <w:pPr>
        <w:rPr>
          <w:lang w:val="uk-UA" w:eastAsia="en-US"/>
        </w:rPr>
      </w:pP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даними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Державної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Комісії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зареєстрованих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центральним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апаратом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Комісії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протягом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2006-2007</w:t>
      </w:r>
      <w:r w:rsidR="000D45CC" w:rsidRPr="000D45CC">
        <w:rPr>
          <w:i/>
          <w:lang w:val="uk-UA"/>
        </w:rPr>
        <w:t xml:space="preserve"> </w:t>
      </w:r>
      <w:r w:rsidRPr="000D45CC">
        <w:rPr>
          <w:lang w:val="uk-UA"/>
        </w:rPr>
        <w:t>років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становив</w:t>
      </w:r>
      <w:r w:rsidR="000D45CC" w:rsidRPr="000D45CC">
        <w:rPr>
          <w:lang w:val="uk-UA"/>
        </w:rPr>
        <w:t xml:space="preserve"> </w:t>
      </w:r>
      <w:r w:rsidRPr="000D45CC">
        <w:rPr>
          <w:snapToGrid w:val="0"/>
          <w:lang w:val="uk-UA"/>
        </w:rPr>
        <w:t>32,34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lang w:val="uk-UA"/>
        </w:rPr>
        <w:t>млрд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28,74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млрд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відповідно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додаток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</w:t>
      </w:r>
      <w:r w:rsidR="000D45CC" w:rsidRPr="000D45CC">
        <w:rPr>
          <w:lang w:val="uk-UA"/>
        </w:rPr>
        <w:t>).</w:t>
      </w:r>
    </w:p>
    <w:p w:rsidR="000D45CC" w:rsidRPr="000D45CC" w:rsidRDefault="009A6710" w:rsidP="000D45CC">
      <w:pPr>
        <w:tabs>
          <w:tab w:val="left" w:pos="726"/>
        </w:tabs>
        <w:rPr>
          <w:snapToGrid w:val="0"/>
          <w:lang w:val="uk-UA"/>
        </w:rPr>
      </w:pPr>
      <w:r w:rsidRPr="000D45CC">
        <w:rPr>
          <w:snapToGrid w:val="0"/>
          <w:lang w:val="uk-UA"/>
        </w:rPr>
        <w:t>Обсяг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випусків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акцій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зареєстрованих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lang w:val="uk-UA"/>
        </w:rPr>
        <w:t>центральним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апаратом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Комісії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2007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році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порівняно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з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2006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роком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зменшився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3,6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млрд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грн</w:t>
      </w:r>
      <w:r w:rsidR="000D45CC" w:rsidRPr="000D45CC">
        <w:rPr>
          <w:snapToGrid w:val="0"/>
          <w:lang w:val="uk-UA"/>
        </w:rPr>
        <w:t>.</w:t>
      </w:r>
    </w:p>
    <w:p w:rsidR="000D45CC" w:rsidRPr="000D45CC" w:rsidRDefault="009A6710" w:rsidP="000D45CC">
      <w:pPr>
        <w:tabs>
          <w:tab w:val="left" w:pos="726"/>
        </w:tabs>
        <w:rPr>
          <w:snapToGrid w:val="0"/>
          <w:lang w:val="uk-UA"/>
        </w:rPr>
      </w:pPr>
      <w:r w:rsidRPr="000D45CC">
        <w:rPr>
          <w:snapToGrid w:val="0"/>
          <w:lang w:val="uk-UA"/>
        </w:rPr>
        <w:t>Протягом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lang w:val="uk-UA"/>
        </w:rPr>
        <w:t>січня-листопада</w:t>
      </w:r>
      <w:r w:rsidR="000D45CC" w:rsidRPr="000D45CC">
        <w:rPr>
          <w:lang w:val="uk-UA"/>
        </w:rPr>
        <w:t xml:space="preserve"> </w:t>
      </w:r>
      <w:r w:rsidRPr="000D45CC">
        <w:rPr>
          <w:snapToGrid w:val="0"/>
          <w:lang w:val="uk-UA"/>
        </w:rPr>
        <w:t>2006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року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зареєстровано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9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значних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за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обсягом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випусків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акцій,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які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суттєво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вплинули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загальну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структуру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зареєстрованих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випусків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акцій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за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період</w:t>
      </w:r>
      <w:r w:rsidR="000D45CC" w:rsidRPr="000D45CC">
        <w:rPr>
          <w:snapToGrid w:val="0"/>
          <w:lang w:val="uk-UA"/>
        </w:rPr>
        <w:t>:</w:t>
      </w:r>
    </w:p>
    <w:p w:rsidR="000D45CC" w:rsidRPr="000D45CC" w:rsidRDefault="009A6710" w:rsidP="000D45CC">
      <w:pPr>
        <w:numPr>
          <w:ilvl w:val="0"/>
          <w:numId w:val="11"/>
        </w:numPr>
        <w:tabs>
          <w:tab w:val="clear" w:pos="1713"/>
          <w:tab w:val="left" w:pos="726"/>
        </w:tabs>
        <w:ind w:left="0" w:firstLine="709"/>
        <w:rPr>
          <w:snapToGrid w:val="0"/>
          <w:lang w:val="uk-UA"/>
        </w:rPr>
      </w:pPr>
      <w:r w:rsidRPr="000D45CC">
        <w:rPr>
          <w:snapToGrid w:val="0"/>
          <w:lang w:val="uk-UA"/>
        </w:rPr>
        <w:t>НАК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“Енергетична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компанія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України</w:t>
      </w:r>
      <w:r w:rsidR="000D45CC" w:rsidRPr="000D45CC">
        <w:rPr>
          <w:snapToGrid w:val="0"/>
          <w:lang w:val="uk-UA"/>
        </w:rPr>
        <w:t xml:space="preserve">" </w:t>
      </w:r>
      <w:r w:rsidRPr="000D45CC">
        <w:rPr>
          <w:snapToGrid w:val="0"/>
          <w:lang w:val="uk-UA"/>
        </w:rPr>
        <w:t>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суму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9,83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млрд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грн</w:t>
      </w:r>
      <w:r w:rsidR="000D45CC" w:rsidRPr="000D45CC">
        <w:rPr>
          <w:snapToGrid w:val="0"/>
          <w:lang w:val="uk-UA"/>
        </w:rPr>
        <w:t>. (</w:t>
      </w:r>
      <w:r w:rsidRPr="000D45CC">
        <w:rPr>
          <w:snapToGrid w:val="0"/>
          <w:lang w:val="uk-UA"/>
        </w:rPr>
        <w:t>або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25,73%</w:t>
      </w:r>
      <w:r w:rsidR="000D45CC" w:rsidRPr="000D45CC">
        <w:rPr>
          <w:snapToGrid w:val="0"/>
          <w:lang w:val="uk-UA"/>
        </w:rPr>
        <w:t>);</w:t>
      </w:r>
    </w:p>
    <w:p w:rsidR="000D45CC" w:rsidRPr="000D45CC" w:rsidRDefault="009A6710" w:rsidP="000D45CC">
      <w:pPr>
        <w:numPr>
          <w:ilvl w:val="0"/>
          <w:numId w:val="11"/>
        </w:numPr>
        <w:tabs>
          <w:tab w:val="clear" w:pos="1713"/>
          <w:tab w:val="left" w:pos="726"/>
        </w:tabs>
        <w:ind w:left="0" w:firstLine="709"/>
        <w:rPr>
          <w:snapToGrid w:val="0"/>
          <w:lang w:val="uk-UA"/>
        </w:rPr>
      </w:pPr>
      <w:r w:rsidRPr="000D45CC">
        <w:rPr>
          <w:snapToGrid w:val="0"/>
          <w:lang w:val="uk-UA"/>
        </w:rPr>
        <w:t>ЗАТ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Сєвєродонецьке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об’єднання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“Азот</w:t>
      </w:r>
      <w:r w:rsidR="000D45CC" w:rsidRPr="000D45CC">
        <w:rPr>
          <w:snapToGrid w:val="0"/>
          <w:lang w:val="uk-UA"/>
        </w:rPr>
        <w:t xml:space="preserve">" </w:t>
      </w:r>
      <w:r w:rsidRPr="000D45CC">
        <w:rPr>
          <w:snapToGrid w:val="0"/>
          <w:lang w:val="uk-UA"/>
        </w:rPr>
        <w:t>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суму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1,06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млрд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грн</w:t>
      </w:r>
      <w:r w:rsidR="000D45CC" w:rsidRPr="000D45CC">
        <w:rPr>
          <w:snapToGrid w:val="0"/>
          <w:lang w:val="uk-UA"/>
        </w:rPr>
        <w:t>. (</w:t>
      </w:r>
      <w:r w:rsidRPr="000D45CC">
        <w:rPr>
          <w:snapToGrid w:val="0"/>
          <w:lang w:val="uk-UA"/>
        </w:rPr>
        <w:t>або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2,77%</w:t>
      </w:r>
      <w:r w:rsidR="000D45CC" w:rsidRPr="000D45CC">
        <w:rPr>
          <w:snapToGrid w:val="0"/>
          <w:lang w:val="uk-UA"/>
        </w:rPr>
        <w:t>);</w:t>
      </w:r>
    </w:p>
    <w:p w:rsidR="000D45CC" w:rsidRPr="000D45CC" w:rsidRDefault="009A6710" w:rsidP="000D45CC">
      <w:pPr>
        <w:numPr>
          <w:ilvl w:val="0"/>
          <w:numId w:val="11"/>
        </w:numPr>
        <w:tabs>
          <w:tab w:val="clear" w:pos="1713"/>
          <w:tab w:val="left" w:pos="726"/>
        </w:tabs>
        <w:ind w:left="0" w:firstLine="709"/>
        <w:rPr>
          <w:snapToGrid w:val="0"/>
          <w:lang w:val="uk-UA"/>
        </w:rPr>
      </w:pPr>
      <w:r w:rsidRPr="000D45CC">
        <w:rPr>
          <w:snapToGrid w:val="0"/>
          <w:lang w:val="uk-UA"/>
        </w:rPr>
        <w:t>ВАТ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“Алчевський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металургійний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комбінат”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суму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1,0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млрд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грн</w:t>
      </w:r>
      <w:r w:rsidR="000D45CC" w:rsidRPr="000D45CC">
        <w:rPr>
          <w:snapToGrid w:val="0"/>
          <w:lang w:val="uk-UA"/>
        </w:rPr>
        <w:t>. (</w:t>
      </w:r>
      <w:r w:rsidRPr="000D45CC">
        <w:rPr>
          <w:snapToGrid w:val="0"/>
          <w:lang w:val="uk-UA"/>
        </w:rPr>
        <w:t>або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2,62%</w:t>
      </w:r>
      <w:r w:rsidR="000D45CC" w:rsidRPr="000D45CC">
        <w:rPr>
          <w:snapToGrid w:val="0"/>
          <w:lang w:val="uk-UA"/>
        </w:rPr>
        <w:t>);</w:t>
      </w:r>
    </w:p>
    <w:p w:rsidR="000D45CC" w:rsidRPr="000D45CC" w:rsidRDefault="009A6710" w:rsidP="000D45CC">
      <w:pPr>
        <w:numPr>
          <w:ilvl w:val="0"/>
          <w:numId w:val="11"/>
        </w:numPr>
        <w:tabs>
          <w:tab w:val="clear" w:pos="1713"/>
          <w:tab w:val="left" w:pos="726"/>
        </w:tabs>
        <w:ind w:left="0" w:firstLine="709"/>
        <w:rPr>
          <w:snapToGrid w:val="0"/>
          <w:lang w:val="uk-UA"/>
        </w:rPr>
      </w:pPr>
      <w:r w:rsidRPr="000D45CC">
        <w:rPr>
          <w:snapToGrid w:val="0"/>
          <w:lang w:val="uk-UA"/>
        </w:rPr>
        <w:t>ВАТ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“Луцький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автомобільний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завод</w:t>
      </w:r>
      <w:r w:rsidR="000D45CC" w:rsidRPr="000D45CC">
        <w:rPr>
          <w:snapToGrid w:val="0"/>
          <w:lang w:val="uk-UA"/>
        </w:rPr>
        <w:t xml:space="preserve">" </w:t>
      </w:r>
      <w:r w:rsidRPr="000D45CC">
        <w:rPr>
          <w:snapToGrid w:val="0"/>
          <w:lang w:val="uk-UA"/>
        </w:rPr>
        <w:t>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суму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648,0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млн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грн</w:t>
      </w:r>
      <w:r w:rsidR="000D45CC" w:rsidRPr="000D45CC">
        <w:rPr>
          <w:snapToGrid w:val="0"/>
          <w:lang w:val="uk-UA"/>
        </w:rPr>
        <w:t>. (</w:t>
      </w:r>
      <w:r w:rsidRPr="000D45CC">
        <w:rPr>
          <w:snapToGrid w:val="0"/>
          <w:lang w:val="uk-UA"/>
        </w:rPr>
        <w:t>або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1,7%</w:t>
      </w:r>
      <w:r w:rsidR="000D45CC" w:rsidRPr="000D45CC">
        <w:rPr>
          <w:snapToGrid w:val="0"/>
          <w:lang w:val="uk-UA"/>
        </w:rPr>
        <w:t>);</w:t>
      </w:r>
    </w:p>
    <w:p w:rsidR="000D45CC" w:rsidRPr="000D45CC" w:rsidRDefault="009A6710" w:rsidP="000D45CC">
      <w:pPr>
        <w:numPr>
          <w:ilvl w:val="0"/>
          <w:numId w:val="11"/>
        </w:numPr>
        <w:tabs>
          <w:tab w:val="clear" w:pos="1713"/>
          <w:tab w:val="left" w:pos="726"/>
        </w:tabs>
        <w:ind w:left="0" w:firstLine="709"/>
        <w:rPr>
          <w:snapToGrid w:val="0"/>
          <w:lang w:val="uk-UA"/>
        </w:rPr>
      </w:pPr>
      <w:r w:rsidRPr="000D45CC">
        <w:rPr>
          <w:snapToGrid w:val="0"/>
          <w:lang w:val="uk-UA"/>
        </w:rPr>
        <w:t>ВАТ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“Концерн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“Стирол</w:t>
      </w:r>
      <w:r w:rsidR="000D45CC" w:rsidRPr="000D45CC">
        <w:rPr>
          <w:snapToGrid w:val="0"/>
          <w:lang w:val="uk-UA"/>
        </w:rPr>
        <w:t xml:space="preserve">" </w:t>
      </w:r>
      <w:r w:rsidRPr="000D45CC">
        <w:rPr>
          <w:snapToGrid w:val="0"/>
          <w:lang w:val="uk-UA"/>
        </w:rPr>
        <w:t>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суму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623,88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млн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грн</w:t>
      </w:r>
      <w:r w:rsidR="000D45CC" w:rsidRPr="000D45CC">
        <w:rPr>
          <w:snapToGrid w:val="0"/>
          <w:lang w:val="uk-UA"/>
        </w:rPr>
        <w:t>. (</w:t>
      </w:r>
      <w:r w:rsidRPr="000D45CC">
        <w:rPr>
          <w:snapToGrid w:val="0"/>
          <w:lang w:val="uk-UA"/>
        </w:rPr>
        <w:t>або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1,63%</w:t>
      </w:r>
      <w:r w:rsidR="000D45CC" w:rsidRPr="000D45CC">
        <w:rPr>
          <w:snapToGrid w:val="0"/>
          <w:lang w:val="uk-UA"/>
        </w:rPr>
        <w:t>);</w:t>
      </w:r>
    </w:p>
    <w:p w:rsidR="000D45CC" w:rsidRPr="000D45CC" w:rsidRDefault="009A6710" w:rsidP="000D45CC">
      <w:pPr>
        <w:numPr>
          <w:ilvl w:val="0"/>
          <w:numId w:val="11"/>
        </w:numPr>
        <w:tabs>
          <w:tab w:val="clear" w:pos="1713"/>
          <w:tab w:val="left" w:pos="726"/>
        </w:tabs>
        <w:ind w:left="0" w:firstLine="709"/>
        <w:rPr>
          <w:snapToGrid w:val="0"/>
          <w:lang w:val="uk-UA"/>
        </w:rPr>
      </w:pPr>
      <w:r w:rsidRPr="000D45CC">
        <w:rPr>
          <w:snapToGrid w:val="0"/>
          <w:lang w:val="uk-UA"/>
        </w:rPr>
        <w:t>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серпні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та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вересні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2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випуски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акцій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ВАТ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АКІБ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“УкрСиббанк</w:t>
      </w:r>
      <w:r w:rsidR="000D45CC" w:rsidRPr="000D45CC">
        <w:rPr>
          <w:snapToGrid w:val="0"/>
          <w:lang w:val="uk-UA"/>
        </w:rPr>
        <w:t xml:space="preserve">" </w:t>
      </w:r>
      <w:r w:rsidRPr="000D45CC">
        <w:rPr>
          <w:snapToGrid w:val="0"/>
          <w:lang w:val="uk-UA"/>
        </w:rPr>
        <w:t>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суму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500,0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млн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грн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кожен</w:t>
      </w:r>
      <w:r w:rsidR="000D45CC" w:rsidRPr="000D45CC">
        <w:rPr>
          <w:snapToGrid w:val="0"/>
          <w:lang w:val="uk-UA"/>
        </w:rPr>
        <w:t>;</w:t>
      </w:r>
    </w:p>
    <w:p w:rsidR="000D45CC" w:rsidRPr="000D45CC" w:rsidRDefault="009A6710" w:rsidP="000D45CC">
      <w:pPr>
        <w:numPr>
          <w:ilvl w:val="0"/>
          <w:numId w:val="11"/>
        </w:numPr>
        <w:tabs>
          <w:tab w:val="clear" w:pos="1713"/>
          <w:tab w:val="left" w:pos="726"/>
        </w:tabs>
        <w:ind w:left="0" w:firstLine="709"/>
        <w:rPr>
          <w:snapToGrid w:val="0"/>
          <w:lang w:val="uk-UA"/>
        </w:rPr>
      </w:pPr>
      <w:r w:rsidRPr="000D45CC">
        <w:rPr>
          <w:snapToGrid w:val="0"/>
          <w:lang w:val="uk-UA"/>
        </w:rPr>
        <w:t>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серпні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та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червні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2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випуски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акцій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ЗАТ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КБ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“Приватбанк</w:t>
      </w:r>
      <w:r w:rsidR="000D45CC" w:rsidRPr="000D45CC">
        <w:rPr>
          <w:snapToGrid w:val="0"/>
          <w:lang w:val="uk-UA"/>
        </w:rPr>
        <w:t xml:space="preserve">" </w:t>
      </w:r>
      <w:r w:rsidRPr="000D45CC">
        <w:rPr>
          <w:snapToGrid w:val="0"/>
          <w:lang w:val="uk-UA"/>
        </w:rPr>
        <w:t>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суму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500,0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млн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грн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та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452,0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млн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грн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відповідно</w:t>
      </w:r>
      <w:r w:rsidR="000D45CC" w:rsidRPr="000D45CC">
        <w:rPr>
          <w:snapToGrid w:val="0"/>
          <w:lang w:val="uk-UA"/>
        </w:rPr>
        <w:t>.</w:t>
      </w:r>
    </w:p>
    <w:p w:rsidR="000D45CC" w:rsidRPr="000D45CC" w:rsidRDefault="009A6710" w:rsidP="000D45CC">
      <w:pPr>
        <w:tabs>
          <w:tab w:val="left" w:pos="726"/>
        </w:tabs>
        <w:rPr>
          <w:snapToGrid w:val="0"/>
          <w:lang w:val="uk-UA"/>
        </w:rPr>
      </w:pPr>
      <w:r w:rsidRPr="000D45CC">
        <w:rPr>
          <w:snapToGrid w:val="0"/>
          <w:lang w:val="uk-UA"/>
        </w:rPr>
        <w:t>Також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аналогічно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протягом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lang w:val="uk-UA"/>
        </w:rPr>
        <w:t>січня-вересня</w:t>
      </w:r>
      <w:r w:rsidR="000D45CC" w:rsidRPr="000D45CC">
        <w:rPr>
          <w:lang w:val="uk-UA"/>
        </w:rPr>
        <w:t xml:space="preserve"> </w:t>
      </w:r>
      <w:r w:rsidRPr="000D45CC">
        <w:rPr>
          <w:snapToGrid w:val="0"/>
          <w:lang w:val="uk-UA"/>
        </w:rPr>
        <w:t>2007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року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значні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за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обсягом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випуски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акцій,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які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суттєво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вплинули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загальну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структуру,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зареєстровано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такими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емітентами</w:t>
      </w:r>
      <w:r w:rsidR="000D45CC" w:rsidRPr="000D45CC">
        <w:rPr>
          <w:snapToGrid w:val="0"/>
          <w:lang w:val="uk-UA"/>
        </w:rPr>
        <w:t>:</w:t>
      </w:r>
    </w:p>
    <w:p w:rsidR="000D45CC" w:rsidRPr="000D45CC" w:rsidRDefault="009A6710" w:rsidP="000D45CC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ВАТ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Алчевський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металургійний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комбінат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1,5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млрд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.);</w:t>
      </w:r>
    </w:p>
    <w:p w:rsidR="000D45CC" w:rsidRPr="000D45CC" w:rsidRDefault="009A6710" w:rsidP="000D45CC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ЗАТ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криворізький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гірничо-металургійний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комбінат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окислених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руд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798,78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.);</w:t>
      </w:r>
    </w:p>
    <w:p w:rsidR="000D45CC" w:rsidRPr="000D45CC" w:rsidRDefault="009A6710" w:rsidP="000D45CC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ЗАТ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Перший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Український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Міжнародний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2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429,3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757,5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.);</w:t>
      </w:r>
    </w:p>
    <w:p w:rsidR="000D45CC" w:rsidRPr="000D45CC" w:rsidRDefault="009A6710" w:rsidP="000D45CC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ВАТ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Фінанси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кредит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2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519,0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757,5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.);</w:t>
      </w:r>
    </w:p>
    <w:p w:rsidR="000D45CC" w:rsidRPr="000D45CC" w:rsidRDefault="009A6710" w:rsidP="000D45CC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ВАТ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АКБ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соціального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розвитку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Укрсоцбанк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650,0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.);</w:t>
      </w:r>
    </w:p>
    <w:p w:rsidR="000D45CC" w:rsidRPr="000D45CC" w:rsidRDefault="009A6710" w:rsidP="000D45CC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ЗАТ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Комерційний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Приватбанк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631,25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.);</w:t>
      </w:r>
    </w:p>
    <w:p w:rsidR="000D45CC" w:rsidRPr="000D45CC" w:rsidRDefault="009A6710" w:rsidP="000D45CC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ЗАТ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Ферротрейд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інтернешнл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523,94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.);</w:t>
      </w:r>
    </w:p>
    <w:p w:rsidR="000D45CC" w:rsidRPr="000D45CC" w:rsidRDefault="009A6710" w:rsidP="000D45CC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ЗАТ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Альфа-Банк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2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505,0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кожний</w:t>
      </w:r>
      <w:r w:rsidR="000D45CC" w:rsidRPr="000D45CC">
        <w:rPr>
          <w:lang w:val="uk-UA"/>
        </w:rPr>
        <w:t>);</w:t>
      </w:r>
    </w:p>
    <w:p w:rsidR="000D45CC" w:rsidRPr="000D45CC" w:rsidRDefault="009A6710" w:rsidP="000D45CC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ЗАТ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Люкс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500,0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.);</w:t>
      </w:r>
    </w:p>
    <w:p w:rsidR="000D45CC" w:rsidRPr="000D45CC" w:rsidRDefault="009A6710" w:rsidP="000D45CC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ВАТ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АКБ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Форум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500,0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.);</w:t>
      </w:r>
    </w:p>
    <w:p w:rsidR="000D45CC" w:rsidRPr="000D45CC" w:rsidRDefault="009A6710" w:rsidP="000D45CC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ВАТ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Металургійний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комбінат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Азовсталь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491,0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.);</w:t>
      </w:r>
    </w:p>
    <w:p w:rsidR="000D45CC" w:rsidRPr="000D45CC" w:rsidRDefault="009A6710" w:rsidP="000D45CC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ВАТ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АКБ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ТАС-Комерцбанк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482,6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.);</w:t>
      </w:r>
    </w:p>
    <w:p w:rsidR="000D45CC" w:rsidRPr="000D45CC" w:rsidRDefault="009A6710" w:rsidP="000D45CC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ВАТ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інноваційний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УкрСиббанк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450,0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.);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Отже,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проаналізувавши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вищенаведені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дані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зазначити,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2007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загальний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зазначених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емітентів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становив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53,36%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29,56%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відповідно,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зареєстрованих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центральним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апаратом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Комісії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протягом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зазначених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періодів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Під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час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Комісією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було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зафіксовано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2006-2007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599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571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відповідно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Отже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скоротився,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можна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побачити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таблиці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</w:t>
      </w:r>
      <w:r w:rsidR="000D45CC" w:rsidRPr="000D45CC">
        <w:rPr>
          <w:lang w:val="uk-UA"/>
        </w:rPr>
        <w:t>. (</w:t>
      </w:r>
      <w:r w:rsidRPr="000D45CC">
        <w:rPr>
          <w:lang w:val="uk-UA"/>
        </w:rPr>
        <w:t>додаток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</w:t>
      </w:r>
      <w:r w:rsidR="000D45CC" w:rsidRPr="000D45CC">
        <w:rPr>
          <w:lang w:val="uk-UA"/>
        </w:rPr>
        <w:t>).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Також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найбільш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значні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підприємства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зареєстровано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наступними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емітентами</w:t>
      </w:r>
      <w:r w:rsidR="000D45CC" w:rsidRPr="000D45CC">
        <w:rPr>
          <w:lang w:val="uk-UA"/>
        </w:rPr>
        <w:t>: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1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році</w:t>
      </w:r>
      <w:r w:rsidR="000D45CC" w:rsidRPr="000D45CC">
        <w:rPr>
          <w:lang w:val="uk-UA"/>
        </w:rPr>
        <w:t>:</w:t>
      </w:r>
    </w:p>
    <w:p w:rsidR="000D45CC" w:rsidRPr="000D45CC" w:rsidRDefault="009A6710" w:rsidP="000D45CC">
      <w:pPr>
        <w:numPr>
          <w:ilvl w:val="1"/>
          <w:numId w:val="9"/>
        </w:numPr>
        <w:tabs>
          <w:tab w:val="clear" w:pos="1800"/>
          <w:tab w:val="left" w:pos="726"/>
        </w:tabs>
        <w:ind w:left="0" w:firstLine="709"/>
        <w:rPr>
          <w:snapToGrid w:val="0"/>
          <w:lang w:val="uk-UA"/>
        </w:rPr>
      </w:pPr>
      <w:r w:rsidRPr="000D45CC">
        <w:rPr>
          <w:lang w:val="uk-UA"/>
        </w:rPr>
        <w:t>ВАТ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АКБ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“Надра”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250,0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 (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1,39%</w:t>
      </w:r>
      <w:r w:rsidR="000D45CC" w:rsidRPr="000D45CC">
        <w:rPr>
          <w:snapToGrid w:val="0"/>
          <w:lang w:val="uk-UA"/>
        </w:rPr>
        <w:t>);</w:t>
      </w:r>
    </w:p>
    <w:p w:rsidR="000D45CC" w:rsidRPr="000D45CC" w:rsidRDefault="009A6710" w:rsidP="000D45CC">
      <w:pPr>
        <w:numPr>
          <w:ilvl w:val="1"/>
          <w:numId w:val="9"/>
        </w:numPr>
        <w:tabs>
          <w:tab w:val="clear" w:pos="1800"/>
          <w:tab w:val="left" w:pos="726"/>
        </w:tabs>
        <w:ind w:left="0" w:firstLine="709"/>
        <w:rPr>
          <w:snapToGrid w:val="0"/>
          <w:lang w:val="uk-UA"/>
        </w:rPr>
      </w:pPr>
      <w:r w:rsidRPr="000D45CC">
        <w:rPr>
          <w:snapToGrid w:val="0"/>
          <w:lang w:val="uk-UA"/>
        </w:rPr>
        <w:t>ЗАТ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Комерційний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банк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“ПриватБанк</w:t>
      </w:r>
      <w:r w:rsidR="000D45CC" w:rsidRPr="000D45CC">
        <w:rPr>
          <w:snapToGrid w:val="0"/>
          <w:lang w:val="uk-UA"/>
        </w:rPr>
        <w:t xml:space="preserve">" </w:t>
      </w:r>
      <w:r w:rsidRPr="000D45CC">
        <w:rPr>
          <w:snapToGrid w:val="0"/>
          <w:lang w:val="uk-UA"/>
        </w:rPr>
        <w:t>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суму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500,0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млн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грн</w:t>
      </w:r>
      <w:r w:rsidR="000D45CC" w:rsidRPr="000D45CC">
        <w:rPr>
          <w:snapToGrid w:val="0"/>
          <w:lang w:val="uk-UA"/>
        </w:rPr>
        <w:t>. (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2,78%</w:t>
      </w:r>
      <w:r w:rsidR="000D45CC" w:rsidRPr="000D45CC">
        <w:rPr>
          <w:snapToGrid w:val="0"/>
          <w:lang w:val="uk-UA"/>
        </w:rPr>
        <w:t>);</w:t>
      </w:r>
    </w:p>
    <w:p w:rsidR="000D45CC" w:rsidRPr="000D45CC" w:rsidRDefault="009A6710" w:rsidP="000D45CC">
      <w:pPr>
        <w:numPr>
          <w:ilvl w:val="1"/>
          <w:numId w:val="9"/>
        </w:numPr>
        <w:tabs>
          <w:tab w:val="clear" w:pos="1800"/>
          <w:tab w:val="left" w:pos="726"/>
        </w:tabs>
        <w:ind w:left="0" w:firstLine="709"/>
        <w:rPr>
          <w:snapToGrid w:val="0"/>
          <w:lang w:val="uk-UA"/>
        </w:rPr>
      </w:pPr>
      <w:r w:rsidRPr="000D45CC">
        <w:rPr>
          <w:snapToGrid w:val="0"/>
          <w:lang w:val="uk-UA"/>
        </w:rPr>
        <w:t>ВАТ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АКІБ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“Укрсиббанк</w:t>
      </w:r>
      <w:r w:rsidR="000D45CC" w:rsidRPr="000D45CC">
        <w:rPr>
          <w:snapToGrid w:val="0"/>
          <w:lang w:val="uk-UA"/>
        </w:rPr>
        <w:t xml:space="preserve">" </w:t>
      </w:r>
      <w:r w:rsidRPr="000D45CC">
        <w:rPr>
          <w:snapToGrid w:val="0"/>
          <w:lang w:val="uk-UA"/>
        </w:rPr>
        <w:t>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суму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250,0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млн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грн</w:t>
      </w:r>
      <w:r w:rsidR="000D45CC" w:rsidRPr="000D45CC">
        <w:rPr>
          <w:snapToGrid w:val="0"/>
          <w:lang w:val="uk-UA"/>
        </w:rPr>
        <w:t>. (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1,39%</w:t>
      </w:r>
      <w:r w:rsidR="000D45CC" w:rsidRPr="000D45CC">
        <w:rPr>
          <w:snapToGrid w:val="0"/>
          <w:lang w:val="uk-UA"/>
        </w:rPr>
        <w:t>);</w:t>
      </w:r>
    </w:p>
    <w:p w:rsidR="000D45CC" w:rsidRPr="000D45CC" w:rsidRDefault="009A6710" w:rsidP="000D45CC">
      <w:pPr>
        <w:numPr>
          <w:ilvl w:val="1"/>
          <w:numId w:val="9"/>
        </w:numPr>
        <w:tabs>
          <w:tab w:val="clear" w:pos="1800"/>
          <w:tab w:val="left" w:pos="726"/>
        </w:tabs>
        <w:ind w:left="0" w:firstLine="709"/>
        <w:rPr>
          <w:lang w:val="uk-UA"/>
        </w:rPr>
      </w:pPr>
      <w:r w:rsidRPr="000D45CC">
        <w:rPr>
          <w:snapToGrid w:val="0"/>
          <w:lang w:val="uk-UA"/>
        </w:rPr>
        <w:t>ВАТ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АКБ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соціального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розвитку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“Укрсоцбанк</w:t>
      </w:r>
      <w:r w:rsidR="000D45CC" w:rsidRPr="000D45CC">
        <w:rPr>
          <w:snapToGrid w:val="0"/>
          <w:lang w:val="uk-UA"/>
        </w:rPr>
        <w:t xml:space="preserve">" </w:t>
      </w:r>
      <w:r w:rsidRPr="000D45CC">
        <w:rPr>
          <w:snapToGrid w:val="0"/>
          <w:lang w:val="uk-UA"/>
        </w:rPr>
        <w:t>та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ТОВ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“Корпорація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ВІП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ПАУЗ”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суму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300,0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млн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грн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lang w:val="uk-UA"/>
        </w:rPr>
        <w:t>кожний</w:t>
      </w:r>
      <w:r w:rsidR="000D45CC" w:rsidRPr="000D45CC">
        <w:rPr>
          <w:lang w:val="uk-UA"/>
        </w:rPr>
        <w:t>;</w:t>
      </w:r>
    </w:p>
    <w:p w:rsidR="000D45CC" w:rsidRPr="000D45CC" w:rsidRDefault="009A6710" w:rsidP="000D45CC">
      <w:pPr>
        <w:numPr>
          <w:ilvl w:val="1"/>
          <w:numId w:val="9"/>
        </w:numPr>
        <w:tabs>
          <w:tab w:val="clear" w:pos="1800"/>
          <w:tab w:val="left" w:pos="726"/>
        </w:tabs>
        <w:ind w:left="0" w:firstLine="709"/>
        <w:rPr>
          <w:lang w:val="uk-UA"/>
        </w:rPr>
      </w:pPr>
      <w:r w:rsidRPr="000D45CC">
        <w:rPr>
          <w:snapToGrid w:val="0"/>
          <w:lang w:val="uk-UA"/>
        </w:rPr>
        <w:t>ТОВ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Іпотечна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компанія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“Аркада-Фонд”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суму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200,0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млн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грн</w:t>
      </w:r>
      <w:r w:rsidR="000D45CC" w:rsidRPr="000D45CC">
        <w:rPr>
          <w:snapToGrid w:val="0"/>
          <w:lang w:val="uk-UA"/>
        </w:rPr>
        <w:t>. (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1,11%</w:t>
      </w:r>
      <w:r w:rsidR="000D45CC" w:rsidRPr="000D45CC">
        <w:rPr>
          <w:lang w:val="uk-UA"/>
        </w:rPr>
        <w:t>);</w:t>
      </w:r>
    </w:p>
    <w:p w:rsidR="000D45CC" w:rsidRPr="000D45CC" w:rsidRDefault="009A6710" w:rsidP="000D45CC">
      <w:pPr>
        <w:numPr>
          <w:ilvl w:val="1"/>
          <w:numId w:val="9"/>
        </w:numPr>
        <w:tabs>
          <w:tab w:val="clear" w:pos="1800"/>
          <w:tab w:val="left" w:pos="726"/>
        </w:tabs>
        <w:ind w:left="0" w:firstLine="709"/>
        <w:rPr>
          <w:snapToGrid w:val="0"/>
          <w:lang w:val="uk-UA"/>
        </w:rPr>
      </w:pPr>
      <w:r w:rsidRPr="000D45CC">
        <w:rPr>
          <w:snapToGrid w:val="0"/>
          <w:lang w:val="uk-UA"/>
        </w:rPr>
        <w:t>випуск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облігацій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ЗАТ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“Приватбанк</w:t>
      </w:r>
      <w:r w:rsidR="000D45CC" w:rsidRPr="000D45CC">
        <w:rPr>
          <w:snapToGrid w:val="0"/>
          <w:lang w:val="uk-UA"/>
        </w:rPr>
        <w:t xml:space="preserve">" </w:t>
      </w:r>
      <w:r w:rsidRPr="000D45CC">
        <w:rPr>
          <w:snapToGrid w:val="0"/>
          <w:lang w:val="uk-UA"/>
        </w:rPr>
        <w:t>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суму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500,0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млн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грн</w:t>
      </w:r>
      <w:r w:rsidR="000D45CC" w:rsidRPr="000D45CC">
        <w:rPr>
          <w:snapToGrid w:val="0"/>
          <w:lang w:val="uk-UA"/>
        </w:rPr>
        <w:t>. (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2,78%</w:t>
      </w:r>
      <w:r w:rsidR="000D45CC" w:rsidRPr="000D45CC">
        <w:rPr>
          <w:snapToGrid w:val="0"/>
          <w:lang w:val="uk-UA"/>
        </w:rPr>
        <w:t>);</w:t>
      </w:r>
    </w:p>
    <w:p w:rsidR="000D45CC" w:rsidRPr="000D45CC" w:rsidRDefault="009A6710" w:rsidP="000D45CC">
      <w:pPr>
        <w:numPr>
          <w:ilvl w:val="1"/>
          <w:numId w:val="9"/>
        </w:numPr>
        <w:tabs>
          <w:tab w:val="clear" w:pos="1800"/>
          <w:tab w:val="left" w:pos="726"/>
        </w:tabs>
        <w:ind w:left="0" w:firstLine="709"/>
        <w:rPr>
          <w:snapToGrid w:val="0"/>
          <w:lang w:val="uk-UA"/>
        </w:rPr>
      </w:pPr>
      <w:r w:rsidRPr="000D45CC">
        <w:rPr>
          <w:snapToGrid w:val="0"/>
          <w:lang w:val="uk-UA"/>
        </w:rPr>
        <w:t>ВАТ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“Державний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експортно-імпортний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банк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України</w:t>
      </w:r>
      <w:r w:rsidR="000D45CC" w:rsidRPr="000D45CC">
        <w:rPr>
          <w:snapToGrid w:val="0"/>
          <w:lang w:val="uk-UA"/>
        </w:rPr>
        <w:t xml:space="preserve">" </w:t>
      </w:r>
      <w:r w:rsidRPr="000D45CC">
        <w:rPr>
          <w:snapToGrid w:val="0"/>
          <w:lang w:val="uk-UA"/>
        </w:rPr>
        <w:t>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суму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500,0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млн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грн</w:t>
      </w:r>
      <w:r w:rsidR="000D45CC" w:rsidRPr="000D45CC">
        <w:rPr>
          <w:snapToGrid w:val="0"/>
          <w:lang w:val="uk-UA"/>
        </w:rPr>
        <w:t>. (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2,78%</w:t>
      </w:r>
      <w:r w:rsidR="000D45CC" w:rsidRPr="000D45CC">
        <w:rPr>
          <w:snapToGrid w:val="0"/>
          <w:lang w:val="uk-UA"/>
        </w:rPr>
        <w:t>);</w:t>
      </w:r>
    </w:p>
    <w:p w:rsidR="000D45CC" w:rsidRPr="000D45CC" w:rsidRDefault="009A6710" w:rsidP="000D45CC">
      <w:pPr>
        <w:numPr>
          <w:ilvl w:val="1"/>
          <w:numId w:val="9"/>
        </w:numPr>
        <w:tabs>
          <w:tab w:val="clear" w:pos="1800"/>
          <w:tab w:val="left" w:pos="726"/>
        </w:tabs>
        <w:ind w:left="0" w:firstLine="709"/>
        <w:rPr>
          <w:snapToGrid w:val="0"/>
          <w:lang w:val="uk-UA"/>
        </w:rPr>
      </w:pPr>
      <w:r w:rsidRPr="000D45CC">
        <w:rPr>
          <w:snapToGrid w:val="0"/>
          <w:lang w:val="uk-UA"/>
        </w:rPr>
        <w:t>2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випуски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облігацій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ТОВ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“Укргаз</w:t>
      </w:r>
      <w:r w:rsidR="000D45CC" w:rsidRPr="000D45CC">
        <w:rPr>
          <w:snapToGrid w:val="0"/>
          <w:lang w:val="uk-UA"/>
        </w:rPr>
        <w:t xml:space="preserve">" </w:t>
      </w:r>
      <w:r w:rsidRPr="000D45CC">
        <w:rPr>
          <w:snapToGrid w:val="0"/>
          <w:lang w:val="uk-UA"/>
        </w:rPr>
        <w:t>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суму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269,5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млн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грн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та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90,0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млн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грн</w:t>
      </w:r>
      <w:r w:rsidR="000D45CC" w:rsidRPr="000D45CC">
        <w:rPr>
          <w:snapToGrid w:val="0"/>
          <w:lang w:val="uk-UA"/>
        </w:rPr>
        <w:t>.;</w:t>
      </w:r>
    </w:p>
    <w:p w:rsidR="000D45CC" w:rsidRPr="000D45CC" w:rsidRDefault="009A6710" w:rsidP="000D45CC">
      <w:pPr>
        <w:numPr>
          <w:ilvl w:val="1"/>
          <w:numId w:val="9"/>
        </w:numPr>
        <w:tabs>
          <w:tab w:val="clear" w:pos="1800"/>
          <w:tab w:val="left" w:pos="726"/>
        </w:tabs>
        <w:ind w:left="0" w:firstLine="709"/>
        <w:rPr>
          <w:snapToGrid w:val="0"/>
          <w:lang w:val="uk-UA"/>
        </w:rPr>
      </w:pPr>
      <w:r w:rsidRPr="000D45CC">
        <w:rPr>
          <w:snapToGrid w:val="0"/>
          <w:lang w:val="uk-UA"/>
        </w:rPr>
        <w:t>ТОВ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“Виробничий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вектор”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суму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230,1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млн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грн</w:t>
      </w:r>
      <w:r w:rsidR="000D45CC" w:rsidRPr="000D45CC">
        <w:rPr>
          <w:snapToGrid w:val="0"/>
          <w:lang w:val="uk-UA"/>
        </w:rPr>
        <w:t>.;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snapToGrid w:val="0"/>
          <w:lang w:val="uk-UA"/>
        </w:rPr>
        <w:t>2</w:t>
      </w:r>
      <w:r w:rsidR="000D45CC" w:rsidRPr="000D45CC">
        <w:rPr>
          <w:snapToGrid w:val="0"/>
          <w:lang w:val="uk-UA"/>
        </w:rPr>
        <w:t xml:space="preserve">)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2007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році</w:t>
      </w:r>
      <w:r w:rsidR="000D45CC" w:rsidRPr="000D45CC">
        <w:rPr>
          <w:lang w:val="uk-UA"/>
        </w:rPr>
        <w:t>:</w:t>
      </w:r>
    </w:p>
    <w:p w:rsidR="000D45CC" w:rsidRPr="000D45CC" w:rsidRDefault="009A6710" w:rsidP="000D45CC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ТОВ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Баски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плюс-2004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600,0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.);</w:t>
      </w:r>
    </w:p>
    <w:p w:rsidR="000D45CC" w:rsidRPr="000D45CC" w:rsidRDefault="009A6710" w:rsidP="000D45CC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ТОВ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Навіум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550,0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.);</w:t>
      </w:r>
    </w:p>
    <w:p w:rsidR="000D45CC" w:rsidRPr="000D45CC" w:rsidRDefault="009A6710" w:rsidP="000D45CC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ТОВ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Комерційний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Дельта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500,0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.);</w:t>
      </w:r>
    </w:p>
    <w:p w:rsidR="000D45CC" w:rsidRPr="000D45CC" w:rsidRDefault="009A6710" w:rsidP="000D45CC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ВАТ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АКБ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соціального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розвитку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Укрсоцбанк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2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500,0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кожний</w:t>
      </w:r>
      <w:r w:rsidR="000D45CC" w:rsidRPr="000D45CC">
        <w:rPr>
          <w:lang w:val="uk-UA"/>
        </w:rPr>
        <w:t>);</w:t>
      </w:r>
    </w:p>
    <w:p w:rsidR="000D45CC" w:rsidRPr="000D45CC" w:rsidRDefault="000D45CC" w:rsidP="000D45CC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"</w:t>
      </w:r>
      <w:r w:rsidR="009A6710" w:rsidRPr="000D45CC">
        <w:rPr>
          <w:lang w:val="uk-UA"/>
        </w:rPr>
        <w:t>Комерційний</w:t>
      </w:r>
      <w:r w:rsidRPr="000D45CC">
        <w:rPr>
          <w:lang w:val="uk-UA"/>
        </w:rPr>
        <w:t xml:space="preserve"> </w:t>
      </w:r>
      <w:r w:rsidR="009A6710" w:rsidRPr="000D45CC">
        <w:rPr>
          <w:lang w:val="uk-UA"/>
        </w:rPr>
        <w:t>банк</w:t>
      </w:r>
      <w:r w:rsidRPr="000D45CC">
        <w:rPr>
          <w:lang w:val="uk-UA"/>
        </w:rPr>
        <w:t xml:space="preserve"> "</w:t>
      </w:r>
      <w:r w:rsidR="009A6710" w:rsidRPr="000D45CC">
        <w:rPr>
          <w:lang w:val="uk-UA"/>
        </w:rPr>
        <w:t>Приватбанк</w:t>
      </w:r>
      <w:r w:rsidRPr="000D45CC">
        <w:rPr>
          <w:lang w:val="uk-UA"/>
        </w:rPr>
        <w:t>" (</w:t>
      </w:r>
      <w:r w:rsidR="009A6710" w:rsidRPr="000D45CC">
        <w:rPr>
          <w:lang w:val="uk-UA"/>
        </w:rPr>
        <w:t>3</w:t>
      </w:r>
      <w:r w:rsidRPr="000D45CC">
        <w:rPr>
          <w:lang w:val="uk-UA"/>
        </w:rPr>
        <w:t xml:space="preserve"> </w:t>
      </w:r>
      <w:r w:rsidR="009A6710" w:rsidRPr="000D45CC">
        <w:rPr>
          <w:lang w:val="uk-UA"/>
        </w:rPr>
        <w:t>випуски</w:t>
      </w:r>
      <w:r w:rsidRPr="000D45CC">
        <w:rPr>
          <w:lang w:val="uk-UA"/>
        </w:rPr>
        <w:t xml:space="preserve"> </w:t>
      </w:r>
      <w:r w:rsidR="009A6710" w:rsidRPr="000D45CC">
        <w:rPr>
          <w:lang w:val="uk-UA"/>
        </w:rPr>
        <w:t>по</w:t>
      </w:r>
      <w:r w:rsidRPr="000D45CC">
        <w:rPr>
          <w:lang w:val="uk-UA"/>
        </w:rPr>
        <w:t xml:space="preserve"> </w:t>
      </w:r>
      <w:r w:rsidR="009A6710" w:rsidRPr="000D45CC">
        <w:rPr>
          <w:lang w:val="uk-UA"/>
        </w:rPr>
        <w:t>500,0</w:t>
      </w:r>
      <w:r w:rsidRPr="000D45CC">
        <w:rPr>
          <w:lang w:val="uk-UA"/>
        </w:rPr>
        <w:t xml:space="preserve"> </w:t>
      </w:r>
      <w:r w:rsidR="009A6710" w:rsidRPr="000D45CC">
        <w:rPr>
          <w:lang w:val="uk-UA"/>
        </w:rPr>
        <w:t>млн</w:t>
      </w:r>
      <w:r w:rsidRPr="000D45CC">
        <w:rPr>
          <w:lang w:val="uk-UA"/>
        </w:rPr>
        <w:t xml:space="preserve">. </w:t>
      </w:r>
      <w:r w:rsidR="009A6710" w:rsidRPr="000D45CC">
        <w:rPr>
          <w:lang w:val="uk-UA"/>
        </w:rPr>
        <w:t>грн</w:t>
      </w:r>
      <w:r w:rsidRPr="000D45CC">
        <w:rPr>
          <w:lang w:val="uk-UA"/>
        </w:rPr>
        <w:t xml:space="preserve">. </w:t>
      </w:r>
      <w:r w:rsidR="009A6710" w:rsidRPr="000D45CC">
        <w:rPr>
          <w:lang w:val="uk-UA"/>
        </w:rPr>
        <w:t>кожний</w:t>
      </w:r>
      <w:r w:rsidRPr="000D45CC">
        <w:rPr>
          <w:lang w:val="uk-UA"/>
        </w:rPr>
        <w:t>);</w:t>
      </w:r>
    </w:p>
    <w:p w:rsidR="000D45CC" w:rsidRPr="000D45CC" w:rsidRDefault="009A6710" w:rsidP="000D45CC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ВАТ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Райффайзен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Аваль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500,0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.);</w:t>
      </w:r>
    </w:p>
    <w:p w:rsidR="000D45CC" w:rsidRPr="000D45CC" w:rsidRDefault="009A6710" w:rsidP="000D45CC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ВАТ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Державний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експортно-імпортний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України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500,0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.);</w:t>
      </w:r>
    </w:p>
    <w:p w:rsidR="000D45CC" w:rsidRPr="000D45CC" w:rsidRDefault="009A6710" w:rsidP="000D45CC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ВАТ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Кредитпромбанк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500,0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.);</w:t>
      </w:r>
    </w:p>
    <w:p w:rsidR="000D45CC" w:rsidRPr="000D45CC" w:rsidRDefault="009A6710" w:rsidP="000D45CC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ЗАТ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Альфа-банк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3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310,0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 xml:space="preserve">., </w:t>
      </w:r>
      <w:r w:rsidRPr="000D45CC">
        <w:rPr>
          <w:lang w:val="uk-UA"/>
        </w:rPr>
        <w:t>300,0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290,0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.);</w:t>
      </w:r>
    </w:p>
    <w:p w:rsidR="000D45CC" w:rsidRPr="000D45CC" w:rsidRDefault="009A6710" w:rsidP="000D45CC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ВАТ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Акціонерний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комерційний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іноваційний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УкрСиббанк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300,0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.);</w:t>
      </w:r>
    </w:p>
    <w:p w:rsidR="000D45CC" w:rsidRPr="000D45CC" w:rsidRDefault="009A6710" w:rsidP="000D45CC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ТОВ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Комерційний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Дельта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300,0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);</w:t>
      </w:r>
    </w:p>
    <w:p w:rsidR="000D45CC" w:rsidRPr="000D45CC" w:rsidRDefault="009A6710" w:rsidP="000D45CC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D45CC">
        <w:rPr>
          <w:lang w:val="uk-UA"/>
        </w:rPr>
        <w:t>ВАТ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АБ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Укргазбанк</w:t>
      </w:r>
      <w:r w:rsidR="000D45CC" w:rsidRPr="000D45CC">
        <w:rPr>
          <w:lang w:val="uk-UA"/>
        </w:rPr>
        <w:t>" (</w:t>
      </w:r>
      <w:r w:rsidRPr="000D45CC">
        <w:rPr>
          <w:lang w:val="uk-UA"/>
        </w:rPr>
        <w:t>300,0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.).</w:t>
      </w:r>
    </w:p>
    <w:p w:rsidR="000D45CC" w:rsidRPr="000D45CC" w:rsidRDefault="009A6710" w:rsidP="000D45CC">
      <w:pPr>
        <w:tabs>
          <w:tab w:val="left" w:pos="726"/>
        </w:tabs>
        <w:rPr>
          <w:b/>
          <w:i/>
          <w:lang w:val="uk-UA"/>
        </w:rPr>
      </w:pPr>
      <w:r w:rsidRPr="000D45CC">
        <w:rPr>
          <w:b/>
          <w:i/>
          <w:lang w:val="uk-UA"/>
        </w:rPr>
        <w:t>Торгівля</w:t>
      </w:r>
      <w:r w:rsidR="000D45CC" w:rsidRPr="000D45CC">
        <w:rPr>
          <w:b/>
          <w:i/>
          <w:lang w:val="uk-UA"/>
        </w:rPr>
        <w:t xml:space="preserve"> </w:t>
      </w:r>
      <w:r w:rsidRPr="000D45CC">
        <w:rPr>
          <w:b/>
          <w:i/>
          <w:lang w:val="uk-UA"/>
        </w:rPr>
        <w:t>цінними</w:t>
      </w:r>
      <w:r w:rsidR="000D45CC" w:rsidRPr="000D45CC">
        <w:rPr>
          <w:b/>
          <w:i/>
          <w:lang w:val="uk-UA"/>
        </w:rPr>
        <w:t xml:space="preserve"> </w:t>
      </w:r>
      <w:r w:rsidRPr="000D45CC">
        <w:rPr>
          <w:b/>
          <w:i/>
          <w:lang w:val="uk-UA"/>
        </w:rPr>
        <w:t>паперами</w:t>
      </w:r>
      <w:r w:rsidR="000D45CC" w:rsidRPr="000D45CC">
        <w:rPr>
          <w:b/>
          <w:i/>
          <w:lang w:val="uk-UA"/>
        </w:rPr>
        <w:t xml:space="preserve"> </w:t>
      </w:r>
      <w:r w:rsidRPr="000D45CC">
        <w:rPr>
          <w:b/>
          <w:i/>
          <w:lang w:val="uk-UA"/>
        </w:rPr>
        <w:t>на</w:t>
      </w:r>
      <w:r w:rsidR="000D45CC" w:rsidRPr="000D45CC">
        <w:rPr>
          <w:b/>
          <w:i/>
          <w:lang w:val="uk-UA"/>
        </w:rPr>
        <w:t xml:space="preserve"> </w:t>
      </w:r>
      <w:r w:rsidRPr="000D45CC">
        <w:rPr>
          <w:b/>
          <w:i/>
          <w:lang w:val="uk-UA"/>
        </w:rPr>
        <w:t>організаторах</w:t>
      </w:r>
      <w:r w:rsidR="000D45CC" w:rsidRPr="000D45CC">
        <w:rPr>
          <w:b/>
          <w:i/>
          <w:lang w:val="uk-UA"/>
        </w:rPr>
        <w:t xml:space="preserve"> </w:t>
      </w:r>
      <w:r w:rsidRPr="000D45CC">
        <w:rPr>
          <w:b/>
          <w:i/>
          <w:lang w:val="uk-UA"/>
        </w:rPr>
        <w:t>торгівлі</w:t>
      </w:r>
      <w:r w:rsidR="000D45CC" w:rsidRPr="000D45CC">
        <w:rPr>
          <w:b/>
          <w:i/>
          <w:lang w:val="uk-UA"/>
        </w:rPr>
        <w:t>.</w:t>
      </w:r>
    </w:p>
    <w:p w:rsidR="000D45CC" w:rsidRPr="000D45CC" w:rsidRDefault="009A6710" w:rsidP="000D45CC">
      <w:pPr>
        <w:tabs>
          <w:tab w:val="left" w:pos="726"/>
        </w:tabs>
        <w:rPr>
          <w:snapToGrid w:val="0"/>
          <w:lang w:val="uk-UA"/>
        </w:rPr>
      </w:pPr>
      <w:r w:rsidRPr="000D45CC">
        <w:rPr>
          <w:snapToGrid w:val="0"/>
          <w:lang w:val="uk-UA"/>
        </w:rPr>
        <w:t>Протягом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2006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року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організаторах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торгівлі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обсяг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торгів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з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цінними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паперами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становив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29,08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млрд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грн</w:t>
      </w:r>
      <w:r w:rsidR="000D45CC" w:rsidRPr="000D45CC">
        <w:rPr>
          <w:snapToGrid w:val="0"/>
          <w:lang w:val="uk-UA"/>
        </w:rPr>
        <w:t>. (</w:t>
      </w:r>
      <w:r w:rsidRPr="000D45CC">
        <w:rPr>
          <w:lang w:val="uk-UA"/>
        </w:rPr>
        <w:t>таблиця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3</w:t>
      </w:r>
      <w:r w:rsidR="000D45CC" w:rsidRPr="000D45CC">
        <w:rPr>
          <w:lang w:val="uk-UA"/>
        </w:rPr>
        <w:t xml:space="preserve">). </w:t>
      </w:r>
      <w:r w:rsidRPr="000D45CC">
        <w:rPr>
          <w:snapToGrid w:val="0"/>
          <w:lang w:val="uk-UA"/>
        </w:rPr>
        <w:t>Порівнюючи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дані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з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2005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роком,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можна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зробити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висновок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щодо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збільшення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обсягу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торгів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організаторах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торгівлі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12,65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млрд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грн</w:t>
      </w:r>
      <w:r w:rsidR="000D45CC" w:rsidRPr="000D45CC">
        <w:rPr>
          <w:snapToGrid w:val="0"/>
          <w:lang w:val="uk-UA"/>
        </w:rPr>
        <w:t>. (</w:t>
      </w:r>
      <w:r w:rsidRPr="000D45CC">
        <w:rPr>
          <w:snapToGrid w:val="0"/>
          <w:lang w:val="uk-UA"/>
        </w:rPr>
        <w:t>2005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рік</w:t>
      </w:r>
      <w:r w:rsidR="000D45CC" w:rsidRPr="000D45CC">
        <w:rPr>
          <w:snapToGrid w:val="0"/>
          <w:lang w:val="uk-UA"/>
        </w:rPr>
        <w:t xml:space="preserve"> - </w:t>
      </w:r>
      <w:r w:rsidRPr="000D45CC">
        <w:rPr>
          <w:snapToGrid w:val="0"/>
          <w:lang w:val="uk-UA"/>
        </w:rPr>
        <w:t>16,43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млрд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грн</w:t>
      </w:r>
      <w:r w:rsidR="000D45CC" w:rsidRPr="000D45CC">
        <w:rPr>
          <w:snapToGrid w:val="0"/>
          <w:lang w:val="uk-UA"/>
        </w:rPr>
        <w:t>.).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грудні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організаторах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становив</w:t>
      </w:r>
      <w:r w:rsidR="000D45CC" w:rsidRPr="000D45CC">
        <w:rPr>
          <w:lang w:val="uk-UA"/>
        </w:rPr>
        <w:t xml:space="preserve"> </w:t>
      </w:r>
      <w:r w:rsidRPr="000D45CC">
        <w:rPr>
          <w:snapToGrid w:val="0"/>
          <w:lang w:val="uk-UA"/>
        </w:rPr>
        <w:t>1,91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lang w:val="uk-UA"/>
        </w:rPr>
        <w:t>млрд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Порівняно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даними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грудень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2005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грудні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організаторах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зменшився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1,04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млрд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 (</w:t>
      </w:r>
      <w:r w:rsidRPr="000D45CC">
        <w:rPr>
          <w:lang w:val="uk-UA"/>
        </w:rPr>
        <w:t>грудень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2005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2,95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млрд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 xml:space="preserve">.) </w:t>
      </w:r>
      <w:r w:rsidRPr="000D45CC">
        <w:rPr>
          <w:lang w:val="uk-UA"/>
        </w:rPr>
        <w:t>таблиця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додаток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</w:t>
      </w:r>
      <w:r w:rsidR="000D45CC" w:rsidRPr="000D45CC">
        <w:rPr>
          <w:lang w:val="uk-UA"/>
        </w:rPr>
        <w:t>).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Протягом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ПФТС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становив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28,02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млрд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Порівняно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аналогічним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періодом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2005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ПФТС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збільшився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1,9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раз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2005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рік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14,49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млрд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 xml:space="preserve">.). </w:t>
      </w:r>
      <w:r w:rsidRPr="000D45CC">
        <w:rPr>
          <w:lang w:val="uk-UA"/>
        </w:rPr>
        <w:t>Обсяг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ПФТС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становив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96,36%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загального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організаторах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цей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період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грудні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ПФТС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становив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1,66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млрд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 (</w:t>
      </w:r>
      <w:r w:rsidRPr="000D45CC">
        <w:rPr>
          <w:lang w:val="uk-UA"/>
        </w:rPr>
        <w:t>86,72%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загального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організаторах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грудні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 xml:space="preserve">). </w:t>
      </w:r>
      <w:r w:rsidRPr="000D45CC">
        <w:rPr>
          <w:lang w:val="uk-UA"/>
        </w:rPr>
        <w:t>Порівняно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відповідним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періодом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2005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ПФТС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зменшився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1,01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млрд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 (</w:t>
      </w:r>
      <w:r w:rsidRPr="000D45CC">
        <w:rPr>
          <w:lang w:val="uk-UA"/>
        </w:rPr>
        <w:t>грудень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2005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2,67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млрд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.).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Спостерігається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значна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перевага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організаторах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вторинному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порівняно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первинним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грудні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організаторах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вторинному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становив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96,58%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загального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зафіксованому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протягом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грудня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організаторах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торгівлі</w:t>
      </w:r>
    </w:p>
    <w:p w:rsidR="000D45CC" w:rsidRPr="000D45CC" w:rsidRDefault="009A6710" w:rsidP="000D45CC">
      <w:pPr>
        <w:tabs>
          <w:tab w:val="left" w:pos="726"/>
        </w:tabs>
        <w:rPr>
          <w:snapToGrid w:val="0"/>
          <w:lang w:val="uk-UA"/>
        </w:rPr>
      </w:pPr>
      <w:r w:rsidRPr="000D45CC">
        <w:rPr>
          <w:snapToGrid w:val="0"/>
          <w:lang w:val="uk-UA"/>
        </w:rPr>
        <w:t>Протягом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січня-вересня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2007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року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обсяг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торгів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з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цінними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паперами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на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організаторах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торгівлі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становив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21,18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млрд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грн</w:t>
      </w:r>
      <w:r w:rsidR="000D45CC" w:rsidRPr="000D45CC">
        <w:rPr>
          <w:snapToGrid w:val="0"/>
          <w:lang w:val="uk-UA"/>
        </w:rPr>
        <w:t xml:space="preserve">. </w:t>
      </w:r>
      <w:r w:rsidRPr="000D45CC">
        <w:rPr>
          <w:snapToGrid w:val="0"/>
          <w:lang w:val="uk-UA"/>
        </w:rPr>
        <w:t>Таблиця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3</w:t>
      </w:r>
      <w:r w:rsidR="000D45CC" w:rsidRPr="000D45CC">
        <w:rPr>
          <w:snapToGrid w:val="0"/>
          <w:lang w:val="uk-UA"/>
        </w:rPr>
        <w:t xml:space="preserve"> (</w:t>
      </w:r>
      <w:r w:rsidRPr="000D45CC">
        <w:rPr>
          <w:snapToGrid w:val="0"/>
          <w:lang w:val="uk-UA"/>
        </w:rPr>
        <w:t>додаток</w:t>
      </w:r>
      <w:r w:rsidR="000D45CC" w:rsidRPr="000D45CC">
        <w:rPr>
          <w:snapToGrid w:val="0"/>
          <w:lang w:val="uk-UA"/>
        </w:rPr>
        <w:t xml:space="preserve"> </w:t>
      </w:r>
      <w:r w:rsidR="00423FE2" w:rsidRPr="000D45CC">
        <w:rPr>
          <w:snapToGrid w:val="0"/>
          <w:lang w:val="uk-UA"/>
        </w:rPr>
        <w:t>3</w:t>
      </w:r>
      <w:r w:rsidR="000D45CC" w:rsidRPr="000D45CC">
        <w:rPr>
          <w:snapToGrid w:val="0"/>
          <w:lang w:val="uk-UA"/>
        </w:rPr>
        <w:t>).</w:t>
      </w:r>
    </w:p>
    <w:p w:rsidR="000D45CC" w:rsidRPr="000D45CC" w:rsidRDefault="009A6710" w:rsidP="000D45CC">
      <w:pPr>
        <w:tabs>
          <w:tab w:val="left" w:pos="726"/>
        </w:tabs>
        <w:rPr>
          <w:b/>
          <w:i/>
          <w:lang w:val="uk-UA"/>
        </w:rPr>
      </w:pPr>
      <w:r w:rsidRPr="000D45CC">
        <w:rPr>
          <w:b/>
          <w:i/>
          <w:lang w:val="uk-UA"/>
        </w:rPr>
        <w:t>Обсяги</w:t>
      </w:r>
      <w:r w:rsidR="000D45CC" w:rsidRPr="000D45CC">
        <w:rPr>
          <w:b/>
          <w:i/>
          <w:lang w:val="uk-UA"/>
        </w:rPr>
        <w:t xml:space="preserve"> </w:t>
      </w:r>
      <w:r w:rsidRPr="000D45CC">
        <w:rPr>
          <w:b/>
          <w:i/>
          <w:lang w:val="uk-UA"/>
        </w:rPr>
        <w:t>виконаних</w:t>
      </w:r>
      <w:r w:rsidR="000D45CC" w:rsidRPr="000D45CC">
        <w:rPr>
          <w:b/>
          <w:i/>
          <w:lang w:val="uk-UA"/>
        </w:rPr>
        <w:t xml:space="preserve"> </w:t>
      </w:r>
      <w:r w:rsidRPr="000D45CC">
        <w:rPr>
          <w:b/>
          <w:i/>
          <w:lang w:val="uk-UA"/>
        </w:rPr>
        <w:t>договорів</w:t>
      </w:r>
      <w:r w:rsidR="000D45CC" w:rsidRPr="000D45CC">
        <w:rPr>
          <w:b/>
          <w:i/>
          <w:lang w:val="uk-UA"/>
        </w:rPr>
        <w:t xml:space="preserve"> </w:t>
      </w:r>
      <w:r w:rsidRPr="000D45CC">
        <w:rPr>
          <w:b/>
          <w:i/>
          <w:lang w:val="uk-UA"/>
        </w:rPr>
        <w:t>на</w:t>
      </w:r>
      <w:r w:rsidR="000D45CC" w:rsidRPr="000D45CC">
        <w:rPr>
          <w:b/>
          <w:i/>
          <w:lang w:val="uk-UA"/>
        </w:rPr>
        <w:t xml:space="preserve"> </w:t>
      </w:r>
      <w:r w:rsidRPr="000D45CC">
        <w:rPr>
          <w:b/>
          <w:i/>
          <w:lang w:val="uk-UA"/>
        </w:rPr>
        <w:t>ринку</w:t>
      </w:r>
      <w:r w:rsidR="000D45CC" w:rsidRPr="000D45CC">
        <w:rPr>
          <w:b/>
          <w:i/>
          <w:lang w:val="uk-UA"/>
        </w:rPr>
        <w:t xml:space="preserve"> </w:t>
      </w:r>
      <w:r w:rsidRPr="000D45CC">
        <w:rPr>
          <w:b/>
          <w:i/>
          <w:lang w:val="uk-UA"/>
        </w:rPr>
        <w:t>цінних</w:t>
      </w:r>
      <w:r w:rsidR="000D45CC" w:rsidRPr="000D45CC">
        <w:rPr>
          <w:b/>
          <w:i/>
          <w:lang w:val="uk-UA"/>
        </w:rPr>
        <w:t xml:space="preserve"> </w:t>
      </w:r>
      <w:r w:rsidRPr="000D45CC">
        <w:rPr>
          <w:b/>
          <w:i/>
          <w:lang w:val="uk-UA"/>
        </w:rPr>
        <w:t>паперів</w:t>
      </w:r>
      <w:r w:rsidR="000D45CC" w:rsidRPr="000D45CC">
        <w:rPr>
          <w:b/>
          <w:i/>
          <w:lang w:val="uk-UA"/>
        </w:rPr>
        <w:t xml:space="preserve"> </w:t>
      </w:r>
      <w:r w:rsidRPr="000D45CC">
        <w:rPr>
          <w:b/>
          <w:i/>
          <w:lang w:val="uk-UA"/>
        </w:rPr>
        <w:t>за</w:t>
      </w:r>
      <w:r w:rsidR="000D45CC" w:rsidRPr="000D45CC">
        <w:rPr>
          <w:b/>
          <w:i/>
          <w:lang w:val="uk-UA"/>
        </w:rPr>
        <w:t xml:space="preserve"> </w:t>
      </w:r>
      <w:r w:rsidRPr="000D45CC">
        <w:rPr>
          <w:b/>
          <w:i/>
          <w:lang w:val="uk-UA"/>
        </w:rPr>
        <w:t>кварталами,</w:t>
      </w:r>
      <w:r w:rsidR="000D45CC" w:rsidRPr="000D45CC">
        <w:rPr>
          <w:b/>
          <w:i/>
          <w:lang w:val="uk-UA"/>
        </w:rPr>
        <w:t xml:space="preserve"> </w:t>
      </w:r>
      <w:r w:rsidRPr="000D45CC">
        <w:rPr>
          <w:b/>
          <w:i/>
          <w:lang w:val="uk-UA"/>
        </w:rPr>
        <w:t>млрд</w:t>
      </w:r>
      <w:r w:rsidR="000D45CC" w:rsidRPr="000D45CC">
        <w:rPr>
          <w:b/>
          <w:i/>
          <w:lang w:val="uk-UA"/>
        </w:rPr>
        <w:t xml:space="preserve">. </w:t>
      </w:r>
      <w:r w:rsidRPr="000D45CC">
        <w:rPr>
          <w:b/>
          <w:i/>
          <w:lang w:val="uk-UA"/>
        </w:rPr>
        <w:t>грн</w:t>
      </w:r>
      <w:r w:rsidR="000D45CC" w:rsidRPr="000D45CC">
        <w:rPr>
          <w:b/>
          <w:i/>
          <w:lang w:val="uk-UA"/>
        </w:rPr>
        <w:t>.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Розподіл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торговців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регіональною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ознакою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порівняно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попередніми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періодами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майже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змінився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Процентне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співвідношення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кількості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торговців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областями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залишилось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значних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змін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ІІІ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кварталі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попередні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квартали,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області,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знаходиться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більша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кількість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зареєстрованих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торговців,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більші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Це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спостерігається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Київській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області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Києві,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Дніпропетровській,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Харківській,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Донецькій,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Львівській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Запорізькій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областях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Аналіз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свідчить,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ІІІ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кварталі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82,4%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торговців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здійснювали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діяльність,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зосереджено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шести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областях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Обсяги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торговцями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становили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96,97%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загального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період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ІІІ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кварталі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торговці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крім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інвестиційних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компаній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виконали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75,17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млрд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 xml:space="preserve">.,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становило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64,17%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загального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ІІІ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квартал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дані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наведено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таблиці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4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додаток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3</w:t>
      </w:r>
      <w:r w:rsidR="000D45CC" w:rsidRPr="000D45CC">
        <w:rPr>
          <w:lang w:val="uk-UA"/>
        </w:rPr>
        <w:t>).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Інвестиційні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компанії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ІІІ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кварталі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збільшили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порівняно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ІІІ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кварталом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2005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ІІІ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квартал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становили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7,29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млрд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 (</w:t>
      </w:r>
      <w:r w:rsidRPr="000D45CC">
        <w:rPr>
          <w:lang w:val="uk-UA"/>
        </w:rPr>
        <w:t>або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6,48%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загального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договорів</w:t>
      </w:r>
      <w:r w:rsidR="000D45CC" w:rsidRPr="000D45CC">
        <w:rPr>
          <w:lang w:val="uk-UA"/>
        </w:rPr>
        <w:t xml:space="preserve">),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4,05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млрд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більше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порівняно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ІІІ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кварталом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2005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Переважну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більшість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ІІІ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кварталі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становила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комерційна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комісійна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діяльність,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частка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становила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58,65%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39,86%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відповідно,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показано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таблиці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5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додаток</w:t>
      </w:r>
      <w:r w:rsidR="000D45CC" w:rsidRPr="000D45CC">
        <w:rPr>
          <w:lang w:val="uk-UA"/>
        </w:rPr>
        <w:t xml:space="preserve"> </w:t>
      </w:r>
      <w:r w:rsidR="00423FE2" w:rsidRPr="000D45CC">
        <w:rPr>
          <w:lang w:val="uk-UA"/>
        </w:rPr>
        <w:t>4</w:t>
      </w:r>
      <w:r w:rsidR="000D45CC" w:rsidRPr="000D45CC">
        <w:rPr>
          <w:lang w:val="uk-UA"/>
        </w:rPr>
        <w:t>).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Інші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торговців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розміщення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управління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активами,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торговців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</w:t>
      </w:r>
      <w:r w:rsidR="000D45CC" w:rsidRPr="000D45CC">
        <w:rPr>
          <w:lang w:val="uk-UA"/>
        </w:rPr>
        <w:t xml:space="preserve">)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ІІІ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кварталі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становили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1,49%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загального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договорів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Протягом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9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місяців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найбільші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обсяги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зафіксовано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акціями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138,09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млрд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 xml:space="preserve">.)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векселями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101,41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млрд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>.).</w:t>
      </w:r>
    </w:p>
    <w:p w:rsidR="009A6710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Діяльність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ведення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іменних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Комісією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прийнято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адміністративні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дані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ІІІ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квартал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355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суб’єктів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підприємницької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діяльності,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здійснювали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ведення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іменних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snapToGrid w:val="0"/>
          <w:lang w:val="uk-UA"/>
        </w:rPr>
        <w:t>381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lang w:val="uk-UA"/>
        </w:rPr>
        <w:t>емітента,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самостійно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іменних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Регіональне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представництво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реєстраторів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іменних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сформувалося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попередні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роки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Більшість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знаходиться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промислово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розвинутих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регіонах,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сконцентрована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переважна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більшість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емітентів</w:t>
      </w:r>
      <w:r w:rsidR="000D45CC" w:rsidRPr="000D45CC">
        <w:rPr>
          <w:lang w:val="uk-UA"/>
        </w:rPr>
        <w:t>.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ІІІ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кварталі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найбільша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кількість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професійних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учасників,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ведення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іменних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зафіксовано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Київській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області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Києві</w:t>
      </w:r>
      <w:r w:rsidR="000D45CC" w:rsidRPr="000D45CC">
        <w:rPr>
          <w:lang w:val="uk-UA"/>
        </w:rPr>
        <w:t xml:space="preserve"> (</w:t>
      </w:r>
      <w:r w:rsidRPr="000D45CC">
        <w:rPr>
          <w:snapToGrid w:val="0"/>
          <w:lang w:val="uk-UA"/>
        </w:rPr>
        <w:t>35,21%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загальної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кількості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реєстраторів</w:t>
      </w:r>
      <w:r w:rsidR="000D45CC" w:rsidRPr="000D45CC">
        <w:rPr>
          <w:lang w:val="uk-UA"/>
        </w:rPr>
        <w:t xml:space="preserve">).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цьому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регіоні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також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найбільша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кількість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емітентів,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ведення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реєстратори</w:t>
      </w:r>
      <w:r w:rsidR="000D45CC" w:rsidRPr="000D45CC">
        <w:rPr>
          <w:lang w:val="uk-UA"/>
        </w:rPr>
        <w:t xml:space="preserve"> (</w:t>
      </w:r>
      <w:r w:rsidRPr="000D45CC">
        <w:rPr>
          <w:snapToGrid w:val="0"/>
          <w:lang w:val="uk-UA"/>
        </w:rPr>
        <w:t>33,15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snapToGrid w:val="0"/>
          <w:lang w:val="uk-UA"/>
        </w:rPr>
        <w:t>%</w:t>
      </w:r>
      <w:r w:rsidR="000D45CC" w:rsidRPr="000D45CC">
        <w:rPr>
          <w:snapToGrid w:val="0"/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загальної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кількості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емітентів</w:t>
      </w:r>
      <w:r w:rsidR="000D45CC" w:rsidRPr="000D45CC">
        <w:rPr>
          <w:lang w:val="uk-UA"/>
        </w:rPr>
        <w:t>).</w:t>
      </w:r>
    </w:p>
    <w:p w:rsid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Значна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кількість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реєстраторів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здійснювали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Дніпропетровській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Харківській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областях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10,14%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6,48%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загальної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кількості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реєстраторів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відповідно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областях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також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значна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кількість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емітентів,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ведення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реєстратори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12,98%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6,79%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загальної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кількості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емітентів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відповідно</w:t>
      </w:r>
      <w:r w:rsidR="000D45CC" w:rsidRPr="000D45CC">
        <w:rPr>
          <w:lang w:val="uk-UA"/>
        </w:rPr>
        <w:t>).</w:t>
      </w:r>
    </w:p>
    <w:p w:rsidR="00A64DAE" w:rsidRPr="00A64DAE" w:rsidRDefault="00A64DAE" w:rsidP="00A64DAE">
      <w:pPr>
        <w:pStyle w:val="af6"/>
        <w:rPr>
          <w:lang w:val="uk-UA"/>
        </w:rPr>
      </w:pPr>
      <w:r w:rsidRPr="00A64DAE">
        <w:rPr>
          <w:lang w:val="uk-UA"/>
        </w:rPr>
        <w:t>банківська операція фондова біржа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30</w:t>
      </w:r>
      <w:r w:rsidR="000D45CC" w:rsidRPr="000D45CC">
        <w:rPr>
          <w:lang w:val="uk-UA"/>
        </w:rPr>
        <w:t>.09.20</w:t>
      </w:r>
      <w:r w:rsidRPr="000D45CC">
        <w:rPr>
          <w:lang w:val="uk-UA"/>
        </w:rPr>
        <w:t>06р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самостійно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здійснювали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ведення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іменних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snapToGrid w:val="0"/>
          <w:lang w:val="uk-UA"/>
        </w:rPr>
        <w:t>381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емітент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таблиця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6,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додаток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4</w:t>
      </w:r>
      <w:r w:rsidR="000D45CC" w:rsidRPr="000D45CC">
        <w:rPr>
          <w:lang w:val="uk-UA"/>
        </w:rPr>
        <w:t>).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Дані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отриманої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інформації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свідчать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те,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шляхом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створення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підпорядкованих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підрозділів,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найбільш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характерно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для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банківських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установ,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ліцензію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право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здійснення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ведення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іменних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Загальна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кількість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підпорядкованих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підрозділів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реєстраторів,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30</w:t>
      </w:r>
      <w:r w:rsidR="000D45CC" w:rsidRPr="000D45CC">
        <w:rPr>
          <w:lang w:val="uk-UA"/>
        </w:rPr>
        <w:t>.06.20</w:t>
      </w:r>
      <w:r w:rsidRPr="000D45CC">
        <w:rPr>
          <w:lang w:val="uk-UA"/>
        </w:rPr>
        <w:t>06р</w:t>
      </w:r>
      <w:r w:rsidR="000D45CC" w:rsidRPr="000D45CC">
        <w:rPr>
          <w:lang w:val="uk-UA"/>
        </w:rPr>
        <w:t xml:space="preserve">., </w:t>
      </w:r>
      <w:r w:rsidRPr="000D45CC">
        <w:rPr>
          <w:lang w:val="uk-UA"/>
        </w:rPr>
        <w:t>становить</w:t>
      </w:r>
      <w:r w:rsidR="000D45CC" w:rsidRPr="000D45CC">
        <w:rPr>
          <w:lang w:val="uk-UA"/>
        </w:rPr>
        <w:t xml:space="preserve"> </w:t>
      </w:r>
      <w:r w:rsidRPr="000D45CC">
        <w:rPr>
          <w:snapToGrid w:val="0"/>
          <w:lang w:val="uk-UA"/>
        </w:rPr>
        <w:t>90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установ</w:t>
      </w:r>
      <w:r w:rsidR="000D45CC" w:rsidRPr="000D45CC">
        <w:rPr>
          <w:lang w:val="uk-UA"/>
        </w:rPr>
        <w:t>. [</w:t>
      </w:r>
      <w:r w:rsidR="00125919" w:rsidRPr="000D45CC">
        <w:rPr>
          <w:lang w:val="uk-UA"/>
        </w:rPr>
        <w:t>20</w:t>
      </w:r>
      <w:r w:rsidR="000D45CC" w:rsidRPr="000D45CC">
        <w:rPr>
          <w:lang w:val="uk-UA"/>
        </w:rPr>
        <w:t>.]</w:t>
      </w: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Незважаючи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те,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30</w:t>
      </w:r>
      <w:r w:rsidR="000D45CC" w:rsidRPr="000D45CC">
        <w:rPr>
          <w:lang w:val="uk-UA"/>
        </w:rPr>
        <w:t>.06.20</w:t>
      </w:r>
      <w:r w:rsidRPr="000D45CC">
        <w:rPr>
          <w:lang w:val="uk-UA"/>
        </w:rPr>
        <w:t>06р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порівняно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даними,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наданими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31</w:t>
      </w:r>
      <w:r w:rsidR="000D45CC" w:rsidRPr="000D45CC">
        <w:rPr>
          <w:lang w:val="uk-UA"/>
        </w:rPr>
        <w:t>.03.20</w:t>
      </w:r>
      <w:r w:rsidRPr="000D45CC">
        <w:rPr>
          <w:lang w:val="uk-UA"/>
        </w:rPr>
        <w:t>06р</w:t>
      </w:r>
      <w:r w:rsidR="000D45CC" w:rsidRPr="000D45CC">
        <w:rPr>
          <w:lang w:val="uk-UA"/>
        </w:rPr>
        <w:t xml:space="preserve">., </w:t>
      </w:r>
      <w:r w:rsidRPr="000D45CC">
        <w:rPr>
          <w:lang w:val="uk-UA"/>
        </w:rPr>
        <w:t>кількість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іменних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обслуговують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реєстратори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зменшилась,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емітенти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продовжують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активно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користуватися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реєстраторів</w:t>
      </w:r>
      <w:r w:rsidR="000D45CC" w:rsidRPr="000D45CC">
        <w:rPr>
          <w:lang w:val="uk-UA"/>
        </w:rPr>
        <w:t>.</w:t>
      </w:r>
    </w:p>
    <w:p w:rsidR="000D45CC" w:rsidRPr="000D45CC" w:rsidRDefault="00A301B2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Український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зараз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знаходиться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стадії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формування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становлення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дивлячись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об’єктивні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труднощі,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виникають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цьому,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зроблені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кроки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надію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те,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Україна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поступово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приближується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цілі</w:t>
      </w:r>
      <w:r w:rsidR="000D45CC" w:rsidRPr="000D45CC">
        <w:rPr>
          <w:lang w:val="uk-UA"/>
        </w:rPr>
        <w:t xml:space="preserve"> - </w:t>
      </w:r>
      <w:r w:rsidRPr="000D45CC">
        <w:rPr>
          <w:lang w:val="uk-UA"/>
        </w:rPr>
        <w:t>створення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ефективного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справедливого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регульованого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державою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інтегрованого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світові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ринки</w:t>
      </w:r>
      <w:r w:rsidR="000D45CC" w:rsidRPr="000D45CC">
        <w:rPr>
          <w:lang w:val="uk-UA"/>
        </w:rPr>
        <w:t>.</w:t>
      </w:r>
    </w:p>
    <w:p w:rsidR="009A6710" w:rsidRPr="000D45CC" w:rsidRDefault="000D45CC" w:rsidP="000D45CC">
      <w:pPr>
        <w:pStyle w:val="1"/>
        <w:rPr>
          <w:lang w:val="uk-UA"/>
        </w:rPr>
      </w:pPr>
      <w:r w:rsidRPr="000D45CC">
        <w:rPr>
          <w:lang w:val="uk-UA"/>
        </w:rPr>
        <w:br w:type="page"/>
      </w:r>
      <w:bookmarkStart w:id="4" w:name="_Toc286424851"/>
      <w:r w:rsidR="00A301B2" w:rsidRPr="000D45CC">
        <w:rPr>
          <w:lang w:val="uk-UA"/>
        </w:rPr>
        <w:t>Висновок</w:t>
      </w:r>
      <w:bookmarkEnd w:id="4"/>
    </w:p>
    <w:p w:rsidR="000D45CC" w:rsidRPr="000D45CC" w:rsidRDefault="000D45CC" w:rsidP="000D45CC">
      <w:pPr>
        <w:rPr>
          <w:lang w:val="uk-UA" w:eastAsia="en-US"/>
        </w:rPr>
      </w:pPr>
    </w:p>
    <w:p w:rsidR="000D45CC" w:rsidRPr="000D45CC" w:rsidRDefault="00A301B2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розвиненому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суспільстві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само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велике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значення,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виробництво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Найдинамічніше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розвивається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складова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сфери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пов'язана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задоволенням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потреб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суспільного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виробництва</w:t>
      </w:r>
      <w:r w:rsidR="000D45CC" w:rsidRPr="000D45CC">
        <w:rPr>
          <w:lang w:val="uk-UA"/>
        </w:rPr>
        <w:t xml:space="preserve">: </w:t>
      </w:r>
      <w:r w:rsidRPr="000D45CC">
        <w:rPr>
          <w:lang w:val="uk-UA"/>
        </w:rPr>
        <w:t>фінансово-кредитне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обслуговування,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страхові,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інформаційне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бухгалтерське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обслуговування</w:t>
      </w:r>
      <w:r w:rsidR="000D45CC" w:rsidRPr="000D45CC">
        <w:rPr>
          <w:lang w:val="uk-UA"/>
        </w:rPr>
        <w:t>.</w:t>
      </w:r>
    </w:p>
    <w:p w:rsidR="000D45CC" w:rsidRPr="000D45CC" w:rsidRDefault="00A301B2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Поняття</w:t>
      </w:r>
      <w:r w:rsidR="000D45CC" w:rsidRPr="000D45CC">
        <w:rPr>
          <w:lang w:val="uk-UA"/>
        </w:rPr>
        <w:t xml:space="preserve"> "</w:t>
      </w:r>
      <w:r w:rsidRPr="000D45CC">
        <w:rPr>
          <w:lang w:val="uk-UA"/>
        </w:rPr>
        <w:t>послуга</w:t>
      </w:r>
      <w:r w:rsidR="000D45CC" w:rsidRPr="000D45CC">
        <w:rPr>
          <w:lang w:val="uk-UA"/>
        </w:rPr>
        <w:t xml:space="preserve">" </w:t>
      </w:r>
      <w:r w:rsidRPr="000D45CC">
        <w:rPr>
          <w:lang w:val="uk-UA"/>
        </w:rPr>
        <w:t>охоплює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широку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різних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діяльності,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інакше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кажучи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комплекс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різноманітних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економічної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діяльності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людини</w:t>
      </w:r>
      <w:r w:rsidR="000D45CC" w:rsidRPr="000D45CC">
        <w:rPr>
          <w:lang w:val="uk-UA"/>
        </w:rPr>
        <w:t>.</w:t>
      </w:r>
    </w:p>
    <w:p w:rsidR="00A301B2" w:rsidRPr="000D45CC" w:rsidRDefault="00A301B2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ринковій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економіці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купуються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основі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вільного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вибору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Вони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становлять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об'єкт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купівлі-продажу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товаром,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хоча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доволі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специфічним</w:t>
      </w:r>
      <w:r w:rsidR="000D45CC" w:rsidRPr="000D45CC">
        <w:rPr>
          <w:lang w:val="uk-UA"/>
        </w:rPr>
        <w:t xml:space="preserve">: </w:t>
      </w:r>
      <w:r w:rsidRPr="000D45CC">
        <w:rPr>
          <w:lang w:val="uk-UA"/>
        </w:rPr>
        <w:t>їх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виробництво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споживання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часто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збігаються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місцем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часом</w:t>
      </w:r>
      <w:r w:rsidR="000D45CC" w:rsidRPr="000D45CC">
        <w:rPr>
          <w:lang w:val="uk-UA"/>
        </w:rPr>
        <w:t xml:space="preserve">;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елемент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сфери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нематеріального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виробництва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нарівні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продукцією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матеріальної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сфери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беруть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участь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сукупному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процесі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суспільного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виробництва</w:t>
      </w:r>
    </w:p>
    <w:p w:rsidR="000D45CC" w:rsidRPr="000D45CC" w:rsidRDefault="00A301B2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Нетрадиційні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банківські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включають</w:t>
      </w:r>
      <w:r w:rsidR="000D45CC" w:rsidRPr="000D45CC">
        <w:rPr>
          <w:lang w:val="uk-UA"/>
        </w:rPr>
        <w:t xml:space="preserve">: </w:t>
      </w:r>
      <w:r w:rsidRPr="000D45CC">
        <w:rPr>
          <w:lang w:val="uk-UA"/>
        </w:rPr>
        <w:t>лізингові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факторинг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форфейтинг,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гарантійні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трастові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нетрадиційні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банківські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>.</w:t>
      </w:r>
    </w:p>
    <w:p w:rsidR="000D45CC" w:rsidRPr="000D45CC" w:rsidRDefault="00A301B2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умовах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розвиненої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ринкової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економіки,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гроші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протягом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століть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формувались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розвивались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товар,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подібний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будь-якого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іншого,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розвинену,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розгалужену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інфраструктуру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Ця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інфраструктура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включає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ефективну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банківську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систему,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фондову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біржу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позабіржову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систему,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небанківські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кредитні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інститути,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підтримуючі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стимулюючі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інформаційні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системи,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законодавчу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базу,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забезпечує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врегулювання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економічних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взаємовідносин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між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суб'єктами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економіки,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що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діють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фінансовому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державний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бюджет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елементи</w:t>
      </w:r>
      <w:r w:rsidR="000D45CC" w:rsidRPr="000D45CC">
        <w:rPr>
          <w:lang w:val="uk-UA"/>
        </w:rPr>
        <w:t>.</w:t>
      </w:r>
    </w:p>
    <w:p w:rsidR="000D45CC" w:rsidRPr="000D45CC" w:rsidRDefault="00A301B2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Одним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ринку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фінансових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є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нетрадиційні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банківські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включають</w:t>
      </w:r>
      <w:r w:rsidR="000D45CC" w:rsidRPr="000D45CC">
        <w:rPr>
          <w:lang w:val="uk-UA"/>
        </w:rPr>
        <w:t xml:space="preserve">: </w:t>
      </w:r>
      <w:r w:rsidRPr="000D45CC">
        <w:rPr>
          <w:lang w:val="uk-UA"/>
        </w:rPr>
        <w:t>лізингові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факторинг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форфейтинг,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гарантійні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трастові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нетрадиційні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банківські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>.</w:t>
      </w:r>
    </w:p>
    <w:p w:rsidR="000D45CC" w:rsidRPr="000D45CC" w:rsidRDefault="00A301B2" w:rsidP="000D45CC">
      <w:pPr>
        <w:shd w:val="clear" w:color="auto" w:fill="FFFFFF"/>
        <w:tabs>
          <w:tab w:val="left" w:pos="726"/>
        </w:tabs>
        <w:rPr>
          <w:lang w:val="uk-UA"/>
        </w:rPr>
      </w:pPr>
      <w:r w:rsidRPr="000D45CC">
        <w:rPr>
          <w:lang w:val="uk-UA"/>
        </w:rPr>
        <w:t>Нетрадиційні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банківські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включають</w:t>
      </w:r>
      <w:r w:rsidR="000D45CC" w:rsidRPr="000D45CC">
        <w:rPr>
          <w:lang w:val="uk-UA"/>
        </w:rPr>
        <w:t xml:space="preserve">: </w:t>
      </w:r>
      <w:r w:rsidRPr="000D45CC">
        <w:rPr>
          <w:lang w:val="uk-UA"/>
        </w:rPr>
        <w:t>лізингові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факторинг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форфейтинг,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гарантійні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трастові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послуги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інші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нетрадиційні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банківські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операції</w:t>
      </w:r>
      <w:r w:rsidR="000D45CC" w:rsidRPr="000D45CC">
        <w:rPr>
          <w:lang w:val="uk-UA"/>
        </w:rPr>
        <w:t>.</w:t>
      </w:r>
    </w:p>
    <w:p w:rsidR="00121ABB" w:rsidRDefault="000D45CC" w:rsidP="00121ABB">
      <w:pPr>
        <w:pStyle w:val="1"/>
        <w:rPr>
          <w:lang w:val="uk-UA"/>
        </w:rPr>
      </w:pPr>
      <w:r w:rsidRPr="000D45CC">
        <w:rPr>
          <w:lang w:val="uk-UA"/>
        </w:rPr>
        <w:br w:type="page"/>
      </w:r>
      <w:bookmarkStart w:id="5" w:name="_Toc286424852"/>
      <w:r w:rsidR="00121ABB" w:rsidRPr="000D45CC">
        <w:rPr>
          <w:lang w:val="uk-UA"/>
        </w:rPr>
        <w:t>Список використаної літератури</w:t>
      </w:r>
      <w:bookmarkEnd w:id="5"/>
    </w:p>
    <w:p w:rsidR="00121ABB" w:rsidRPr="00121ABB" w:rsidRDefault="00121ABB" w:rsidP="00121ABB">
      <w:pPr>
        <w:rPr>
          <w:lang w:val="uk-UA" w:eastAsia="en-US"/>
        </w:rPr>
      </w:pPr>
    </w:p>
    <w:p w:rsidR="00121ABB" w:rsidRPr="000D45CC" w:rsidRDefault="00121ABB" w:rsidP="00121ABB">
      <w:pPr>
        <w:pStyle w:val="a"/>
        <w:rPr>
          <w:lang w:val="uk-UA"/>
        </w:rPr>
      </w:pPr>
      <w:r w:rsidRPr="000D45CC">
        <w:rPr>
          <w:lang w:val="uk-UA"/>
        </w:rPr>
        <w:t>Закон України "Про банки і банківську діяльність" № 3480 ІV від 7.11.2000 р</w:t>
      </w:r>
    </w:p>
    <w:p w:rsidR="00121ABB" w:rsidRPr="000D45CC" w:rsidRDefault="00121ABB" w:rsidP="00121ABB">
      <w:pPr>
        <w:pStyle w:val="a"/>
        <w:rPr>
          <w:lang w:val="uk-UA"/>
        </w:rPr>
      </w:pPr>
      <w:r w:rsidRPr="000D45CC">
        <w:rPr>
          <w:lang w:val="uk-UA"/>
        </w:rPr>
        <w:t>Закон України "Про фінансові послуги і державне регулювання ринків фінансових послуг" від 12.07.2001 року</w:t>
      </w:r>
    </w:p>
    <w:p w:rsidR="00121ABB" w:rsidRPr="000D45CC" w:rsidRDefault="00121ABB" w:rsidP="00121ABB">
      <w:pPr>
        <w:pStyle w:val="a"/>
        <w:rPr>
          <w:lang w:val="uk-UA"/>
        </w:rPr>
      </w:pPr>
      <w:r w:rsidRPr="000D45CC">
        <w:rPr>
          <w:lang w:val="uk-UA"/>
        </w:rPr>
        <w:t>Закон України "Про цінні папери та фондовий ринок" № 3480 ІV від 23.02.2006р.</w:t>
      </w:r>
    </w:p>
    <w:p w:rsidR="00121ABB" w:rsidRPr="000D45CC" w:rsidRDefault="00121ABB" w:rsidP="00121ABB">
      <w:pPr>
        <w:pStyle w:val="a"/>
        <w:rPr>
          <w:lang w:val="uk-UA"/>
        </w:rPr>
      </w:pPr>
      <w:r w:rsidRPr="000D45CC">
        <w:rPr>
          <w:lang w:val="uk-UA"/>
        </w:rPr>
        <w:t>Васильєва В.В., Васильченко О.Р. Фінансовий ринок: Навчальний посібник. - Київ: Центр учбової літератури, 2008. - 368с.</w:t>
      </w:r>
    </w:p>
    <w:p w:rsidR="00121ABB" w:rsidRPr="000D45CC" w:rsidRDefault="00121ABB" w:rsidP="00121ABB">
      <w:pPr>
        <w:pStyle w:val="a"/>
        <w:rPr>
          <w:lang w:val="uk-UA"/>
        </w:rPr>
      </w:pPr>
      <w:r w:rsidRPr="000D45CC">
        <w:rPr>
          <w:lang w:val="uk-UA"/>
        </w:rPr>
        <w:t>Горбач Л.М., Каун О.Б. Ринок фінансових послуг: Навчальний посібник. - Кондор, 2006. - 436с.</w:t>
      </w:r>
    </w:p>
    <w:p w:rsidR="00121ABB" w:rsidRPr="000D45CC" w:rsidRDefault="00121ABB" w:rsidP="00121ABB">
      <w:pPr>
        <w:pStyle w:val="a"/>
        <w:rPr>
          <w:lang w:val="uk-UA"/>
        </w:rPr>
      </w:pPr>
      <w:r w:rsidRPr="000D45CC">
        <w:rPr>
          <w:color w:val="000000"/>
          <w:lang w:val="uk-UA"/>
        </w:rPr>
        <w:t xml:space="preserve">Іваницька О.М. </w:t>
      </w:r>
      <w:r w:rsidRPr="000D45CC">
        <w:rPr>
          <w:lang w:val="uk-UA"/>
        </w:rPr>
        <w:t xml:space="preserve"> Фінансові ринки: Навчальний посібник: Навчальне видання. - Київ: УАДУ, 1999. - 96 c.</w:t>
      </w:r>
    </w:p>
    <w:p w:rsidR="00121ABB" w:rsidRPr="000D45CC" w:rsidRDefault="00121ABB" w:rsidP="00121ABB">
      <w:pPr>
        <w:pStyle w:val="a"/>
        <w:rPr>
          <w:lang w:val="uk-UA"/>
        </w:rPr>
      </w:pPr>
      <w:r w:rsidRPr="000D45CC">
        <w:rPr>
          <w:color w:val="000000"/>
          <w:lang w:val="uk-UA"/>
        </w:rPr>
        <w:t xml:space="preserve">Карпінський Б.А. </w:t>
      </w:r>
      <w:r w:rsidRPr="000D45CC">
        <w:rPr>
          <w:lang w:val="uk-UA"/>
        </w:rPr>
        <w:t xml:space="preserve">, </w:t>
      </w:r>
      <w:r w:rsidRPr="000D45CC">
        <w:rPr>
          <w:color w:val="000000"/>
          <w:lang w:val="uk-UA"/>
        </w:rPr>
        <w:t xml:space="preserve">Герасименко О.В. </w:t>
      </w:r>
      <w:r w:rsidRPr="000D45CC">
        <w:rPr>
          <w:lang w:val="uk-UA"/>
        </w:rPr>
        <w:t xml:space="preserve"> Фінансова система: Навчальний посібник: Навчальне видання. - К.: ЦНЛ, 2003. - 184 c.</w:t>
      </w:r>
    </w:p>
    <w:p w:rsidR="00121ABB" w:rsidRPr="000D45CC" w:rsidRDefault="00121ABB" w:rsidP="00121ABB">
      <w:pPr>
        <w:pStyle w:val="a"/>
        <w:rPr>
          <w:lang w:val="uk-UA"/>
        </w:rPr>
      </w:pPr>
      <w:r w:rsidRPr="000D45CC">
        <w:rPr>
          <w:lang w:val="uk-UA"/>
        </w:rPr>
        <w:t>Колісник М.К., Маслак О.О., Романів Є.М. Фінансовий ринок: Навчальний посібник. - Львів: Видавництво Національного університету "Львівська політехніка", 2004. - 192с.</w:t>
      </w:r>
    </w:p>
    <w:p w:rsidR="00121ABB" w:rsidRPr="000D45CC" w:rsidRDefault="00121ABB" w:rsidP="00121ABB">
      <w:pPr>
        <w:pStyle w:val="a"/>
        <w:rPr>
          <w:lang w:val="uk-UA"/>
        </w:rPr>
      </w:pPr>
      <w:r w:rsidRPr="000D45CC">
        <w:rPr>
          <w:lang w:val="uk-UA"/>
        </w:rPr>
        <w:t>Маслова С.О., Опалов О.А. Фінансовий ринок: Навчальний посібник. - Київ: "Каравела", 2003. - 344с.</w:t>
      </w:r>
    </w:p>
    <w:p w:rsidR="00121ABB" w:rsidRPr="000D45CC" w:rsidRDefault="00121ABB" w:rsidP="00121ABB">
      <w:pPr>
        <w:pStyle w:val="a"/>
        <w:rPr>
          <w:lang w:val="uk-UA"/>
        </w:rPr>
      </w:pPr>
      <w:r w:rsidRPr="000D45CC">
        <w:rPr>
          <w:lang w:val="uk-UA"/>
        </w:rPr>
        <w:t>Мойсеєнко І.П. Ринок фінансових послуг: Навчальний посібник. - Київ.: МАУП, 2006. - 360с.</w:t>
      </w:r>
    </w:p>
    <w:p w:rsidR="00121ABB" w:rsidRPr="000D45CC" w:rsidRDefault="00121ABB" w:rsidP="00121ABB">
      <w:pPr>
        <w:pStyle w:val="a"/>
        <w:rPr>
          <w:lang w:val="uk-UA"/>
        </w:rPr>
      </w:pPr>
      <w:r w:rsidRPr="000D45CC">
        <w:rPr>
          <w:lang w:val="uk-UA"/>
        </w:rPr>
        <w:t>Смолянська О.Ю. Фінансовий ринок: Навчальний посібник. - Київ: Центр навчальної літератури, 2005. - 384с.</w:t>
      </w:r>
    </w:p>
    <w:p w:rsidR="00121ABB" w:rsidRPr="000D45CC" w:rsidRDefault="00121ABB" w:rsidP="00121ABB">
      <w:pPr>
        <w:pStyle w:val="a"/>
        <w:rPr>
          <w:lang w:val="uk-UA"/>
        </w:rPr>
      </w:pPr>
      <w:r w:rsidRPr="000D45CC">
        <w:rPr>
          <w:lang w:val="uk-UA"/>
        </w:rPr>
        <w:t>Снігурська Л.П. Банківські операції і послуги" Навч. посіб. для студ. вищ. навч. закл. - Київ: МАУП, 2006. - 456с.</w:t>
      </w:r>
    </w:p>
    <w:p w:rsidR="00121ABB" w:rsidRPr="000D45CC" w:rsidRDefault="00121ABB" w:rsidP="00121ABB">
      <w:pPr>
        <w:pStyle w:val="a"/>
        <w:rPr>
          <w:lang w:val="uk-UA"/>
        </w:rPr>
      </w:pPr>
      <w:r w:rsidRPr="000D45CC">
        <w:rPr>
          <w:color w:val="000000"/>
          <w:lang w:val="uk-UA"/>
        </w:rPr>
        <w:t xml:space="preserve">Сутормiна В.М. </w:t>
      </w:r>
      <w:r w:rsidRPr="000D45CC">
        <w:rPr>
          <w:lang w:val="uk-UA"/>
        </w:rPr>
        <w:t xml:space="preserve">, </w:t>
      </w:r>
      <w:r w:rsidRPr="000D45CC">
        <w:rPr>
          <w:color w:val="000000"/>
          <w:lang w:val="uk-UA"/>
        </w:rPr>
        <w:t xml:space="preserve">Радзієвська В.М. </w:t>
      </w:r>
      <w:r w:rsidRPr="000D45CC">
        <w:rPr>
          <w:lang w:val="uk-UA"/>
        </w:rPr>
        <w:t xml:space="preserve">, </w:t>
      </w:r>
      <w:r w:rsidRPr="000D45CC">
        <w:rPr>
          <w:color w:val="000000"/>
          <w:lang w:val="uk-UA"/>
        </w:rPr>
        <w:t xml:space="preserve">Стеценко Б.С. </w:t>
      </w:r>
      <w:r w:rsidRPr="000D45CC">
        <w:rPr>
          <w:lang w:val="uk-UA"/>
        </w:rPr>
        <w:t xml:space="preserve"> Фінансовий ринок: Навчально-методичний посібник. - К.: КНЕУ, 2001. - 100 c.</w:t>
      </w:r>
    </w:p>
    <w:p w:rsidR="00121ABB" w:rsidRPr="000D45CC" w:rsidRDefault="00121ABB" w:rsidP="00121ABB">
      <w:pPr>
        <w:pStyle w:val="a"/>
        <w:rPr>
          <w:lang w:val="uk-UA"/>
        </w:rPr>
      </w:pPr>
      <w:r w:rsidRPr="000D45CC">
        <w:rPr>
          <w:lang w:val="uk-UA"/>
        </w:rPr>
        <w:t>Ходаківська В.П., Бєляєв В.В. Ринок фінансових послуг: теорія і практика: Навчальний посібник. - Київ: ЦУЛ, 2002. - 616с.</w:t>
      </w:r>
    </w:p>
    <w:p w:rsidR="00121ABB" w:rsidRPr="000D45CC" w:rsidRDefault="00121ABB" w:rsidP="00121ABB">
      <w:pPr>
        <w:pStyle w:val="a"/>
        <w:rPr>
          <w:lang w:val="uk-UA"/>
        </w:rPr>
      </w:pPr>
      <w:r w:rsidRPr="000D45CC">
        <w:rPr>
          <w:color w:val="000000"/>
          <w:lang w:val="uk-UA"/>
        </w:rPr>
        <w:t xml:space="preserve">Шелудько В.М. </w:t>
      </w:r>
      <w:r w:rsidRPr="000D45CC">
        <w:rPr>
          <w:lang w:val="uk-UA"/>
        </w:rPr>
        <w:t xml:space="preserve"> Фінансовий ринок: Навчальний посібник. - К.: Знання-Прес, 2002. - 536 c.</w:t>
      </w:r>
    </w:p>
    <w:p w:rsidR="00121ABB" w:rsidRPr="000D45CC" w:rsidRDefault="00121ABB" w:rsidP="00121ABB">
      <w:pPr>
        <w:pStyle w:val="a"/>
        <w:rPr>
          <w:lang w:val="uk-UA"/>
        </w:rPr>
      </w:pPr>
      <w:r w:rsidRPr="000D45CC">
        <w:rPr>
          <w:color w:val="000000"/>
          <w:lang w:val="uk-UA"/>
        </w:rPr>
        <w:t xml:space="preserve">Стоян В.І. </w:t>
      </w:r>
      <w:r w:rsidRPr="000D45CC">
        <w:rPr>
          <w:lang w:val="uk-UA"/>
        </w:rPr>
        <w:t xml:space="preserve"> Фіна</w:t>
      </w:r>
      <w:r w:rsidR="00A64DAE">
        <w:rPr>
          <w:lang w:val="uk-UA"/>
        </w:rPr>
        <w:t>нсовий ринок Украї</w:t>
      </w:r>
      <w:r w:rsidRPr="000D45CC">
        <w:rPr>
          <w:lang w:val="uk-UA"/>
        </w:rPr>
        <w:t>ни: проблеми і перспективи розвитку // Фінанси України (укр.). - 2000. - № 12.</w:t>
      </w:r>
    </w:p>
    <w:p w:rsidR="00121ABB" w:rsidRPr="000D45CC" w:rsidRDefault="00121ABB" w:rsidP="00121ABB">
      <w:pPr>
        <w:pStyle w:val="a"/>
        <w:rPr>
          <w:lang w:val="uk-UA"/>
        </w:rPr>
      </w:pPr>
      <w:r w:rsidRPr="000D45CC">
        <w:rPr>
          <w:lang w:val="uk-UA"/>
        </w:rPr>
        <w:t xml:space="preserve">інтернет джерело </w:t>
      </w:r>
      <w:r w:rsidRPr="000D45CC">
        <w:rPr>
          <w:color w:val="000000"/>
          <w:lang w:val="uk-UA"/>
        </w:rPr>
        <w:t>www.djerelo.com</w:t>
      </w:r>
    </w:p>
    <w:p w:rsidR="00121ABB" w:rsidRPr="000D45CC" w:rsidRDefault="00121ABB" w:rsidP="00121ABB">
      <w:pPr>
        <w:pStyle w:val="a"/>
        <w:rPr>
          <w:lang w:val="uk-UA"/>
        </w:rPr>
      </w:pPr>
      <w:r w:rsidRPr="000D45CC">
        <w:rPr>
          <w:lang w:val="uk-UA"/>
        </w:rPr>
        <w:t xml:space="preserve">інтернет джерело </w:t>
      </w:r>
      <w:r w:rsidRPr="000D45CC">
        <w:rPr>
          <w:color w:val="000000"/>
          <w:lang w:val="uk-UA"/>
        </w:rPr>
        <w:t>http://charts. finance.ua</w:t>
      </w:r>
    </w:p>
    <w:p w:rsidR="00121ABB" w:rsidRPr="000D45CC" w:rsidRDefault="00121ABB" w:rsidP="00121ABB">
      <w:pPr>
        <w:pStyle w:val="a"/>
        <w:rPr>
          <w:lang w:val="uk-UA"/>
        </w:rPr>
      </w:pPr>
      <w:r w:rsidRPr="000D45CC">
        <w:rPr>
          <w:lang w:val="uk-UA"/>
        </w:rPr>
        <w:t>інтернет джерело http://</w:t>
      </w:r>
      <w:r w:rsidRPr="000D45CC">
        <w:rPr>
          <w:color w:val="000000"/>
          <w:lang w:val="uk-UA"/>
        </w:rPr>
        <w:t>www.ukrstat.gov.ua</w:t>
      </w:r>
    </w:p>
    <w:p w:rsidR="00121ABB" w:rsidRPr="000D45CC" w:rsidRDefault="00121ABB" w:rsidP="00121ABB">
      <w:pPr>
        <w:pStyle w:val="a"/>
        <w:rPr>
          <w:lang w:val="uk-UA"/>
        </w:rPr>
      </w:pPr>
      <w:r w:rsidRPr="000D45CC">
        <w:rPr>
          <w:lang w:val="uk-UA"/>
        </w:rPr>
        <w:t>інтернет джерело www.ssmsc.gov.ua</w:t>
      </w:r>
    </w:p>
    <w:p w:rsidR="000D45CC" w:rsidRDefault="000D45CC" w:rsidP="000D45CC">
      <w:pPr>
        <w:pStyle w:val="1"/>
        <w:rPr>
          <w:lang w:val="uk-UA"/>
        </w:rPr>
        <w:sectPr w:rsidR="000D45CC" w:rsidSect="000D45CC">
          <w:headerReference w:type="default" r:id="rId7"/>
          <w:footerReference w:type="even" r:id="rId8"/>
          <w:footerReference w:type="default" r:id="rId9"/>
          <w:type w:val="continuous"/>
          <w:pgSz w:w="11909" w:h="16834"/>
          <w:pgMar w:top="1134" w:right="850" w:bottom="1134" w:left="1701" w:header="680" w:footer="680" w:gutter="0"/>
          <w:pgNumType w:fmt="numberInDash" w:start="2"/>
          <w:cols w:space="60"/>
          <w:titlePg/>
          <w:docGrid w:linePitch="91"/>
        </w:sectPr>
      </w:pPr>
    </w:p>
    <w:p w:rsidR="000D45CC" w:rsidRDefault="000D45CC" w:rsidP="000D45CC">
      <w:pPr>
        <w:pStyle w:val="1"/>
        <w:rPr>
          <w:lang w:val="uk-UA"/>
        </w:rPr>
      </w:pPr>
      <w:bookmarkStart w:id="6" w:name="_Toc286424853"/>
      <w:r w:rsidRPr="000D45CC">
        <w:rPr>
          <w:lang w:val="uk-UA"/>
        </w:rPr>
        <w:t>Дода</w:t>
      </w:r>
      <w:r>
        <w:rPr>
          <w:lang w:val="uk-UA"/>
        </w:rPr>
        <w:t>т</w:t>
      </w:r>
      <w:r w:rsidRPr="000D45CC">
        <w:rPr>
          <w:lang w:val="uk-UA"/>
        </w:rPr>
        <w:t>ки</w:t>
      </w:r>
      <w:bookmarkEnd w:id="6"/>
      <w:r w:rsidRPr="000D45CC">
        <w:rPr>
          <w:lang w:val="uk-UA"/>
        </w:rPr>
        <w:t xml:space="preserve"> </w:t>
      </w:r>
    </w:p>
    <w:p w:rsidR="000D45CC" w:rsidRPr="000D45CC" w:rsidRDefault="000D45CC" w:rsidP="000D45CC">
      <w:pPr>
        <w:tabs>
          <w:tab w:val="left" w:pos="726"/>
        </w:tabs>
        <w:rPr>
          <w:b/>
          <w:lang w:val="uk-UA"/>
        </w:rPr>
      </w:pPr>
    </w:p>
    <w:p w:rsidR="009A6710" w:rsidRDefault="009A6710" w:rsidP="000D45CC">
      <w:pPr>
        <w:pStyle w:val="af7"/>
        <w:rPr>
          <w:lang w:val="uk-UA"/>
        </w:rPr>
      </w:pPr>
      <w:r w:rsidRPr="000D45CC">
        <w:rPr>
          <w:lang w:val="uk-UA"/>
        </w:rPr>
        <w:t>Додаток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1</w:t>
      </w:r>
    </w:p>
    <w:p w:rsidR="000D45CC" w:rsidRPr="000D45CC" w:rsidRDefault="000D45CC" w:rsidP="000D45CC">
      <w:pPr>
        <w:pStyle w:val="af7"/>
        <w:rPr>
          <w:lang w:val="uk-UA"/>
        </w:rPr>
      </w:pPr>
    </w:p>
    <w:p w:rsidR="000D45CC" w:rsidRPr="000D45CC" w:rsidRDefault="009A6710" w:rsidP="000D45CC">
      <w:pPr>
        <w:tabs>
          <w:tab w:val="left" w:pos="726"/>
        </w:tabs>
        <w:ind w:left="709" w:firstLine="0"/>
        <w:rPr>
          <w:lang w:val="uk-UA"/>
        </w:rPr>
      </w:pPr>
      <w:r w:rsidRPr="000D45CC">
        <w:rPr>
          <w:b/>
          <w:lang w:val="uk-UA"/>
        </w:rPr>
        <w:t>Таблиця</w:t>
      </w:r>
      <w:r w:rsidR="000D45CC" w:rsidRPr="000D45CC">
        <w:rPr>
          <w:b/>
          <w:lang w:val="uk-UA"/>
        </w:rPr>
        <w:t xml:space="preserve"> </w:t>
      </w:r>
      <w:r w:rsidRPr="000D45CC">
        <w:rPr>
          <w:b/>
          <w:lang w:val="uk-UA"/>
        </w:rPr>
        <w:t>1</w:t>
      </w:r>
      <w:r w:rsidR="000D45CC" w:rsidRPr="000D45CC">
        <w:rPr>
          <w:b/>
          <w:lang w:val="uk-UA"/>
        </w:rPr>
        <w:t xml:space="preserve">. </w:t>
      </w:r>
      <w:r w:rsidRPr="000D45CC">
        <w:rPr>
          <w:lang w:val="uk-UA"/>
        </w:rPr>
        <w:t>Обсяг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кількість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випусків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облігацій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підприємств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зареєстрованих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Комісією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протягом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2006-2007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років</w:t>
      </w:r>
      <w:r w:rsidR="000D45CC" w:rsidRPr="000D45CC">
        <w:rPr>
          <w:lang w:val="uk-UA"/>
        </w:rPr>
        <w:t>.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1495"/>
        <w:gridCol w:w="1450"/>
        <w:gridCol w:w="1068"/>
        <w:gridCol w:w="1391"/>
        <w:gridCol w:w="1050"/>
        <w:gridCol w:w="1050"/>
        <w:gridCol w:w="1134"/>
        <w:gridCol w:w="1512"/>
        <w:gridCol w:w="1050"/>
        <w:gridCol w:w="1050"/>
      </w:tblGrid>
      <w:tr w:rsidR="009A6710" w:rsidRPr="008E239D" w:rsidTr="008E239D">
        <w:trPr>
          <w:trHeight w:val="488"/>
          <w:jc w:val="center"/>
        </w:trPr>
        <w:tc>
          <w:tcPr>
            <w:tcW w:w="1554" w:type="dxa"/>
            <w:vMerge w:val="restart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Місяць</w:t>
            </w:r>
          </w:p>
        </w:tc>
        <w:tc>
          <w:tcPr>
            <w:tcW w:w="7050" w:type="dxa"/>
            <w:gridSpan w:val="8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Обсяг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випуску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облігацій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підприємства,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млн</w:t>
            </w:r>
            <w:r w:rsidR="000D45CC" w:rsidRPr="008E239D">
              <w:rPr>
                <w:lang w:val="uk-UA"/>
              </w:rPr>
              <w:t xml:space="preserve">. </w:t>
            </w:r>
            <w:r w:rsidRPr="008E239D">
              <w:rPr>
                <w:lang w:val="uk-UA"/>
              </w:rPr>
              <w:t>грн</w:t>
            </w:r>
            <w:r w:rsidR="000D45CC" w:rsidRPr="008E239D">
              <w:rPr>
                <w:lang w:val="uk-UA"/>
              </w:rPr>
              <w:t xml:space="preserve">. </w:t>
            </w:r>
          </w:p>
        </w:tc>
        <w:tc>
          <w:tcPr>
            <w:tcW w:w="1458" w:type="dxa"/>
            <w:gridSpan w:val="2"/>
            <w:vMerge w:val="restart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Кількість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випусків</w:t>
            </w:r>
          </w:p>
        </w:tc>
      </w:tr>
      <w:tr w:rsidR="009A6710" w:rsidRPr="008E239D" w:rsidTr="008E239D">
        <w:trPr>
          <w:trHeight w:val="970"/>
          <w:jc w:val="center"/>
        </w:trPr>
        <w:tc>
          <w:tcPr>
            <w:tcW w:w="1554" w:type="dxa"/>
            <w:vMerge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</w:p>
        </w:tc>
        <w:tc>
          <w:tcPr>
            <w:tcW w:w="2046" w:type="dxa"/>
            <w:gridSpan w:val="2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Підприємства</w:t>
            </w:r>
            <w:r w:rsidR="000D45CC" w:rsidRPr="008E239D">
              <w:rPr>
                <w:lang w:val="uk-UA"/>
              </w:rPr>
              <w:t xml:space="preserve"> (</w:t>
            </w:r>
            <w:r w:rsidRPr="008E239D">
              <w:rPr>
                <w:lang w:val="uk-UA"/>
              </w:rPr>
              <w:t>крім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банків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та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страхових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компаній</w:t>
            </w:r>
            <w:r w:rsidR="000D45CC" w:rsidRPr="008E239D">
              <w:rPr>
                <w:lang w:val="uk-UA"/>
              </w:rPr>
              <w:t xml:space="preserve">) </w:t>
            </w:r>
          </w:p>
        </w:tc>
        <w:tc>
          <w:tcPr>
            <w:tcW w:w="1708" w:type="dxa"/>
            <w:gridSpan w:val="2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Банки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Страхові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компанії</w:t>
            </w:r>
          </w:p>
          <w:p w:rsidR="009A6710" w:rsidRPr="008E239D" w:rsidRDefault="009A6710" w:rsidP="000D45CC">
            <w:pPr>
              <w:pStyle w:val="af9"/>
              <w:rPr>
                <w:lang w:val="uk-UA"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Загальний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обсяг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випусків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облігацій</w:t>
            </w:r>
          </w:p>
        </w:tc>
        <w:tc>
          <w:tcPr>
            <w:tcW w:w="1458" w:type="dxa"/>
            <w:gridSpan w:val="2"/>
            <w:vMerge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</w:p>
        </w:tc>
      </w:tr>
      <w:tr w:rsidR="000D45CC" w:rsidRPr="008E239D" w:rsidTr="008E239D">
        <w:trPr>
          <w:trHeight w:val="505"/>
          <w:jc w:val="center"/>
        </w:trPr>
        <w:tc>
          <w:tcPr>
            <w:tcW w:w="1554" w:type="dxa"/>
            <w:vMerge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</w:p>
        </w:tc>
        <w:tc>
          <w:tcPr>
            <w:tcW w:w="10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2006</w:t>
            </w:r>
          </w:p>
        </w:tc>
        <w:tc>
          <w:tcPr>
            <w:tcW w:w="100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2007</w:t>
            </w:r>
          </w:p>
        </w:tc>
        <w:tc>
          <w:tcPr>
            <w:tcW w:w="74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2006</w:t>
            </w:r>
          </w:p>
        </w:tc>
        <w:tc>
          <w:tcPr>
            <w:tcW w:w="96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2007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2006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2007</w:t>
            </w:r>
          </w:p>
        </w:tc>
        <w:tc>
          <w:tcPr>
            <w:tcW w:w="788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2006</w:t>
            </w:r>
          </w:p>
        </w:tc>
        <w:tc>
          <w:tcPr>
            <w:tcW w:w="1050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2007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2006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2007</w:t>
            </w:r>
          </w:p>
        </w:tc>
      </w:tr>
      <w:tr w:rsidR="000D45CC" w:rsidRPr="008E239D" w:rsidTr="008E239D">
        <w:trPr>
          <w:jc w:val="center"/>
        </w:trPr>
        <w:tc>
          <w:tcPr>
            <w:tcW w:w="155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Січень</w:t>
            </w:r>
          </w:p>
        </w:tc>
        <w:tc>
          <w:tcPr>
            <w:tcW w:w="10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658,98</w:t>
            </w:r>
          </w:p>
        </w:tc>
        <w:tc>
          <w:tcPr>
            <w:tcW w:w="100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478,72</w:t>
            </w:r>
          </w:p>
        </w:tc>
        <w:tc>
          <w:tcPr>
            <w:tcW w:w="74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3389,00</w:t>
            </w:r>
          </w:p>
        </w:tc>
        <w:tc>
          <w:tcPr>
            <w:tcW w:w="96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325,00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555,00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2,64</w:t>
            </w:r>
          </w:p>
        </w:tc>
        <w:tc>
          <w:tcPr>
            <w:tcW w:w="788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1102,98</w:t>
            </w:r>
          </w:p>
        </w:tc>
        <w:tc>
          <w:tcPr>
            <w:tcW w:w="1050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1806,36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223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119</w:t>
            </w:r>
          </w:p>
        </w:tc>
      </w:tr>
      <w:tr w:rsidR="000D45CC" w:rsidRPr="008E239D" w:rsidTr="008E239D">
        <w:trPr>
          <w:jc w:val="center"/>
        </w:trPr>
        <w:tc>
          <w:tcPr>
            <w:tcW w:w="155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Лютий</w:t>
            </w:r>
          </w:p>
        </w:tc>
        <w:tc>
          <w:tcPr>
            <w:tcW w:w="10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1121</w:t>
            </w:r>
            <w:r w:rsidR="000D45CC" w:rsidRPr="008E239D">
              <w:rPr>
                <w:lang w:val="uk-UA"/>
              </w:rPr>
              <w:t>, 20</w:t>
            </w:r>
          </w:p>
        </w:tc>
        <w:tc>
          <w:tcPr>
            <w:tcW w:w="100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1792,62</w:t>
            </w:r>
          </w:p>
        </w:tc>
        <w:tc>
          <w:tcPr>
            <w:tcW w:w="74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5500,00</w:t>
            </w:r>
          </w:p>
        </w:tc>
        <w:tc>
          <w:tcPr>
            <w:tcW w:w="96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275,00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00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1621</w:t>
            </w:r>
            <w:r w:rsidR="000D45CC" w:rsidRPr="008E239D">
              <w:rPr>
                <w:lang w:val="uk-UA"/>
              </w:rPr>
              <w:t>, 20</w:t>
            </w:r>
          </w:p>
        </w:tc>
        <w:tc>
          <w:tcPr>
            <w:tcW w:w="1050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2067,62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880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999</w:t>
            </w:r>
          </w:p>
        </w:tc>
      </w:tr>
      <w:tr w:rsidR="000D45CC" w:rsidRPr="008E239D" w:rsidTr="008E239D">
        <w:trPr>
          <w:jc w:val="center"/>
        </w:trPr>
        <w:tc>
          <w:tcPr>
            <w:tcW w:w="155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Березень</w:t>
            </w:r>
          </w:p>
        </w:tc>
        <w:tc>
          <w:tcPr>
            <w:tcW w:w="10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638,64</w:t>
            </w:r>
          </w:p>
        </w:tc>
        <w:tc>
          <w:tcPr>
            <w:tcW w:w="100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890,02</w:t>
            </w:r>
          </w:p>
        </w:tc>
        <w:tc>
          <w:tcPr>
            <w:tcW w:w="74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2250,00</w:t>
            </w:r>
          </w:p>
        </w:tc>
        <w:tc>
          <w:tcPr>
            <w:tcW w:w="96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1850,00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00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00</w:t>
            </w:r>
          </w:p>
        </w:tc>
        <w:tc>
          <w:tcPr>
            <w:tcW w:w="788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888,64</w:t>
            </w:r>
          </w:p>
        </w:tc>
        <w:tc>
          <w:tcPr>
            <w:tcW w:w="1050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2740,02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829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445</w:t>
            </w:r>
          </w:p>
        </w:tc>
      </w:tr>
      <w:tr w:rsidR="000D45CC" w:rsidRPr="008E239D" w:rsidTr="008E239D">
        <w:trPr>
          <w:jc w:val="center"/>
        </w:trPr>
        <w:tc>
          <w:tcPr>
            <w:tcW w:w="155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Квітень</w:t>
            </w:r>
          </w:p>
        </w:tc>
        <w:tc>
          <w:tcPr>
            <w:tcW w:w="10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1772,59</w:t>
            </w:r>
          </w:p>
        </w:tc>
        <w:tc>
          <w:tcPr>
            <w:tcW w:w="100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889,69</w:t>
            </w:r>
          </w:p>
        </w:tc>
        <w:tc>
          <w:tcPr>
            <w:tcW w:w="74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3300,00</w:t>
            </w:r>
          </w:p>
        </w:tc>
        <w:tc>
          <w:tcPr>
            <w:tcW w:w="96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935,00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00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00</w:t>
            </w:r>
          </w:p>
        </w:tc>
        <w:tc>
          <w:tcPr>
            <w:tcW w:w="788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2072,59</w:t>
            </w:r>
          </w:p>
        </w:tc>
        <w:tc>
          <w:tcPr>
            <w:tcW w:w="1050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1824,69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774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443</w:t>
            </w:r>
          </w:p>
        </w:tc>
      </w:tr>
      <w:tr w:rsidR="000D45CC" w:rsidRPr="008E239D" w:rsidTr="008E239D">
        <w:trPr>
          <w:jc w:val="center"/>
        </w:trPr>
        <w:tc>
          <w:tcPr>
            <w:tcW w:w="155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Травень</w:t>
            </w:r>
          </w:p>
        </w:tc>
        <w:tc>
          <w:tcPr>
            <w:tcW w:w="10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2063</w:t>
            </w:r>
            <w:r w:rsidR="000D45CC" w:rsidRPr="008E239D">
              <w:rPr>
                <w:lang w:val="uk-UA"/>
              </w:rPr>
              <w:t>, 19</w:t>
            </w:r>
          </w:p>
        </w:tc>
        <w:tc>
          <w:tcPr>
            <w:tcW w:w="100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889,43</w:t>
            </w:r>
          </w:p>
        </w:tc>
        <w:tc>
          <w:tcPr>
            <w:tcW w:w="74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220,00</w:t>
            </w:r>
          </w:p>
        </w:tc>
        <w:tc>
          <w:tcPr>
            <w:tcW w:w="96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250,00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00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00</w:t>
            </w:r>
          </w:p>
        </w:tc>
        <w:tc>
          <w:tcPr>
            <w:tcW w:w="788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2083</w:t>
            </w:r>
            <w:r w:rsidR="000D45CC" w:rsidRPr="008E239D">
              <w:rPr>
                <w:lang w:val="uk-UA"/>
              </w:rPr>
              <w:t>, 19</w:t>
            </w:r>
          </w:p>
        </w:tc>
        <w:tc>
          <w:tcPr>
            <w:tcW w:w="1050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1139,43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1141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222</w:t>
            </w:r>
          </w:p>
        </w:tc>
      </w:tr>
      <w:tr w:rsidR="000D45CC" w:rsidRPr="008E239D" w:rsidTr="008E239D">
        <w:trPr>
          <w:jc w:val="center"/>
        </w:trPr>
        <w:tc>
          <w:tcPr>
            <w:tcW w:w="155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Червень</w:t>
            </w:r>
          </w:p>
        </w:tc>
        <w:tc>
          <w:tcPr>
            <w:tcW w:w="10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639,76</w:t>
            </w:r>
          </w:p>
        </w:tc>
        <w:tc>
          <w:tcPr>
            <w:tcW w:w="100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2339,97</w:t>
            </w:r>
          </w:p>
        </w:tc>
        <w:tc>
          <w:tcPr>
            <w:tcW w:w="74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445,00</w:t>
            </w:r>
          </w:p>
        </w:tc>
        <w:tc>
          <w:tcPr>
            <w:tcW w:w="96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1895,00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00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00</w:t>
            </w:r>
          </w:p>
        </w:tc>
        <w:tc>
          <w:tcPr>
            <w:tcW w:w="788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684,76</w:t>
            </w:r>
          </w:p>
        </w:tc>
        <w:tc>
          <w:tcPr>
            <w:tcW w:w="1050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4234,97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334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777</w:t>
            </w:r>
          </w:p>
        </w:tc>
      </w:tr>
      <w:tr w:rsidR="000D45CC" w:rsidRPr="008E239D" w:rsidTr="008E239D">
        <w:trPr>
          <w:jc w:val="center"/>
        </w:trPr>
        <w:tc>
          <w:tcPr>
            <w:tcW w:w="155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Липень</w:t>
            </w:r>
          </w:p>
        </w:tc>
        <w:tc>
          <w:tcPr>
            <w:tcW w:w="10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606,74</w:t>
            </w:r>
          </w:p>
        </w:tc>
        <w:tc>
          <w:tcPr>
            <w:tcW w:w="100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1959,08</w:t>
            </w:r>
          </w:p>
        </w:tc>
        <w:tc>
          <w:tcPr>
            <w:tcW w:w="74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1150,00</w:t>
            </w:r>
          </w:p>
        </w:tc>
        <w:tc>
          <w:tcPr>
            <w:tcW w:w="96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390,00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00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8,00</w:t>
            </w:r>
          </w:p>
        </w:tc>
        <w:tc>
          <w:tcPr>
            <w:tcW w:w="788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756,74</w:t>
            </w:r>
          </w:p>
        </w:tc>
        <w:tc>
          <w:tcPr>
            <w:tcW w:w="1050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3357,08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770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884</w:t>
            </w:r>
          </w:p>
        </w:tc>
      </w:tr>
      <w:tr w:rsidR="000D45CC" w:rsidRPr="008E239D" w:rsidTr="008E239D">
        <w:trPr>
          <w:jc w:val="center"/>
        </w:trPr>
        <w:tc>
          <w:tcPr>
            <w:tcW w:w="155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Серпень</w:t>
            </w:r>
          </w:p>
        </w:tc>
        <w:tc>
          <w:tcPr>
            <w:tcW w:w="10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1840,70</w:t>
            </w:r>
          </w:p>
        </w:tc>
        <w:tc>
          <w:tcPr>
            <w:tcW w:w="100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2311,38</w:t>
            </w:r>
          </w:p>
        </w:tc>
        <w:tc>
          <w:tcPr>
            <w:tcW w:w="74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5500,00</w:t>
            </w:r>
          </w:p>
        </w:tc>
        <w:tc>
          <w:tcPr>
            <w:tcW w:w="96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710,00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00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00</w:t>
            </w:r>
          </w:p>
        </w:tc>
        <w:tc>
          <w:tcPr>
            <w:tcW w:w="788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2340,7</w:t>
            </w:r>
          </w:p>
        </w:tc>
        <w:tc>
          <w:tcPr>
            <w:tcW w:w="1050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3021,38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1114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883</w:t>
            </w:r>
          </w:p>
        </w:tc>
      </w:tr>
      <w:tr w:rsidR="000D45CC" w:rsidRPr="008E239D" w:rsidTr="008E239D">
        <w:trPr>
          <w:trHeight w:val="466"/>
          <w:jc w:val="center"/>
        </w:trPr>
        <w:tc>
          <w:tcPr>
            <w:tcW w:w="155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Вересень</w:t>
            </w:r>
          </w:p>
        </w:tc>
        <w:tc>
          <w:tcPr>
            <w:tcW w:w="10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845,76</w:t>
            </w:r>
          </w:p>
        </w:tc>
        <w:tc>
          <w:tcPr>
            <w:tcW w:w="100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4092,58</w:t>
            </w:r>
          </w:p>
        </w:tc>
        <w:tc>
          <w:tcPr>
            <w:tcW w:w="74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9995,00</w:t>
            </w:r>
          </w:p>
        </w:tc>
        <w:tc>
          <w:tcPr>
            <w:tcW w:w="96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2077,00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00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115,00</w:t>
            </w:r>
          </w:p>
        </w:tc>
        <w:tc>
          <w:tcPr>
            <w:tcW w:w="788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1840,76</w:t>
            </w:r>
          </w:p>
        </w:tc>
        <w:tc>
          <w:tcPr>
            <w:tcW w:w="1050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6184,58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334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999</w:t>
            </w:r>
          </w:p>
        </w:tc>
      </w:tr>
      <w:tr w:rsidR="000D45CC" w:rsidRPr="008E239D" w:rsidTr="008E239D">
        <w:trPr>
          <w:trHeight w:val="798"/>
          <w:jc w:val="center"/>
        </w:trPr>
        <w:tc>
          <w:tcPr>
            <w:tcW w:w="155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Всього</w:t>
            </w:r>
          </w:p>
        </w:tc>
        <w:tc>
          <w:tcPr>
            <w:tcW w:w="10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10187,56</w:t>
            </w:r>
          </w:p>
        </w:tc>
        <w:tc>
          <w:tcPr>
            <w:tcW w:w="100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15643,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49</w:t>
            </w:r>
          </w:p>
        </w:tc>
        <w:tc>
          <w:tcPr>
            <w:tcW w:w="74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33149,00</w:t>
            </w:r>
          </w:p>
        </w:tc>
        <w:tc>
          <w:tcPr>
            <w:tcW w:w="96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10707,00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555,00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225,64</w:t>
            </w:r>
          </w:p>
        </w:tc>
        <w:tc>
          <w:tcPr>
            <w:tcW w:w="788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13391,56</w:t>
            </w:r>
          </w:p>
        </w:tc>
        <w:tc>
          <w:tcPr>
            <w:tcW w:w="1050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26376,13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5599</w:t>
            </w:r>
          </w:p>
        </w:tc>
        <w:tc>
          <w:tcPr>
            <w:tcW w:w="72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5571</w:t>
            </w:r>
          </w:p>
        </w:tc>
      </w:tr>
    </w:tbl>
    <w:p w:rsidR="000D45CC" w:rsidRDefault="000D45CC" w:rsidP="000D45CC">
      <w:pPr>
        <w:tabs>
          <w:tab w:val="left" w:pos="726"/>
        </w:tabs>
        <w:rPr>
          <w:b/>
          <w:lang w:val="uk-UA"/>
        </w:rPr>
      </w:pPr>
    </w:p>
    <w:p w:rsidR="009A6710" w:rsidRDefault="000D45CC" w:rsidP="000D45CC">
      <w:pPr>
        <w:pStyle w:val="af7"/>
        <w:rPr>
          <w:lang w:val="uk-UA"/>
        </w:rPr>
      </w:pPr>
      <w:r>
        <w:rPr>
          <w:lang w:val="uk-UA"/>
        </w:rPr>
        <w:br w:type="page"/>
      </w:r>
      <w:r w:rsidR="009A6710" w:rsidRPr="000D45CC">
        <w:rPr>
          <w:lang w:val="uk-UA"/>
        </w:rPr>
        <w:t>Додаток</w:t>
      </w:r>
      <w:r w:rsidRPr="000D45CC">
        <w:rPr>
          <w:lang w:val="uk-UA"/>
        </w:rPr>
        <w:t xml:space="preserve"> </w:t>
      </w:r>
      <w:r w:rsidR="009A6710" w:rsidRPr="000D45CC">
        <w:rPr>
          <w:lang w:val="uk-UA"/>
        </w:rPr>
        <w:t>2</w:t>
      </w:r>
    </w:p>
    <w:p w:rsidR="000D45CC" w:rsidRPr="000D45CC" w:rsidRDefault="000D45CC" w:rsidP="000D45CC">
      <w:pPr>
        <w:pStyle w:val="af7"/>
        <w:rPr>
          <w:lang w:val="uk-UA"/>
        </w:rPr>
      </w:pPr>
    </w:p>
    <w:p w:rsidR="009A6710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b/>
          <w:lang w:val="uk-UA"/>
        </w:rPr>
        <w:t>Таблиця</w:t>
      </w:r>
      <w:r w:rsidR="000D45CC" w:rsidRPr="000D45CC">
        <w:rPr>
          <w:b/>
          <w:lang w:val="uk-UA"/>
        </w:rPr>
        <w:t xml:space="preserve"> </w:t>
      </w:r>
      <w:r w:rsidRPr="000D45CC">
        <w:rPr>
          <w:b/>
          <w:lang w:val="uk-UA"/>
        </w:rPr>
        <w:t>2</w:t>
      </w:r>
      <w:r w:rsidR="000D45CC" w:rsidRPr="000D45CC">
        <w:rPr>
          <w:b/>
          <w:lang w:val="uk-UA"/>
        </w:rPr>
        <w:t xml:space="preserve">. </w:t>
      </w:r>
      <w:r w:rsidRPr="000D45CC">
        <w:rPr>
          <w:lang w:val="uk-UA"/>
        </w:rPr>
        <w:t>Обсяг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організаторах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протягом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2006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року,</w:t>
      </w:r>
      <w:r w:rsidR="000D45CC" w:rsidRPr="000D45CC">
        <w:rPr>
          <w:lang w:val="uk-UA"/>
        </w:rPr>
        <w:t xml:space="preserve"> </w:t>
      </w:r>
      <w:r w:rsidRPr="000D45CC">
        <w:rPr>
          <w:iCs/>
          <w:lang w:val="uk-UA"/>
        </w:rPr>
        <w:t>млн</w:t>
      </w:r>
      <w:r w:rsidR="000D45CC" w:rsidRPr="000D45CC">
        <w:rPr>
          <w:iCs/>
          <w:lang w:val="uk-UA"/>
        </w:rPr>
        <w:t xml:space="preserve">. </w:t>
      </w:r>
      <w:r w:rsidRPr="000D45CC">
        <w:rPr>
          <w:iCs/>
          <w:lang w:val="uk-UA"/>
        </w:rPr>
        <w:t>грн</w:t>
      </w:r>
      <w:r w:rsidR="000D45CC" w:rsidRPr="000D45CC">
        <w:rPr>
          <w:iCs/>
          <w:lang w:val="uk-UA"/>
        </w:rPr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9"/>
        <w:gridCol w:w="1104"/>
        <w:gridCol w:w="1294"/>
        <w:gridCol w:w="929"/>
        <w:gridCol w:w="1075"/>
        <w:gridCol w:w="1110"/>
        <w:gridCol w:w="1038"/>
        <w:gridCol w:w="1038"/>
        <w:gridCol w:w="899"/>
        <w:gridCol w:w="1071"/>
        <w:gridCol w:w="965"/>
        <w:gridCol w:w="1049"/>
        <w:gridCol w:w="1102"/>
      </w:tblGrid>
      <w:tr w:rsidR="009A6710" w:rsidRPr="008E239D" w:rsidTr="008E239D">
        <w:trPr>
          <w:trHeight w:val="685"/>
          <w:jc w:val="center"/>
        </w:trPr>
        <w:tc>
          <w:tcPr>
            <w:tcW w:w="1984" w:type="dxa"/>
            <w:vMerge w:val="restart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Період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</w:p>
        </w:tc>
        <w:tc>
          <w:tcPr>
            <w:tcW w:w="17420" w:type="dxa"/>
            <w:gridSpan w:val="11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Організатори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торгівлі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Всього</w:t>
            </w:r>
          </w:p>
        </w:tc>
      </w:tr>
      <w:tr w:rsidR="000D45CC" w:rsidRPr="008E239D" w:rsidTr="008E239D">
        <w:trPr>
          <w:trHeight w:val="262"/>
          <w:jc w:val="center"/>
        </w:trPr>
        <w:tc>
          <w:tcPr>
            <w:tcW w:w="1984" w:type="dxa"/>
            <w:vMerge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</w:p>
        </w:tc>
        <w:tc>
          <w:tcPr>
            <w:tcW w:w="166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КМФБ</w:t>
            </w:r>
          </w:p>
        </w:tc>
        <w:tc>
          <w:tcPr>
            <w:tcW w:w="190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ІННЕКС</w:t>
            </w:r>
          </w:p>
        </w:tc>
        <w:tc>
          <w:tcPr>
            <w:tcW w:w="1413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ПФБ</w:t>
            </w:r>
          </w:p>
        </w:tc>
        <w:tc>
          <w:tcPr>
            <w:tcW w:w="1611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УМВБ</w:t>
            </w:r>
          </w:p>
        </w:tc>
        <w:tc>
          <w:tcPr>
            <w:tcW w:w="166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УМФБ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УФБ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КФБ</w:t>
            </w:r>
          </w:p>
        </w:tc>
        <w:tc>
          <w:tcPr>
            <w:tcW w:w="140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ЛФБ</w:t>
            </w:r>
          </w:p>
        </w:tc>
        <w:tc>
          <w:tcPr>
            <w:tcW w:w="161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ПФТС</w:t>
            </w:r>
          </w:p>
        </w:tc>
        <w:tc>
          <w:tcPr>
            <w:tcW w:w="148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ПТІС</w:t>
            </w:r>
          </w:p>
        </w:tc>
        <w:tc>
          <w:tcPr>
            <w:tcW w:w="157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ТІС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ПЕР</w:t>
            </w:r>
          </w:p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СПЕК</w:t>
            </w:r>
          </w:p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ТИВА</w:t>
            </w:r>
          </w:p>
        </w:tc>
        <w:tc>
          <w:tcPr>
            <w:tcW w:w="1636" w:type="dxa"/>
            <w:vMerge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</w:p>
        </w:tc>
      </w:tr>
      <w:tr w:rsidR="000D45CC" w:rsidRPr="008E239D" w:rsidTr="008E239D">
        <w:trPr>
          <w:trHeight w:val="241"/>
          <w:jc w:val="center"/>
        </w:trPr>
        <w:tc>
          <w:tcPr>
            <w:tcW w:w="198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Усього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</w:p>
        </w:tc>
        <w:tc>
          <w:tcPr>
            <w:tcW w:w="166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439,89</w:t>
            </w:r>
          </w:p>
        </w:tc>
        <w:tc>
          <w:tcPr>
            <w:tcW w:w="190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76,09</w:t>
            </w:r>
          </w:p>
        </w:tc>
        <w:tc>
          <w:tcPr>
            <w:tcW w:w="1413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34,38</w:t>
            </w:r>
          </w:p>
        </w:tc>
        <w:tc>
          <w:tcPr>
            <w:tcW w:w="1611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219,00</w:t>
            </w:r>
          </w:p>
        </w:tc>
        <w:tc>
          <w:tcPr>
            <w:tcW w:w="166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34,36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239,37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1,07</w:t>
            </w:r>
          </w:p>
        </w:tc>
        <w:tc>
          <w:tcPr>
            <w:tcW w:w="140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3,67</w:t>
            </w:r>
          </w:p>
        </w:tc>
        <w:tc>
          <w:tcPr>
            <w:tcW w:w="161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28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024,17</w:t>
            </w:r>
          </w:p>
        </w:tc>
        <w:tc>
          <w:tcPr>
            <w:tcW w:w="148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5,22</w:t>
            </w:r>
          </w:p>
        </w:tc>
        <w:tc>
          <w:tcPr>
            <w:tcW w:w="157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5,23</w:t>
            </w:r>
          </w:p>
        </w:tc>
        <w:tc>
          <w:tcPr>
            <w:tcW w:w="163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29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082,45</w:t>
            </w:r>
          </w:p>
        </w:tc>
      </w:tr>
      <w:tr w:rsidR="000D45CC" w:rsidRPr="008E239D" w:rsidTr="008E239D">
        <w:trPr>
          <w:trHeight w:val="280"/>
          <w:jc w:val="center"/>
        </w:trPr>
        <w:tc>
          <w:tcPr>
            <w:tcW w:w="198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bookmarkStart w:id="7" w:name="_Hlk21316525"/>
            <w:r w:rsidRPr="008E239D">
              <w:rPr>
                <w:snapToGrid w:val="0"/>
                <w:lang w:val="uk-UA"/>
              </w:rPr>
              <w:t>Січень</w:t>
            </w:r>
            <w:bookmarkEnd w:id="7"/>
          </w:p>
        </w:tc>
        <w:tc>
          <w:tcPr>
            <w:tcW w:w="166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1,58</w:t>
            </w:r>
          </w:p>
        </w:tc>
        <w:tc>
          <w:tcPr>
            <w:tcW w:w="190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0,02</w:t>
            </w:r>
          </w:p>
        </w:tc>
        <w:tc>
          <w:tcPr>
            <w:tcW w:w="1413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0,21</w:t>
            </w:r>
          </w:p>
        </w:tc>
        <w:tc>
          <w:tcPr>
            <w:tcW w:w="1611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3,11</w:t>
            </w:r>
          </w:p>
        </w:tc>
        <w:tc>
          <w:tcPr>
            <w:tcW w:w="166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0,05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3,37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0,01</w:t>
            </w:r>
          </w:p>
        </w:tc>
        <w:tc>
          <w:tcPr>
            <w:tcW w:w="140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0,13</w:t>
            </w:r>
          </w:p>
        </w:tc>
        <w:tc>
          <w:tcPr>
            <w:tcW w:w="161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456</w:t>
            </w:r>
            <w:r w:rsidR="000D45CC" w:rsidRPr="008E239D">
              <w:rPr>
                <w:lang w:val="uk-UA"/>
              </w:rPr>
              <w:t>, 20</w:t>
            </w:r>
          </w:p>
        </w:tc>
        <w:tc>
          <w:tcPr>
            <w:tcW w:w="148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0,32</w:t>
            </w:r>
          </w:p>
        </w:tc>
        <w:tc>
          <w:tcPr>
            <w:tcW w:w="157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-</w:t>
            </w:r>
          </w:p>
        </w:tc>
        <w:tc>
          <w:tcPr>
            <w:tcW w:w="163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465,01</w:t>
            </w:r>
          </w:p>
        </w:tc>
      </w:tr>
      <w:tr w:rsidR="000D45CC" w:rsidRPr="008E239D" w:rsidTr="008E239D">
        <w:trPr>
          <w:trHeight w:val="181"/>
          <w:jc w:val="center"/>
        </w:trPr>
        <w:tc>
          <w:tcPr>
            <w:tcW w:w="198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Лютий</w:t>
            </w:r>
          </w:p>
        </w:tc>
        <w:tc>
          <w:tcPr>
            <w:tcW w:w="166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13,83</w:t>
            </w:r>
          </w:p>
        </w:tc>
        <w:tc>
          <w:tcPr>
            <w:tcW w:w="190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0,04</w:t>
            </w:r>
          </w:p>
        </w:tc>
        <w:tc>
          <w:tcPr>
            <w:tcW w:w="1413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0,25</w:t>
            </w:r>
          </w:p>
        </w:tc>
        <w:tc>
          <w:tcPr>
            <w:tcW w:w="1611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9,82</w:t>
            </w:r>
          </w:p>
        </w:tc>
        <w:tc>
          <w:tcPr>
            <w:tcW w:w="166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0,06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0,24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0,00</w:t>
            </w:r>
          </w:p>
        </w:tc>
        <w:tc>
          <w:tcPr>
            <w:tcW w:w="140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0,11</w:t>
            </w:r>
          </w:p>
        </w:tc>
        <w:tc>
          <w:tcPr>
            <w:tcW w:w="161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175,31</w:t>
            </w:r>
          </w:p>
        </w:tc>
        <w:tc>
          <w:tcPr>
            <w:tcW w:w="148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0,32</w:t>
            </w:r>
          </w:p>
        </w:tc>
        <w:tc>
          <w:tcPr>
            <w:tcW w:w="157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-</w:t>
            </w:r>
          </w:p>
        </w:tc>
        <w:tc>
          <w:tcPr>
            <w:tcW w:w="163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199,98</w:t>
            </w:r>
          </w:p>
        </w:tc>
      </w:tr>
      <w:tr w:rsidR="000D45CC" w:rsidRPr="008E239D" w:rsidTr="008E239D">
        <w:trPr>
          <w:trHeight w:val="139"/>
          <w:jc w:val="center"/>
        </w:trPr>
        <w:tc>
          <w:tcPr>
            <w:tcW w:w="198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Березень</w:t>
            </w:r>
          </w:p>
        </w:tc>
        <w:tc>
          <w:tcPr>
            <w:tcW w:w="166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2,83</w:t>
            </w:r>
          </w:p>
        </w:tc>
        <w:tc>
          <w:tcPr>
            <w:tcW w:w="190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0,07</w:t>
            </w:r>
          </w:p>
        </w:tc>
        <w:tc>
          <w:tcPr>
            <w:tcW w:w="1413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0,39</w:t>
            </w:r>
          </w:p>
        </w:tc>
        <w:tc>
          <w:tcPr>
            <w:tcW w:w="1611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7,85</w:t>
            </w:r>
          </w:p>
        </w:tc>
        <w:tc>
          <w:tcPr>
            <w:tcW w:w="166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1,66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24,34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0,00</w:t>
            </w:r>
          </w:p>
        </w:tc>
        <w:tc>
          <w:tcPr>
            <w:tcW w:w="140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0,14</w:t>
            </w:r>
          </w:p>
        </w:tc>
        <w:tc>
          <w:tcPr>
            <w:tcW w:w="161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245,04</w:t>
            </w:r>
          </w:p>
        </w:tc>
        <w:tc>
          <w:tcPr>
            <w:tcW w:w="148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0,40</w:t>
            </w:r>
          </w:p>
        </w:tc>
        <w:tc>
          <w:tcPr>
            <w:tcW w:w="157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-</w:t>
            </w:r>
          </w:p>
        </w:tc>
        <w:tc>
          <w:tcPr>
            <w:tcW w:w="163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282,72</w:t>
            </w:r>
          </w:p>
        </w:tc>
      </w:tr>
      <w:tr w:rsidR="000D45CC" w:rsidRPr="008E239D" w:rsidTr="008E239D">
        <w:trPr>
          <w:trHeight w:val="139"/>
          <w:jc w:val="center"/>
        </w:trPr>
        <w:tc>
          <w:tcPr>
            <w:tcW w:w="198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Квітень</w:t>
            </w:r>
          </w:p>
        </w:tc>
        <w:tc>
          <w:tcPr>
            <w:tcW w:w="166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5,30</w:t>
            </w:r>
          </w:p>
        </w:tc>
        <w:tc>
          <w:tcPr>
            <w:tcW w:w="190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0,05</w:t>
            </w:r>
          </w:p>
        </w:tc>
        <w:tc>
          <w:tcPr>
            <w:tcW w:w="1413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1,39</w:t>
            </w:r>
          </w:p>
        </w:tc>
        <w:tc>
          <w:tcPr>
            <w:tcW w:w="1611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8,31</w:t>
            </w:r>
          </w:p>
        </w:tc>
        <w:tc>
          <w:tcPr>
            <w:tcW w:w="166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0,43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4,04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0,00</w:t>
            </w:r>
          </w:p>
        </w:tc>
        <w:tc>
          <w:tcPr>
            <w:tcW w:w="140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</w:t>
            </w:r>
            <w:r w:rsidR="000D45CC" w:rsidRPr="008E239D">
              <w:rPr>
                <w:lang w:val="uk-UA"/>
              </w:rPr>
              <w:t>, 19</w:t>
            </w:r>
          </w:p>
        </w:tc>
        <w:tc>
          <w:tcPr>
            <w:tcW w:w="161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095,60</w:t>
            </w:r>
          </w:p>
        </w:tc>
        <w:tc>
          <w:tcPr>
            <w:tcW w:w="148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0,00</w:t>
            </w:r>
          </w:p>
        </w:tc>
        <w:tc>
          <w:tcPr>
            <w:tcW w:w="157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-</w:t>
            </w:r>
          </w:p>
        </w:tc>
        <w:tc>
          <w:tcPr>
            <w:tcW w:w="163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118,31</w:t>
            </w:r>
          </w:p>
        </w:tc>
      </w:tr>
      <w:tr w:rsidR="000D45CC" w:rsidRPr="008E239D" w:rsidTr="008E239D">
        <w:trPr>
          <w:trHeight w:val="139"/>
          <w:jc w:val="center"/>
        </w:trPr>
        <w:tc>
          <w:tcPr>
            <w:tcW w:w="198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Травень</w:t>
            </w:r>
          </w:p>
        </w:tc>
        <w:tc>
          <w:tcPr>
            <w:tcW w:w="166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0,56</w:t>
            </w:r>
          </w:p>
        </w:tc>
        <w:tc>
          <w:tcPr>
            <w:tcW w:w="190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0,04</w:t>
            </w:r>
          </w:p>
        </w:tc>
        <w:tc>
          <w:tcPr>
            <w:tcW w:w="1413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0,23</w:t>
            </w:r>
          </w:p>
        </w:tc>
        <w:tc>
          <w:tcPr>
            <w:tcW w:w="1611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8,71</w:t>
            </w:r>
          </w:p>
        </w:tc>
        <w:tc>
          <w:tcPr>
            <w:tcW w:w="166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0,43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11,26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0,12</w:t>
            </w:r>
          </w:p>
        </w:tc>
        <w:tc>
          <w:tcPr>
            <w:tcW w:w="140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0,10</w:t>
            </w:r>
          </w:p>
        </w:tc>
        <w:tc>
          <w:tcPr>
            <w:tcW w:w="161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746,63</w:t>
            </w:r>
          </w:p>
        </w:tc>
        <w:tc>
          <w:tcPr>
            <w:tcW w:w="148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0,12</w:t>
            </w:r>
          </w:p>
        </w:tc>
        <w:tc>
          <w:tcPr>
            <w:tcW w:w="157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-</w:t>
            </w:r>
          </w:p>
        </w:tc>
        <w:tc>
          <w:tcPr>
            <w:tcW w:w="163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768,21</w:t>
            </w:r>
          </w:p>
        </w:tc>
      </w:tr>
      <w:tr w:rsidR="000D45CC" w:rsidRPr="008E239D" w:rsidTr="008E239D">
        <w:trPr>
          <w:trHeight w:val="139"/>
          <w:jc w:val="center"/>
        </w:trPr>
        <w:tc>
          <w:tcPr>
            <w:tcW w:w="198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Червень</w:t>
            </w:r>
          </w:p>
        </w:tc>
        <w:tc>
          <w:tcPr>
            <w:tcW w:w="166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306,16</w:t>
            </w:r>
          </w:p>
        </w:tc>
        <w:tc>
          <w:tcPr>
            <w:tcW w:w="190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0,59</w:t>
            </w:r>
          </w:p>
        </w:tc>
        <w:tc>
          <w:tcPr>
            <w:tcW w:w="1413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1,42</w:t>
            </w:r>
          </w:p>
        </w:tc>
        <w:tc>
          <w:tcPr>
            <w:tcW w:w="1611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57,63</w:t>
            </w:r>
          </w:p>
        </w:tc>
        <w:tc>
          <w:tcPr>
            <w:tcW w:w="166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2,43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0,00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0,03</w:t>
            </w:r>
          </w:p>
        </w:tc>
        <w:tc>
          <w:tcPr>
            <w:tcW w:w="140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0,00</w:t>
            </w:r>
          </w:p>
        </w:tc>
        <w:tc>
          <w:tcPr>
            <w:tcW w:w="161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737,32</w:t>
            </w:r>
          </w:p>
        </w:tc>
        <w:tc>
          <w:tcPr>
            <w:tcW w:w="148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0,12</w:t>
            </w:r>
          </w:p>
        </w:tc>
        <w:tc>
          <w:tcPr>
            <w:tcW w:w="157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-</w:t>
            </w:r>
          </w:p>
        </w:tc>
        <w:tc>
          <w:tcPr>
            <w:tcW w:w="163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105,70</w:t>
            </w:r>
          </w:p>
        </w:tc>
      </w:tr>
      <w:tr w:rsidR="000D45CC" w:rsidRPr="008E239D" w:rsidTr="008E239D">
        <w:trPr>
          <w:trHeight w:val="139"/>
          <w:jc w:val="center"/>
        </w:trPr>
        <w:tc>
          <w:tcPr>
            <w:tcW w:w="198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Липень</w:t>
            </w:r>
          </w:p>
        </w:tc>
        <w:tc>
          <w:tcPr>
            <w:tcW w:w="166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50,34</w:t>
            </w:r>
          </w:p>
        </w:tc>
        <w:tc>
          <w:tcPr>
            <w:tcW w:w="190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0,10</w:t>
            </w:r>
          </w:p>
        </w:tc>
        <w:tc>
          <w:tcPr>
            <w:tcW w:w="1413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3,86</w:t>
            </w:r>
          </w:p>
        </w:tc>
        <w:tc>
          <w:tcPr>
            <w:tcW w:w="1611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6,47</w:t>
            </w:r>
          </w:p>
        </w:tc>
        <w:tc>
          <w:tcPr>
            <w:tcW w:w="166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0,04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10,01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0,02</w:t>
            </w:r>
          </w:p>
        </w:tc>
        <w:tc>
          <w:tcPr>
            <w:tcW w:w="140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0,00</w:t>
            </w:r>
          </w:p>
        </w:tc>
        <w:tc>
          <w:tcPr>
            <w:tcW w:w="161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563,85</w:t>
            </w:r>
          </w:p>
        </w:tc>
        <w:tc>
          <w:tcPr>
            <w:tcW w:w="148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0,00</w:t>
            </w:r>
          </w:p>
        </w:tc>
        <w:tc>
          <w:tcPr>
            <w:tcW w:w="157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-</w:t>
            </w:r>
          </w:p>
        </w:tc>
        <w:tc>
          <w:tcPr>
            <w:tcW w:w="163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634,70</w:t>
            </w:r>
          </w:p>
        </w:tc>
      </w:tr>
      <w:tr w:rsidR="000D45CC" w:rsidRPr="008E239D" w:rsidTr="008E239D">
        <w:trPr>
          <w:trHeight w:val="139"/>
          <w:jc w:val="center"/>
        </w:trPr>
        <w:tc>
          <w:tcPr>
            <w:tcW w:w="198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Серпень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</w:p>
        </w:tc>
        <w:tc>
          <w:tcPr>
            <w:tcW w:w="166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8,44</w:t>
            </w:r>
          </w:p>
        </w:tc>
        <w:tc>
          <w:tcPr>
            <w:tcW w:w="190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0,11</w:t>
            </w:r>
          </w:p>
        </w:tc>
        <w:tc>
          <w:tcPr>
            <w:tcW w:w="1413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0,26</w:t>
            </w:r>
          </w:p>
        </w:tc>
        <w:tc>
          <w:tcPr>
            <w:tcW w:w="1611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5,03</w:t>
            </w:r>
          </w:p>
        </w:tc>
        <w:tc>
          <w:tcPr>
            <w:tcW w:w="166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0,05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65,40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0,01</w:t>
            </w:r>
          </w:p>
        </w:tc>
        <w:tc>
          <w:tcPr>
            <w:tcW w:w="140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-</w:t>
            </w:r>
          </w:p>
        </w:tc>
        <w:tc>
          <w:tcPr>
            <w:tcW w:w="161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485,45</w:t>
            </w:r>
          </w:p>
        </w:tc>
        <w:tc>
          <w:tcPr>
            <w:tcW w:w="148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0,80</w:t>
            </w:r>
          </w:p>
        </w:tc>
        <w:tc>
          <w:tcPr>
            <w:tcW w:w="157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</w:t>
            </w:r>
          </w:p>
        </w:tc>
        <w:tc>
          <w:tcPr>
            <w:tcW w:w="163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565,54</w:t>
            </w:r>
          </w:p>
        </w:tc>
      </w:tr>
      <w:tr w:rsidR="000D45CC" w:rsidRPr="008E239D" w:rsidTr="008E239D">
        <w:trPr>
          <w:trHeight w:val="139"/>
          <w:jc w:val="center"/>
        </w:trPr>
        <w:tc>
          <w:tcPr>
            <w:tcW w:w="198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Вересень</w:t>
            </w:r>
          </w:p>
        </w:tc>
        <w:tc>
          <w:tcPr>
            <w:tcW w:w="166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9,47</w:t>
            </w:r>
          </w:p>
        </w:tc>
        <w:tc>
          <w:tcPr>
            <w:tcW w:w="190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2,55</w:t>
            </w:r>
          </w:p>
        </w:tc>
        <w:tc>
          <w:tcPr>
            <w:tcW w:w="1413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0,35</w:t>
            </w:r>
          </w:p>
        </w:tc>
        <w:tc>
          <w:tcPr>
            <w:tcW w:w="1611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3,13</w:t>
            </w:r>
          </w:p>
        </w:tc>
        <w:tc>
          <w:tcPr>
            <w:tcW w:w="166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0,06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3,38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0,88</w:t>
            </w:r>
          </w:p>
        </w:tc>
        <w:tc>
          <w:tcPr>
            <w:tcW w:w="140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-</w:t>
            </w:r>
          </w:p>
        </w:tc>
        <w:tc>
          <w:tcPr>
            <w:tcW w:w="161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988,45</w:t>
            </w:r>
          </w:p>
        </w:tc>
        <w:tc>
          <w:tcPr>
            <w:tcW w:w="148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0,87</w:t>
            </w:r>
          </w:p>
        </w:tc>
        <w:tc>
          <w:tcPr>
            <w:tcW w:w="157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</w:t>
            </w:r>
          </w:p>
        </w:tc>
        <w:tc>
          <w:tcPr>
            <w:tcW w:w="163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009,14</w:t>
            </w:r>
          </w:p>
        </w:tc>
      </w:tr>
      <w:tr w:rsidR="000D45CC" w:rsidRPr="008E239D" w:rsidTr="008E239D">
        <w:trPr>
          <w:trHeight w:val="139"/>
          <w:jc w:val="center"/>
        </w:trPr>
        <w:tc>
          <w:tcPr>
            <w:tcW w:w="198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Жовтень</w:t>
            </w:r>
          </w:p>
        </w:tc>
        <w:tc>
          <w:tcPr>
            <w:tcW w:w="166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4,69</w:t>
            </w:r>
          </w:p>
        </w:tc>
        <w:tc>
          <w:tcPr>
            <w:tcW w:w="190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4,97</w:t>
            </w:r>
          </w:p>
        </w:tc>
        <w:tc>
          <w:tcPr>
            <w:tcW w:w="1413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0,23</w:t>
            </w:r>
          </w:p>
        </w:tc>
        <w:tc>
          <w:tcPr>
            <w:tcW w:w="1611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3,43</w:t>
            </w:r>
          </w:p>
        </w:tc>
        <w:tc>
          <w:tcPr>
            <w:tcW w:w="166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11,78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0,96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0,0025</w:t>
            </w:r>
          </w:p>
        </w:tc>
        <w:tc>
          <w:tcPr>
            <w:tcW w:w="140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-</w:t>
            </w:r>
          </w:p>
        </w:tc>
        <w:tc>
          <w:tcPr>
            <w:tcW w:w="161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415,34</w:t>
            </w:r>
          </w:p>
        </w:tc>
        <w:tc>
          <w:tcPr>
            <w:tcW w:w="148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0,75</w:t>
            </w:r>
          </w:p>
        </w:tc>
        <w:tc>
          <w:tcPr>
            <w:tcW w:w="157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</w:t>
            </w:r>
          </w:p>
        </w:tc>
        <w:tc>
          <w:tcPr>
            <w:tcW w:w="163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442,16</w:t>
            </w:r>
          </w:p>
        </w:tc>
      </w:tr>
      <w:tr w:rsidR="000D45CC" w:rsidRPr="008E239D" w:rsidTr="008E239D">
        <w:trPr>
          <w:trHeight w:val="139"/>
          <w:jc w:val="center"/>
        </w:trPr>
        <w:tc>
          <w:tcPr>
            <w:tcW w:w="198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Листопад</w:t>
            </w:r>
          </w:p>
        </w:tc>
        <w:tc>
          <w:tcPr>
            <w:tcW w:w="166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26,05</w:t>
            </w:r>
          </w:p>
        </w:tc>
        <w:tc>
          <w:tcPr>
            <w:tcW w:w="190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1,24</w:t>
            </w:r>
          </w:p>
        </w:tc>
        <w:tc>
          <w:tcPr>
            <w:tcW w:w="1413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0,36</w:t>
            </w:r>
          </w:p>
        </w:tc>
        <w:tc>
          <w:tcPr>
            <w:tcW w:w="1611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79,23</w:t>
            </w:r>
          </w:p>
        </w:tc>
        <w:tc>
          <w:tcPr>
            <w:tcW w:w="166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11,71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2,44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0,00</w:t>
            </w:r>
          </w:p>
        </w:tc>
        <w:tc>
          <w:tcPr>
            <w:tcW w:w="140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-</w:t>
            </w:r>
          </w:p>
        </w:tc>
        <w:tc>
          <w:tcPr>
            <w:tcW w:w="161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454,86</w:t>
            </w:r>
          </w:p>
        </w:tc>
        <w:tc>
          <w:tcPr>
            <w:tcW w:w="148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0,75</w:t>
            </w:r>
          </w:p>
        </w:tc>
        <w:tc>
          <w:tcPr>
            <w:tcW w:w="157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0,04</w:t>
            </w:r>
          </w:p>
        </w:tc>
        <w:tc>
          <w:tcPr>
            <w:tcW w:w="163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576,68</w:t>
            </w:r>
          </w:p>
        </w:tc>
      </w:tr>
      <w:tr w:rsidR="000D45CC" w:rsidRPr="008E239D" w:rsidTr="008E239D">
        <w:trPr>
          <w:trHeight w:val="139"/>
          <w:jc w:val="center"/>
        </w:trPr>
        <w:tc>
          <w:tcPr>
            <w:tcW w:w="198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Грудень</w:t>
            </w:r>
          </w:p>
        </w:tc>
        <w:tc>
          <w:tcPr>
            <w:tcW w:w="1662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10,63</w:t>
            </w:r>
          </w:p>
        </w:tc>
        <w:tc>
          <w:tcPr>
            <w:tcW w:w="190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66,30</w:t>
            </w:r>
          </w:p>
        </w:tc>
        <w:tc>
          <w:tcPr>
            <w:tcW w:w="1413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25,44</w:t>
            </w:r>
          </w:p>
        </w:tc>
        <w:tc>
          <w:tcPr>
            <w:tcW w:w="1611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26,28</w:t>
            </w:r>
          </w:p>
        </w:tc>
        <w:tc>
          <w:tcPr>
            <w:tcW w:w="166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5,65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113,93</w:t>
            </w:r>
          </w:p>
        </w:tc>
        <w:tc>
          <w:tcPr>
            <w:tcW w:w="153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0,00</w:t>
            </w:r>
          </w:p>
        </w:tc>
        <w:tc>
          <w:tcPr>
            <w:tcW w:w="1404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-</w:t>
            </w:r>
          </w:p>
        </w:tc>
        <w:tc>
          <w:tcPr>
            <w:tcW w:w="1617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660,12</w:t>
            </w:r>
          </w:p>
        </w:tc>
        <w:tc>
          <w:tcPr>
            <w:tcW w:w="1485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0,75</w:t>
            </w:r>
          </w:p>
        </w:tc>
        <w:tc>
          <w:tcPr>
            <w:tcW w:w="1579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5</w:t>
            </w:r>
            <w:r w:rsidR="000D45CC" w:rsidRPr="008E239D">
              <w:rPr>
                <w:lang w:val="uk-UA"/>
              </w:rPr>
              <w:t>, 19</w:t>
            </w:r>
          </w:p>
        </w:tc>
        <w:tc>
          <w:tcPr>
            <w:tcW w:w="1636" w:type="dxa"/>
            <w:shd w:val="clear" w:color="auto" w:fill="auto"/>
          </w:tcPr>
          <w:p w:rsidR="009A6710" w:rsidRPr="008E239D" w:rsidRDefault="009A6710" w:rsidP="000D45CC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914,29</w:t>
            </w:r>
          </w:p>
        </w:tc>
      </w:tr>
    </w:tbl>
    <w:p w:rsidR="000D45CC" w:rsidRDefault="000D45CC" w:rsidP="000D45CC">
      <w:pPr>
        <w:tabs>
          <w:tab w:val="left" w:pos="726"/>
        </w:tabs>
        <w:rPr>
          <w:b/>
          <w:lang w:val="uk-UA"/>
        </w:rPr>
      </w:pPr>
    </w:p>
    <w:p w:rsidR="000D45CC" w:rsidRPr="000D45CC" w:rsidRDefault="000D45CC" w:rsidP="00A64DAE">
      <w:pPr>
        <w:pStyle w:val="af7"/>
        <w:rPr>
          <w:lang w:val="uk-UA"/>
        </w:rPr>
      </w:pPr>
      <w:r>
        <w:rPr>
          <w:lang w:val="uk-UA"/>
        </w:rPr>
        <w:br w:type="page"/>
      </w:r>
      <w:r w:rsidR="00555659" w:rsidRPr="000D45CC">
        <w:rPr>
          <w:lang w:val="uk-UA"/>
        </w:rPr>
        <w:t>Додаток</w:t>
      </w:r>
      <w:r w:rsidRPr="000D45CC">
        <w:rPr>
          <w:lang w:val="uk-UA"/>
        </w:rPr>
        <w:t xml:space="preserve"> </w:t>
      </w:r>
      <w:r w:rsidR="00555659" w:rsidRPr="000D45CC">
        <w:rPr>
          <w:lang w:val="uk-UA"/>
        </w:rPr>
        <w:t>3</w:t>
      </w:r>
    </w:p>
    <w:p w:rsidR="000D45CC" w:rsidRDefault="000D45CC" w:rsidP="000D45CC">
      <w:pPr>
        <w:tabs>
          <w:tab w:val="left" w:pos="726"/>
        </w:tabs>
        <w:rPr>
          <w:b/>
          <w:lang w:val="uk-UA"/>
        </w:rPr>
      </w:pPr>
    </w:p>
    <w:p w:rsidR="009A6710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b/>
          <w:lang w:val="uk-UA"/>
        </w:rPr>
        <w:t>Таблиця</w:t>
      </w:r>
      <w:r w:rsidR="000D45CC" w:rsidRPr="000D45CC">
        <w:rPr>
          <w:b/>
          <w:lang w:val="uk-UA"/>
        </w:rPr>
        <w:t xml:space="preserve"> </w:t>
      </w:r>
      <w:r w:rsidRPr="000D45CC">
        <w:rPr>
          <w:b/>
          <w:lang w:val="uk-UA"/>
        </w:rPr>
        <w:t>3</w:t>
      </w:r>
      <w:r w:rsidR="000D45CC" w:rsidRPr="000D45CC">
        <w:rPr>
          <w:b/>
          <w:lang w:val="uk-UA"/>
        </w:rPr>
        <w:t xml:space="preserve">. </w:t>
      </w:r>
      <w:r w:rsidRPr="000D45CC">
        <w:rPr>
          <w:lang w:val="uk-UA"/>
        </w:rPr>
        <w:t>Обсяг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організаторах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торгівлі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протягом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січня-вересня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2007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року,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млн</w:t>
      </w:r>
      <w:r w:rsidR="000D45CC" w:rsidRPr="000D45CC">
        <w:rPr>
          <w:lang w:val="uk-UA"/>
        </w:rPr>
        <w:t xml:space="preserve">. </w:t>
      </w:r>
      <w:r w:rsidRPr="000D45CC">
        <w:rPr>
          <w:lang w:val="uk-UA"/>
        </w:rPr>
        <w:t>грн</w:t>
      </w:r>
      <w:r w:rsidR="000D45CC" w:rsidRPr="000D45CC">
        <w:rPr>
          <w:lang w:val="uk-UA"/>
        </w:rPr>
        <w:t xml:space="preserve">. </w:t>
      </w:r>
    </w:p>
    <w:tbl>
      <w:tblPr>
        <w:tblW w:w="47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3"/>
        <w:gridCol w:w="1104"/>
        <w:gridCol w:w="1325"/>
        <w:gridCol w:w="918"/>
        <w:gridCol w:w="1081"/>
        <w:gridCol w:w="1115"/>
        <w:gridCol w:w="929"/>
        <w:gridCol w:w="859"/>
        <w:gridCol w:w="1205"/>
        <w:gridCol w:w="1056"/>
        <w:gridCol w:w="1600"/>
        <w:gridCol w:w="1119"/>
      </w:tblGrid>
      <w:tr w:rsidR="009A6710" w:rsidRPr="008E239D" w:rsidTr="008E239D">
        <w:trPr>
          <w:trHeight w:val="308"/>
          <w:jc w:val="center"/>
        </w:trPr>
        <w:tc>
          <w:tcPr>
            <w:tcW w:w="1192" w:type="dxa"/>
            <w:vMerge w:val="restart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Період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</w:p>
        </w:tc>
        <w:tc>
          <w:tcPr>
            <w:tcW w:w="6902" w:type="dxa"/>
            <w:gridSpan w:val="10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lang w:val="uk-UA"/>
              </w:rPr>
              <w:t>Організатор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торгівлі</w:t>
            </w:r>
          </w:p>
        </w:tc>
        <w:tc>
          <w:tcPr>
            <w:tcW w:w="793" w:type="dxa"/>
            <w:vMerge w:val="restart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Всього</w:t>
            </w:r>
          </w:p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біржі</w:t>
            </w:r>
          </w:p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та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ТІС</w:t>
            </w:r>
          </w:p>
        </w:tc>
      </w:tr>
      <w:tr w:rsidR="009A6710" w:rsidRPr="008E239D" w:rsidTr="008E239D">
        <w:trPr>
          <w:trHeight w:val="262"/>
          <w:jc w:val="center"/>
        </w:trPr>
        <w:tc>
          <w:tcPr>
            <w:tcW w:w="1192" w:type="dxa"/>
            <w:vMerge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</w:p>
        </w:tc>
        <w:tc>
          <w:tcPr>
            <w:tcW w:w="739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КМФБ</w:t>
            </w:r>
          </w:p>
        </w:tc>
        <w:tc>
          <w:tcPr>
            <w:tcW w:w="805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ІННЕКС</w:t>
            </w:r>
          </w:p>
        </w:tc>
        <w:tc>
          <w:tcPr>
            <w:tcW w:w="51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ПФБ</w:t>
            </w:r>
          </w:p>
        </w:tc>
        <w:tc>
          <w:tcPr>
            <w:tcW w:w="628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УМВБ</w:t>
            </w:r>
          </w:p>
        </w:tc>
        <w:tc>
          <w:tcPr>
            <w:tcW w:w="65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УМФБ</w:t>
            </w:r>
          </w:p>
        </w:tc>
        <w:tc>
          <w:tcPr>
            <w:tcW w:w="67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УФБ</w:t>
            </w:r>
          </w:p>
        </w:tc>
        <w:tc>
          <w:tcPr>
            <w:tcW w:w="46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КФБ</w:t>
            </w:r>
          </w:p>
        </w:tc>
        <w:tc>
          <w:tcPr>
            <w:tcW w:w="87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ПФТС</w:t>
            </w:r>
          </w:p>
        </w:tc>
        <w:tc>
          <w:tcPr>
            <w:tcW w:w="665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ПТІС</w:t>
            </w:r>
          </w:p>
        </w:tc>
        <w:tc>
          <w:tcPr>
            <w:tcW w:w="88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ТІС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ПЕРС</w:t>
            </w:r>
          </w:p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ПЕКТИВА</w:t>
            </w:r>
          </w:p>
        </w:tc>
        <w:tc>
          <w:tcPr>
            <w:tcW w:w="793" w:type="dxa"/>
            <w:vMerge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</w:p>
        </w:tc>
      </w:tr>
      <w:tr w:rsidR="009A6710" w:rsidRPr="008E239D" w:rsidTr="008E239D">
        <w:trPr>
          <w:trHeight w:val="280"/>
          <w:jc w:val="center"/>
        </w:trPr>
        <w:tc>
          <w:tcPr>
            <w:tcW w:w="1192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b/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Січень</w:t>
            </w:r>
          </w:p>
        </w:tc>
        <w:tc>
          <w:tcPr>
            <w:tcW w:w="739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1,23</w:t>
            </w:r>
          </w:p>
        </w:tc>
        <w:tc>
          <w:tcPr>
            <w:tcW w:w="805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0,49</w:t>
            </w:r>
          </w:p>
        </w:tc>
        <w:tc>
          <w:tcPr>
            <w:tcW w:w="51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0,24</w:t>
            </w:r>
          </w:p>
        </w:tc>
        <w:tc>
          <w:tcPr>
            <w:tcW w:w="628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2,2</w:t>
            </w:r>
          </w:p>
        </w:tc>
        <w:tc>
          <w:tcPr>
            <w:tcW w:w="65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0,09</w:t>
            </w:r>
          </w:p>
        </w:tc>
        <w:tc>
          <w:tcPr>
            <w:tcW w:w="67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2,91</w:t>
            </w:r>
          </w:p>
        </w:tc>
        <w:tc>
          <w:tcPr>
            <w:tcW w:w="46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</w:t>
            </w:r>
          </w:p>
        </w:tc>
        <w:tc>
          <w:tcPr>
            <w:tcW w:w="87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955,93</w:t>
            </w:r>
          </w:p>
        </w:tc>
        <w:tc>
          <w:tcPr>
            <w:tcW w:w="665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</w:t>
            </w:r>
          </w:p>
        </w:tc>
        <w:tc>
          <w:tcPr>
            <w:tcW w:w="88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0,25</w:t>
            </w:r>
          </w:p>
        </w:tc>
        <w:tc>
          <w:tcPr>
            <w:tcW w:w="79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bCs/>
                <w:lang w:val="uk-UA"/>
              </w:rPr>
            </w:pPr>
            <w:r w:rsidRPr="008E239D">
              <w:rPr>
                <w:bCs/>
                <w:lang w:val="uk-UA"/>
              </w:rPr>
              <w:t>963,34</w:t>
            </w:r>
          </w:p>
        </w:tc>
      </w:tr>
      <w:tr w:rsidR="009A6710" w:rsidRPr="008E239D" w:rsidTr="008E239D">
        <w:trPr>
          <w:trHeight w:val="280"/>
          <w:jc w:val="center"/>
        </w:trPr>
        <w:tc>
          <w:tcPr>
            <w:tcW w:w="1192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Лютий</w:t>
            </w:r>
          </w:p>
        </w:tc>
        <w:tc>
          <w:tcPr>
            <w:tcW w:w="739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5,62</w:t>
            </w:r>
          </w:p>
        </w:tc>
        <w:tc>
          <w:tcPr>
            <w:tcW w:w="805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6,84</w:t>
            </w:r>
          </w:p>
        </w:tc>
        <w:tc>
          <w:tcPr>
            <w:tcW w:w="51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0,32</w:t>
            </w:r>
          </w:p>
        </w:tc>
        <w:tc>
          <w:tcPr>
            <w:tcW w:w="628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5,77</w:t>
            </w:r>
          </w:p>
        </w:tc>
        <w:tc>
          <w:tcPr>
            <w:tcW w:w="65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0,06</w:t>
            </w:r>
          </w:p>
        </w:tc>
        <w:tc>
          <w:tcPr>
            <w:tcW w:w="67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</w:t>
            </w:r>
          </w:p>
        </w:tc>
        <w:tc>
          <w:tcPr>
            <w:tcW w:w="46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</w:t>
            </w:r>
          </w:p>
        </w:tc>
        <w:tc>
          <w:tcPr>
            <w:tcW w:w="87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221,78</w:t>
            </w:r>
          </w:p>
        </w:tc>
        <w:tc>
          <w:tcPr>
            <w:tcW w:w="665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</w:t>
            </w:r>
          </w:p>
        </w:tc>
        <w:tc>
          <w:tcPr>
            <w:tcW w:w="88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0,04</w:t>
            </w:r>
          </w:p>
        </w:tc>
        <w:tc>
          <w:tcPr>
            <w:tcW w:w="79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bCs/>
                <w:lang w:val="uk-UA"/>
              </w:rPr>
            </w:pPr>
            <w:r w:rsidRPr="008E239D">
              <w:rPr>
                <w:bCs/>
                <w:lang w:val="uk-UA"/>
              </w:rPr>
              <w:t>1</w:t>
            </w:r>
            <w:r w:rsidR="000D45CC" w:rsidRPr="008E239D">
              <w:rPr>
                <w:bCs/>
                <w:lang w:val="uk-UA"/>
              </w:rPr>
              <w:t xml:space="preserve"> </w:t>
            </w:r>
            <w:r w:rsidRPr="008E239D">
              <w:rPr>
                <w:bCs/>
                <w:lang w:val="uk-UA"/>
              </w:rPr>
              <w:t>240,43</w:t>
            </w:r>
          </w:p>
        </w:tc>
      </w:tr>
      <w:tr w:rsidR="009A6710" w:rsidRPr="008E239D" w:rsidTr="008E239D">
        <w:trPr>
          <w:trHeight w:val="280"/>
          <w:jc w:val="center"/>
        </w:trPr>
        <w:tc>
          <w:tcPr>
            <w:tcW w:w="1192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Березень</w:t>
            </w:r>
          </w:p>
        </w:tc>
        <w:tc>
          <w:tcPr>
            <w:tcW w:w="739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22</w:t>
            </w:r>
            <w:r w:rsidR="000D45CC" w:rsidRPr="008E239D">
              <w:rPr>
                <w:lang w:val="uk-UA"/>
              </w:rPr>
              <w:t>, 20</w:t>
            </w:r>
          </w:p>
        </w:tc>
        <w:tc>
          <w:tcPr>
            <w:tcW w:w="805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108,44</w:t>
            </w:r>
          </w:p>
        </w:tc>
        <w:tc>
          <w:tcPr>
            <w:tcW w:w="51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15,58</w:t>
            </w:r>
          </w:p>
        </w:tc>
        <w:tc>
          <w:tcPr>
            <w:tcW w:w="628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5,09</w:t>
            </w:r>
          </w:p>
        </w:tc>
        <w:tc>
          <w:tcPr>
            <w:tcW w:w="65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1,06</w:t>
            </w:r>
          </w:p>
        </w:tc>
        <w:tc>
          <w:tcPr>
            <w:tcW w:w="67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45,94</w:t>
            </w:r>
          </w:p>
        </w:tc>
        <w:tc>
          <w:tcPr>
            <w:tcW w:w="46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</w:t>
            </w:r>
          </w:p>
        </w:tc>
        <w:tc>
          <w:tcPr>
            <w:tcW w:w="87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984,76</w:t>
            </w:r>
          </w:p>
        </w:tc>
        <w:tc>
          <w:tcPr>
            <w:tcW w:w="665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568,26</w:t>
            </w:r>
          </w:p>
        </w:tc>
        <w:tc>
          <w:tcPr>
            <w:tcW w:w="88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1,82</w:t>
            </w:r>
          </w:p>
        </w:tc>
        <w:tc>
          <w:tcPr>
            <w:tcW w:w="79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bCs/>
                <w:lang w:val="uk-UA"/>
              </w:rPr>
            </w:pPr>
            <w:r w:rsidRPr="008E239D">
              <w:rPr>
                <w:bCs/>
                <w:lang w:val="uk-UA"/>
              </w:rPr>
              <w:t>2</w:t>
            </w:r>
            <w:r w:rsidR="000D45CC" w:rsidRPr="008E239D">
              <w:rPr>
                <w:bCs/>
                <w:lang w:val="uk-UA"/>
              </w:rPr>
              <w:t xml:space="preserve"> </w:t>
            </w:r>
            <w:r w:rsidRPr="008E239D">
              <w:rPr>
                <w:bCs/>
                <w:lang w:val="uk-UA"/>
              </w:rPr>
              <w:t>753,14</w:t>
            </w:r>
          </w:p>
        </w:tc>
      </w:tr>
      <w:tr w:rsidR="009A6710" w:rsidRPr="008E239D" w:rsidTr="008E239D">
        <w:trPr>
          <w:trHeight w:val="280"/>
          <w:jc w:val="center"/>
        </w:trPr>
        <w:tc>
          <w:tcPr>
            <w:tcW w:w="1192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Квітень</w:t>
            </w:r>
          </w:p>
        </w:tc>
        <w:tc>
          <w:tcPr>
            <w:tcW w:w="739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25,07</w:t>
            </w:r>
          </w:p>
        </w:tc>
        <w:tc>
          <w:tcPr>
            <w:tcW w:w="805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0,37</w:t>
            </w:r>
          </w:p>
        </w:tc>
        <w:tc>
          <w:tcPr>
            <w:tcW w:w="51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0,35</w:t>
            </w:r>
          </w:p>
        </w:tc>
        <w:tc>
          <w:tcPr>
            <w:tcW w:w="628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1,75</w:t>
            </w:r>
          </w:p>
        </w:tc>
        <w:tc>
          <w:tcPr>
            <w:tcW w:w="65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0,08</w:t>
            </w:r>
          </w:p>
        </w:tc>
        <w:tc>
          <w:tcPr>
            <w:tcW w:w="67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0,07</w:t>
            </w:r>
          </w:p>
        </w:tc>
        <w:tc>
          <w:tcPr>
            <w:tcW w:w="46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</w:t>
            </w:r>
          </w:p>
        </w:tc>
        <w:tc>
          <w:tcPr>
            <w:tcW w:w="87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398,17</w:t>
            </w:r>
          </w:p>
        </w:tc>
        <w:tc>
          <w:tcPr>
            <w:tcW w:w="665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</w:t>
            </w:r>
          </w:p>
        </w:tc>
        <w:tc>
          <w:tcPr>
            <w:tcW w:w="88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0,08</w:t>
            </w:r>
          </w:p>
        </w:tc>
        <w:tc>
          <w:tcPr>
            <w:tcW w:w="79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425,94</w:t>
            </w:r>
          </w:p>
        </w:tc>
      </w:tr>
      <w:tr w:rsidR="009A6710" w:rsidRPr="008E239D" w:rsidTr="008E239D">
        <w:trPr>
          <w:trHeight w:val="280"/>
          <w:jc w:val="center"/>
        </w:trPr>
        <w:tc>
          <w:tcPr>
            <w:tcW w:w="1192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Травень</w:t>
            </w:r>
          </w:p>
        </w:tc>
        <w:tc>
          <w:tcPr>
            <w:tcW w:w="739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4,85</w:t>
            </w:r>
          </w:p>
        </w:tc>
        <w:tc>
          <w:tcPr>
            <w:tcW w:w="805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0,02</w:t>
            </w:r>
          </w:p>
        </w:tc>
        <w:tc>
          <w:tcPr>
            <w:tcW w:w="51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0,88</w:t>
            </w:r>
          </w:p>
        </w:tc>
        <w:tc>
          <w:tcPr>
            <w:tcW w:w="628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4,02</w:t>
            </w:r>
          </w:p>
        </w:tc>
        <w:tc>
          <w:tcPr>
            <w:tcW w:w="65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98,97</w:t>
            </w:r>
          </w:p>
        </w:tc>
        <w:tc>
          <w:tcPr>
            <w:tcW w:w="67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4,64</w:t>
            </w:r>
          </w:p>
        </w:tc>
        <w:tc>
          <w:tcPr>
            <w:tcW w:w="46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</w:t>
            </w:r>
          </w:p>
        </w:tc>
        <w:tc>
          <w:tcPr>
            <w:tcW w:w="87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735,85</w:t>
            </w:r>
          </w:p>
        </w:tc>
        <w:tc>
          <w:tcPr>
            <w:tcW w:w="665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</w:t>
            </w:r>
          </w:p>
        </w:tc>
        <w:tc>
          <w:tcPr>
            <w:tcW w:w="88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0,04</w:t>
            </w:r>
          </w:p>
        </w:tc>
        <w:tc>
          <w:tcPr>
            <w:tcW w:w="79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bCs/>
                <w:lang w:val="uk-UA"/>
              </w:rPr>
            </w:pPr>
            <w:r w:rsidRPr="008E239D">
              <w:rPr>
                <w:lang w:val="uk-UA"/>
              </w:rPr>
              <w:t>1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849,27</w:t>
            </w:r>
          </w:p>
        </w:tc>
      </w:tr>
      <w:tr w:rsidR="009A6710" w:rsidRPr="008E239D" w:rsidTr="008E239D">
        <w:trPr>
          <w:trHeight w:val="280"/>
          <w:jc w:val="center"/>
        </w:trPr>
        <w:tc>
          <w:tcPr>
            <w:tcW w:w="1192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Червень</w:t>
            </w:r>
          </w:p>
        </w:tc>
        <w:tc>
          <w:tcPr>
            <w:tcW w:w="739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2,35</w:t>
            </w:r>
          </w:p>
        </w:tc>
        <w:tc>
          <w:tcPr>
            <w:tcW w:w="805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106,73</w:t>
            </w:r>
          </w:p>
        </w:tc>
        <w:tc>
          <w:tcPr>
            <w:tcW w:w="51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5,42</w:t>
            </w:r>
          </w:p>
        </w:tc>
        <w:tc>
          <w:tcPr>
            <w:tcW w:w="628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4,21</w:t>
            </w:r>
          </w:p>
        </w:tc>
        <w:tc>
          <w:tcPr>
            <w:tcW w:w="65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0,08</w:t>
            </w:r>
          </w:p>
        </w:tc>
        <w:tc>
          <w:tcPr>
            <w:tcW w:w="67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</w:t>
            </w:r>
          </w:p>
        </w:tc>
        <w:tc>
          <w:tcPr>
            <w:tcW w:w="46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</w:t>
            </w:r>
          </w:p>
        </w:tc>
        <w:tc>
          <w:tcPr>
            <w:tcW w:w="87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546,87</w:t>
            </w:r>
          </w:p>
        </w:tc>
        <w:tc>
          <w:tcPr>
            <w:tcW w:w="665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0,32</w:t>
            </w:r>
          </w:p>
        </w:tc>
        <w:tc>
          <w:tcPr>
            <w:tcW w:w="88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50,04</w:t>
            </w:r>
          </w:p>
        </w:tc>
        <w:tc>
          <w:tcPr>
            <w:tcW w:w="79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bCs/>
                <w:lang w:val="uk-UA"/>
              </w:rPr>
            </w:pPr>
            <w:r w:rsidRPr="008E239D">
              <w:rPr>
                <w:bCs/>
                <w:lang w:val="uk-UA"/>
              </w:rPr>
              <w:t>2</w:t>
            </w:r>
            <w:r w:rsidR="000D45CC" w:rsidRPr="008E239D">
              <w:rPr>
                <w:bCs/>
                <w:lang w:val="uk-UA"/>
              </w:rPr>
              <w:t xml:space="preserve"> </w:t>
            </w:r>
            <w:r w:rsidRPr="008E239D">
              <w:rPr>
                <w:bCs/>
                <w:lang w:val="uk-UA"/>
              </w:rPr>
              <w:t>716,03</w:t>
            </w:r>
          </w:p>
        </w:tc>
      </w:tr>
      <w:tr w:rsidR="009A6710" w:rsidRPr="008E239D" w:rsidTr="008E239D">
        <w:trPr>
          <w:trHeight w:val="280"/>
          <w:jc w:val="center"/>
        </w:trPr>
        <w:tc>
          <w:tcPr>
            <w:tcW w:w="1192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Липень</w:t>
            </w:r>
          </w:p>
        </w:tc>
        <w:tc>
          <w:tcPr>
            <w:tcW w:w="739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22,61</w:t>
            </w:r>
          </w:p>
        </w:tc>
        <w:tc>
          <w:tcPr>
            <w:tcW w:w="805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192,95</w:t>
            </w:r>
          </w:p>
        </w:tc>
        <w:tc>
          <w:tcPr>
            <w:tcW w:w="51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0,41</w:t>
            </w:r>
          </w:p>
        </w:tc>
        <w:tc>
          <w:tcPr>
            <w:tcW w:w="628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7,92</w:t>
            </w:r>
          </w:p>
        </w:tc>
        <w:tc>
          <w:tcPr>
            <w:tcW w:w="65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1,23</w:t>
            </w:r>
          </w:p>
        </w:tc>
        <w:tc>
          <w:tcPr>
            <w:tcW w:w="67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4,54</w:t>
            </w:r>
          </w:p>
        </w:tc>
        <w:tc>
          <w:tcPr>
            <w:tcW w:w="46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0</w:t>
            </w:r>
          </w:p>
        </w:tc>
        <w:tc>
          <w:tcPr>
            <w:tcW w:w="87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2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300,07</w:t>
            </w:r>
          </w:p>
        </w:tc>
        <w:tc>
          <w:tcPr>
            <w:tcW w:w="665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0,32</w:t>
            </w:r>
          </w:p>
        </w:tc>
        <w:tc>
          <w:tcPr>
            <w:tcW w:w="88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0,04</w:t>
            </w:r>
          </w:p>
        </w:tc>
        <w:tc>
          <w:tcPr>
            <w:tcW w:w="79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2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530,10</w:t>
            </w:r>
          </w:p>
        </w:tc>
      </w:tr>
      <w:tr w:rsidR="009A6710" w:rsidRPr="008E239D" w:rsidTr="008E239D">
        <w:trPr>
          <w:trHeight w:val="280"/>
          <w:jc w:val="center"/>
        </w:trPr>
        <w:tc>
          <w:tcPr>
            <w:tcW w:w="1192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Серпень</w:t>
            </w:r>
          </w:p>
        </w:tc>
        <w:tc>
          <w:tcPr>
            <w:tcW w:w="739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2,57</w:t>
            </w:r>
          </w:p>
        </w:tc>
        <w:tc>
          <w:tcPr>
            <w:tcW w:w="805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202,78</w:t>
            </w:r>
          </w:p>
        </w:tc>
        <w:tc>
          <w:tcPr>
            <w:tcW w:w="51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0,34</w:t>
            </w:r>
          </w:p>
        </w:tc>
        <w:tc>
          <w:tcPr>
            <w:tcW w:w="628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4,03</w:t>
            </w:r>
          </w:p>
        </w:tc>
        <w:tc>
          <w:tcPr>
            <w:tcW w:w="65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0,05</w:t>
            </w:r>
          </w:p>
        </w:tc>
        <w:tc>
          <w:tcPr>
            <w:tcW w:w="67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4,51</w:t>
            </w:r>
          </w:p>
        </w:tc>
        <w:tc>
          <w:tcPr>
            <w:tcW w:w="46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</w:t>
            </w:r>
          </w:p>
        </w:tc>
        <w:tc>
          <w:tcPr>
            <w:tcW w:w="87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605,70</w:t>
            </w:r>
          </w:p>
        </w:tc>
        <w:tc>
          <w:tcPr>
            <w:tcW w:w="665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0,32</w:t>
            </w:r>
          </w:p>
        </w:tc>
        <w:tc>
          <w:tcPr>
            <w:tcW w:w="88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0,01</w:t>
            </w:r>
          </w:p>
        </w:tc>
        <w:tc>
          <w:tcPr>
            <w:tcW w:w="79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bCs/>
                <w:lang w:val="uk-UA"/>
              </w:rPr>
            </w:pPr>
            <w:r w:rsidRPr="008E239D">
              <w:rPr>
                <w:bCs/>
                <w:lang w:val="uk-UA"/>
              </w:rPr>
              <w:t>3</w:t>
            </w:r>
            <w:r w:rsidR="000D45CC" w:rsidRPr="008E239D">
              <w:rPr>
                <w:bCs/>
                <w:lang w:val="uk-UA"/>
              </w:rPr>
              <w:t xml:space="preserve"> </w:t>
            </w:r>
            <w:r w:rsidRPr="008E239D">
              <w:rPr>
                <w:bCs/>
                <w:lang w:val="uk-UA"/>
              </w:rPr>
              <w:t>820,32</w:t>
            </w:r>
          </w:p>
        </w:tc>
      </w:tr>
      <w:tr w:rsidR="009A6710" w:rsidRPr="008E239D" w:rsidTr="008E239D">
        <w:trPr>
          <w:trHeight w:val="280"/>
          <w:jc w:val="center"/>
        </w:trPr>
        <w:tc>
          <w:tcPr>
            <w:tcW w:w="1192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Вересень</w:t>
            </w:r>
          </w:p>
        </w:tc>
        <w:tc>
          <w:tcPr>
            <w:tcW w:w="739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188,57</w:t>
            </w:r>
          </w:p>
        </w:tc>
        <w:tc>
          <w:tcPr>
            <w:tcW w:w="805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483,75</w:t>
            </w:r>
          </w:p>
        </w:tc>
        <w:tc>
          <w:tcPr>
            <w:tcW w:w="51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5,03</w:t>
            </w:r>
          </w:p>
        </w:tc>
        <w:tc>
          <w:tcPr>
            <w:tcW w:w="628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7,28</w:t>
            </w:r>
          </w:p>
        </w:tc>
        <w:tc>
          <w:tcPr>
            <w:tcW w:w="65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0,06</w:t>
            </w:r>
          </w:p>
        </w:tc>
        <w:tc>
          <w:tcPr>
            <w:tcW w:w="67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0,49</w:t>
            </w:r>
          </w:p>
        </w:tc>
        <w:tc>
          <w:tcPr>
            <w:tcW w:w="46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</w:t>
            </w:r>
          </w:p>
        </w:tc>
        <w:tc>
          <w:tcPr>
            <w:tcW w:w="87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191,31</w:t>
            </w:r>
          </w:p>
        </w:tc>
        <w:tc>
          <w:tcPr>
            <w:tcW w:w="665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0,32</w:t>
            </w:r>
          </w:p>
        </w:tc>
        <w:tc>
          <w:tcPr>
            <w:tcW w:w="88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0,11</w:t>
            </w:r>
          </w:p>
        </w:tc>
        <w:tc>
          <w:tcPr>
            <w:tcW w:w="79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bCs/>
                <w:lang w:val="uk-UA"/>
              </w:rPr>
            </w:pPr>
            <w:r w:rsidRPr="008E239D">
              <w:rPr>
                <w:bCs/>
                <w:lang w:val="uk-UA"/>
              </w:rPr>
              <w:t>3</w:t>
            </w:r>
            <w:r w:rsidR="000D45CC" w:rsidRPr="008E239D">
              <w:rPr>
                <w:bCs/>
                <w:lang w:val="uk-UA"/>
              </w:rPr>
              <w:t xml:space="preserve"> </w:t>
            </w:r>
            <w:r w:rsidRPr="008E239D">
              <w:rPr>
                <w:bCs/>
                <w:lang w:val="uk-UA"/>
              </w:rPr>
              <w:t>876,93</w:t>
            </w:r>
          </w:p>
        </w:tc>
      </w:tr>
      <w:tr w:rsidR="009A6710" w:rsidRPr="008E239D" w:rsidTr="008E239D">
        <w:trPr>
          <w:trHeight w:val="280"/>
          <w:jc w:val="center"/>
        </w:trPr>
        <w:tc>
          <w:tcPr>
            <w:tcW w:w="1192" w:type="dxa"/>
            <w:shd w:val="clear" w:color="auto" w:fill="auto"/>
          </w:tcPr>
          <w:p w:rsidR="009A6710" w:rsidRPr="008E239D" w:rsidRDefault="009A6710" w:rsidP="00A64DAE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Всього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</w:p>
        </w:tc>
        <w:tc>
          <w:tcPr>
            <w:tcW w:w="739" w:type="dxa"/>
            <w:shd w:val="clear" w:color="auto" w:fill="auto"/>
          </w:tcPr>
          <w:p w:rsidR="009A6710" w:rsidRPr="008E239D" w:rsidRDefault="009A6710" w:rsidP="00A64DAE">
            <w:pPr>
              <w:pStyle w:val="af9"/>
              <w:rPr>
                <w:bCs/>
                <w:lang w:val="uk-UA"/>
              </w:rPr>
            </w:pPr>
            <w:r w:rsidRPr="008E239D">
              <w:rPr>
                <w:bCs/>
                <w:lang w:val="uk-UA"/>
              </w:rPr>
              <w:t>275,06</w:t>
            </w:r>
          </w:p>
        </w:tc>
        <w:tc>
          <w:tcPr>
            <w:tcW w:w="805" w:type="dxa"/>
            <w:shd w:val="clear" w:color="auto" w:fill="auto"/>
          </w:tcPr>
          <w:p w:rsidR="009A6710" w:rsidRPr="008E239D" w:rsidRDefault="009A6710" w:rsidP="00A64DAE">
            <w:pPr>
              <w:pStyle w:val="af9"/>
              <w:rPr>
                <w:bCs/>
                <w:lang w:val="uk-UA"/>
              </w:rPr>
            </w:pPr>
            <w:r w:rsidRPr="008E239D">
              <w:rPr>
                <w:bCs/>
                <w:lang w:val="uk-UA"/>
              </w:rPr>
              <w:t>1</w:t>
            </w:r>
            <w:r w:rsidR="000D45CC" w:rsidRPr="008E239D">
              <w:rPr>
                <w:bCs/>
                <w:lang w:val="uk-UA"/>
              </w:rPr>
              <w:t xml:space="preserve"> </w:t>
            </w:r>
            <w:r w:rsidRPr="008E239D">
              <w:rPr>
                <w:bCs/>
                <w:lang w:val="uk-UA"/>
              </w:rPr>
              <w:t>102,37</w:t>
            </w:r>
          </w:p>
        </w:tc>
        <w:tc>
          <w:tcPr>
            <w:tcW w:w="510" w:type="dxa"/>
            <w:shd w:val="clear" w:color="auto" w:fill="auto"/>
          </w:tcPr>
          <w:p w:rsidR="009A6710" w:rsidRPr="008E239D" w:rsidRDefault="009A6710" w:rsidP="00A64DAE">
            <w:pPr>
              <w:pStyle w:val="af9"/>
              <w:rPr>
                <w:bCs/>
                <w:lang w:val="uk-UA"/>
              </w:rPr>
            </w:pPr>
            <w:r w:rsidRPr="008E239D">
              <w:rPr>
                <w:bCs/>
                <w:lang w:val="uk-UA"/>
              </w:rPr>
              <w:t>28,58</w:t>
            </w:r>
          </w:p>
        </w:tc>
        <w:tc>
          <w:tcPr>
            <w:tcW w:w="628" w:type="dxa"/>
            <w:shd w:val="clear" w:color="auto" w:fill="auto"/>
          </w:tcPr>
          <w:p w:rsidR="009A6710" w:rsidRPr="008E239D" w:rsidRDefault="009A6710" w:rsidP="00A64DAE">
            <w:pPr>
              <w:pStyle w:val="af9"/>
              <w:rPr>
                <w:bCs/>
                <w:lang w:val="uk-UA"/>
              </w:rPr>
            </w:pPr>
            <w:r w:rsidRPr="008E239D">
              <w:rPr>
                <w:bCs/>
                <w:lang w:val="uk-UA"/>
              </w:rPr>
              <w:t>42,28</w:t>
            </w:r>
          </w:p>
        </w:tc>
        <w:tc>
          <w:tcPr>
            <w:tcW w:w="653" w:type="dxa"/>
            <w:shd w:val="clear" w:color="auto" w:fill="auto"/>
          </w:tcPr>
          <w:p w:rsidR="009A6710" w:rsidRPr="008E239D" w:rsidRDefault="009A6710" w:rsidP="00A64DAE">
            <w:pPr>
              <w:pStyle w:val="af9"/>
              <w:rPr>
                <w:bCs/>
                <w:lang w:val="uk-UA"/>
              </w:rPr>
            </w:pPr>
            <w:r w:rsidRPr="008E239D">
              <w:rPr>
                <w:bCs/>
                <w:lang w:val="uk-UA"/>
              </w:rPr>
              <w:t>101,68</w:t>
            </w:r>
          </w:p>
        </w:tc>
        <w:tc>
          <w:tcPr>
            <w:tcW w:w="674" w:type="dxa"/>
            <w:shd w:val="clear" w:color="auto" w:fill="auto"/>
          </w:tcPr>
          <w:p w:rsidR="009A6710" w:rsidRPr="008E239D" w:rsidRDefault="009A6710" w:rsidP="00A64DAE">
            <w:pPr>
              <w:pStyle w:val="af9"/>
              <w:rPr>
                <w:lang w:val="uk-UA"/>
              </w:rPr>
            </w:pPr>
            <w:r w:rsidRPr="008E239D">
              <w:rPr>
                <w:bCs/>
                <w:lang w:val="uk-UA"/>
              </w:rPr>
              <w:t>63,10</w:t>
            </w:r>
          </w:p>
          <w:p w:rsidR="009A6710" w:rsidRPr="008E239D" w:rsidRDefault="009A6710" w:rsidP="00A64DAE">
            <w:pPr>
              <w:pStyle w:val="af9"/>
              <w:rPr>
                <w:lang w:val="uk-UA"/>
              </w:rPr>
            </w:pPr>
          </w:p>
        </w:tc>
        <w:tc>
          <w:tcPr>
            <w:tcW w:w="467" w:type="dxa"/>
            <w:shd w:val="clear" w:color="auto" w:fill="auto"/>
          </w:tcPr>
          <w:p w:rsidR="009A6710" w:rsidRPr="008E239D" w:rsidRDefault="009A6710" w:rsidP="00A64DAE">
            <w:pPr>
              <w:pStyle w:val="af9"/>
              <w:rPr>
                <w:lang w:val="uk-UA"/>
              </w:rPr>
            </w:pPr>
          </w:p>
        </w:tc>
        <w:tc>
          <w:tcPr>
            <w:tcW w:w="874" w:type="dxa"/>
            <w:shd w:val="clear" w:color="auto" w:fill="auto"/>
          </w:tcPr>
          <w:p w:rsidR="009A6710" w:rsidRPr="008E239D" w:rsidRDefault="009A6710" w:rsidP="00A64DAE">
            <w:pPr>
              <w:pStyle w:val="af9"/>
              <w:rPr>
                <w:lang w:val="uk-UA"/>
              </w:rPr>
            </w:pPr>
          </w:p>
        </w:tc>
        <w:tc>
          <w:tcPr>
            <w:tcW w:w="665" w:type="dxa"/>
            <w:shd w:val="clear" w:color="auto" w:fill="auto"/>
          </w:tcPr>
          <w:p w:rsidR="009A6710" w:rsidRPr="008E239D" w:rsidRDefault="009A6710" w:rsidP="00A64DAE">
            <w:pPr>
              <w:pStyle w:val="af9"/>
              <w:rPr>
                <w:lang w:val="uk-UA"/>
              </w:rPr>
            </w:pPr>
          </w:p>
        </w:tc>
        <w:tc>
          <w:tcPr>
            <w:tcW w:w="887" w:type="dxa"/>
            <w:shd w:val="clear" w:color="auto" w:fill="auto"/>
          </w:tcPr>
          <w:p w:rsidR="009A6710" w:rsidRPr="008E239D" w:rsidRDefault="009A6710" w:rsidP="00A64DAE">
            <w:pPr>
              <w:pStyle w:val="af9"/>
              <w:rPr>
                <w:lang w:val="uk-UA"/>
              </w:rPr>
            </w:pPr>
          </w:p>
        </w:tc>
        <w:tc>
          <w:tcPr>
            <w:tcW w:w="793" w:type="dxa"/>
            <w:shd w:val="clear" w:color="auto" w:fill="auto"/>
          </w:tcPr>
          <w:p w:rsidR="009A6710" w:rsidRPr="008E239D" w:rsidRDefault="009A6710" w:rsidP="00A64DAE">
            <w:pPr>
              <w:pStyle w:val="af9"/>
              <w:rPr>
                <w:lang w:val="uk-UA"/>
              </w:rPr>
            </w:pPr>
          </w:p>
        </w:tc>
      </w:tr>
    </w:tbl>
    <w:p w:rsidR="009A6710" w:rsidRPr="000D45CC" w:rsidRDefault="009A6710" w:rsidP="000D45CC">
      <w:pPr>
        <w:tabs>
          <w:tab w:val="left" w:pos="726"/>
        </w:tabs>
        <w:rPr>
          <w:lang w:val="uk-UA"/>
        </w:rPr>
      </w:pPr>
    </w:p>
    <w:p w:rsidR="009A6710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b/>
          <w:lang w:val="uk-UA"/>
        </w:rPr>
        <w:t>Таблиця</w:t>
      </w:r>
      <w:r w:rsidR="000D45CC" w:rsidRPr="000D45CC">
        <w:rPr>
          <w:b/>
          <w:lang w:val="uk-UA"/>
        </w:rPr>
        <w:t xml:space="preserve"> </w:t>
      </w:r>
      <w:r w:rsidRPr="000D45CC">
        <w:rPr>
          <w:b/>
          <w:lang w:val="uk-UA"/>
        </w:rPr>
        <w:t>4</w:t>
      </w:r>
      <w:r w:rsidR="000D45CC" w:rsidRPr="000D45CC">
        <w:rPr>
          <w:b/>
          <w:lang w:val="uk-UA"/>
        </w:rPr>
        <w:t xml:space="preserve">. </w:t>
      </w:r>
      <w:r w:rsidRPr="000D45CC">
        <w:rPr>
          <w:lang w:val="uk-UA"/>
        </w:rPr>
        <w:t>Обсяги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паперами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торговців</w:t>
      </w:r>
      <w:r w:rsidR="000D45CC" w:rsidRPr="000D45CC">
        <w:rPr>
          <w:lang w:val="uk-UA"/>
        </w:rPr>
        <w:t xml:space="preserve">), </w:t>
      </w:r>
      <w:r w:rsidRPr="000D45CC">
        <w:rPr>
          <w:iCs/>
          <w:lang w:val="uk-UA"/>
        </w:rPr>
        <w:t>млн</w:t>
      </w:r>
      <w:r w:rsidR="000D45CC" w:rsidRPr="000D45CC">
        <w:rPr>
          <w:iCs/>
          <w:lang w:val="uk-UA"/>
        </w:rPr>
        <w:t xml:space="preserve">. </w:t>
      </w:r>
      <w:r w:rsidRPr="000D45CC">
        <w:rPr>
          <w:iCs/>
          <w:lang w:val="uk-UA"/>
        </w:rPr>
        <w:t>грн</w:t>
      </w:r>
      <w:r w:rsidR="000D45CC" w:rsidRPr="000D45CC">
        <w:rPr>
          <w:iCs/>
          <w:lang w:val="uk-UA"/>
        </w:rPr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2"/>
        <w:gridCol w:w="2037"/>
        <w:gridCol w:w="2036"/>
        <w:gridCol w:w="2036"/>
        <w:gridCol w:w="2036"/>
        <w:gridCol w:w="2036"/>
      </w:tblGrid>
      <w:tr w:rsidR="009A6710" w:rsidRPr="008E239D" w:rsidTr="008E239D">
        <w:trPr>
          <w:trHeight w:val="335"/>
          <w:jc w:val="center"/>
        </w:trPr>
        <w:tc>
          <w:tcPr>
            <w:tcW w:w="2787" w:type="dxa"/>
            <w:shd w:val="clear" w:color="auto" w:fill="auto"/>
          </w:tcPr>
          <w:p w:rsidR="009A6710" w:rsidRPr="008E239D" w:rsidRDefault="000D45CC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 xml:space="preserve"> 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b/>
                <w:lang w:val="uk-UA"/>
              </w:rPr>
            </w:pPr>
            <w:r w:rsidRPr="008E239D">
              <w:rPr>
                <w:b/>
                <w:lang w:val="uk-UA"/>
              </w:rPr>
              <w:t>ІІІ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кв</w:t>
            </w:r>
            <w:r w:rsidR="000D45CC" w:rsidRPr="008E239D">
              <w:rPr>
                <w:b/>
                <w:lang w:val="uk-UA"/>
              </w:rPr>
              <w:t>. 20</w:t>
            </w:r>
            <w:r w:rsidRPr="008E239D">
              <w:rPr>
                <w:b/>
                <w:lang w:val="uk-UA"/>
              </w:rPr>
              <w:t>05р</w:t>
            </w:r>
            <w:r w:rsidR="000D45CC" w:rsidRPr="008E239D">
              <w:rPr>
                <w:b/>
                <w:lang w:val="uk-UA"/>
              </w:rPr>
              <w:t xml:space="preserve">. 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b/>
                <w:lang w:val="uk-UA"/>
              </w:rPr>
            </w:pPr>
            <w:r w:rsidRPr="008E239D">
              <w:rPr>
                <w:b/>
                <w:lang w:val="uk-UA"/>
              </w:rPr>
              <w:t>ІV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кв</w:t>
            </w:r>
            <w:r w:rsidR="000D45CC" w:rsidRPr="008E239D">
              <w:rPr>
                <w:b/>
                <w:lang w:val="uk-UA"/>
              </w:rPr>
              <w:t>. 20</w:t>
            </w:r>
            <w:r w:rsidRPr="008E239D">
              <w:rPr>
                <w:b/>
                <w:lang w:val="uk-UA"/>
              </w:rPr>
              <w:t>05р</w:t>
            </w:r>
            <w:r w:rsidR="000D45CC" w:rsidRPr="008E239D">
              <w:rPr>
                <w:b/>
                <w:lang w:val="uk-UA"/>
              </w:rPr>
              <w:t xml:space="preserve">. 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b/>
                <w:lang w:val="uk-UA"/>
              </w:rPr>
            </w:pPr>
            <w:r w:rsidRPr="008E239D">
              <w:rPr>
                <w:b/>
                <w:lang w:val="uk-UA"/>
              </w:rPr>
              <w:t>І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кв</w:t>
            </w:r>
            <w:r w:rsidR="000D45CC" w:rsidRPr="008E239D">
              <w:rPr>
                <w:b/>
                <w:lang w:val="uk-UA"/>
              </w:rPr>
              <w:t>. 20</w:t>
            </w:r>
            <w:r w:rsidRPr="008E239D">
              <w:rPr>
                <w:b/>
                <w:lang w:val="uk-UA"/>
              </w:rPr>
              <w:t>06р</w:t>
            </w:r>
            <w:r w:rsidR="000D45CC" w:rsidRPr="008E239D">
              <w:rPr>
                <w:b/>
                <w:lang w:val="uk-UA"/>
              </w:rPr>
              <w:t xml:space="preserve">. 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b/>
                <w:lang w:val="uk-UA"/>
              </w:rPr>
            </w:pPr>
            <w:r w:rsidRPr="008E239D">
              <w:rPr>
                <w:b/>
                <w:lang w:val="uk-UA"/>
              </w:rPr>
              <w:t>ІІ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кв</w:t>
            </w:r>
            <w:r w:rsidR="000D45CC" w:rsidRPr="008E239D">
              <w:rPr>
                <w:b/>
                <w:lang w:val="uk-UA"/>
              </w:rPr>
              <w:t>. 20</w:t>
            </w:r>
            <w:r w:rsidRPr="008E239D">
              <w:rPr>
                <w:b/>
                <w:lang w:val="uk-UA"/>
              </w:rPr>
              <w:t>06р</w:t>
            </w:r>
            <w:r w:rsidR="000D45CC" w:rsidRPr="008E239D">
              <w:rPr>
                <w:b/>
                <w:lang w:val="uk-UA"/>
              </w:rPr>
              <w:t xml:space="preserve">. 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b/>
                <w:lang w:val="uk-UA"/>
              </w:rPr>
            </w:pPr>
            <w:r w:rsidRPr="008E239D">
              <w:rPr>
                <w:b/>
                <w:lang w:val="uk-UA"/>
              </w:rPr>
              <w:t>ІІІ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кв</w:t>
            </w:r>
            <w:r w:rsidR="000D45CC" w:rsidRPr="008E239D">
              <w:rPr>
                <w:b/>
                <w:lang w:val="uk-UA"/>
              </w:rPr>
              <w:t>. 20</w:t>
            </w:r>
            <w:r w:rsidRPr="008E239D">
              <w:rPr>
                <w:b/>
                <w:lang w:val="uk-UA"/>
              </w:rPr>
              <w:t>06р</w:t>
            </w:r>
            <w:r w:rsidR="000D45CC" w:rsidRPr="008E239D">
              <w:rPr>
                <w:b/>
                <w:lang w:val="uk-UA"/>
              </w:rPr>
              <w:t xml:space="preserve">. </w:t>
            </w:r>
          </w:p>
        </w:tc>
      </w:tr>
      <w:tr w:rsidR="009A6710" w:rsidRPr="008E239D" w:rsidTr="008E239D">
        <w:trPr>
          <w:trHeight w:val="285"/>
          <w:jc w:val="center"/>
        </w:trPr>
        <w:tc>
          <w:tcPr>
            <w:tcW w:w="278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b/>
                <w:lang w:val="uk-UA"/>
              </w:rPr>
            </w:pPr>
            <w:r w:rsidRPr="008E239D">
              <w:rPr>
                <w:b/>
                <w:lang w:val="uk-UA"/>
              </w:rPr>
              <w:t>Торговці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цінними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паперами</w:t>
            </w:r>
            <w:r w:rsidR="000D45CC" w:rsidRPr="008E239D">
              <w:rPr>
                <w:b/>
                <w:lang w:val="uk-UA"/>
              </w:rPr>
              <w:t xml:space="preserve"> (</w:t>
            </w:r>
            <w:r w:rsidRPr="008E239D">
              <w:rPr>
                <w:b/>
                <w:lang w:val="uk-UA"/>
              </w:rPr>
              <w:t>крім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банків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та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інвестиційних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компаній</w:t>
            </w:r>
            <w:r w:rsidR="000D45CC" w:rsidRPr="008E239D">
              <w:rPr>
                <w:b/>
                <w:lang w:val="uk-UA"/>
              </w:rPr>
              <w:t xml:space="preserve">) 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62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642,79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84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115,91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51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138,14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75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418,30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72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173,1</w:t>
            </w:r>
          </w:p>
        </w:tc>
      </w:tr>
      <w:tr w:rsidR="009A6710" w:rsidRPr="008E239D" w:rsidTr="008E239D">
        <w:trPr>
          <w:trHeight w:val="179"/>
          <w:jc w:val="center"/>
        </w:trPr>
        <w:tc>
          <w:tcPr>
            <w:tcW w:w="278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b/>
                <w:lang w:val="uk-UA"/>
              </w:rPr>
            </w:pPr>
            <w:r w:rsidRPr="008E239D">
              <w:rPr>
                <w:b/>
                <w:lang w:val="uk-UA"/>
              </w:rPr>
              <w:t>у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%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до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загального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обсягу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виконаних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договорів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66,29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59,55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58,57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64</w:t>
            </w:r>
            <w:r w:rsidR="000D45CC" w:rsidRPr="008E239D">
              <w:rPr>
                <w:snapToGrid w:val="0"/>
                <w:lang w:val="uk-UA"/>
              </w:rPr>
              <w:t xml:space="preserve">,20 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64,17</w:t>
            </w:r>
          </w:p>
        </w:tc>
      </w:tr>
      <w:tr w:rsidR="009A6710" w:rsidRPr="008E239D" w:rsidTr="008E239D">
        <w:trPr>
          <w:trHeight w:val="222"/>
          <w:jc w:val="center"/>
        </w:trPr>
        <w:tc>
          <w:tcPr>
            <w:tcW w:w="278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b/>
                <w:lang w:val="uk-UA"/>
              </w:rPr>
            </w:pPr>
            <w:r w:rsidRPr="008E239D">
              <w:rPr>
                <w:b/>
                <w:lang w:val="uk-UA"/>
              </w:rPr>
              <w:t>Інвестиційні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компанії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3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239,30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12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749,35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6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980,42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5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607,72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7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293,44</w:t>
            </w:r>
          </w:p>
        </w:tc>
      </w:tr>
      <w:tr w:rsidR="009A6710" w:rsidRPr="008E239D" w:rsidTr="008E239D">
        <w:trPr>
          <w:trHeight w:val="328"/>
          <w:jc w:val="center"/>
        </w:trPr>
        <w:tc>
          <w:tcPr>
            <w:tcW w:w="278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b/>
                <w:lang w:val="uk-UA"/>
              </w:rPr>
            </w:pPr>
            <w:r w:rsidRPr="008E239D">
              <w:rPr>
                <w:b/>
                <w:lang w:val="uk-UA"/>
              </w:rPr>
              <w:t>у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%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до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загального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обсягу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виконаних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договорів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3,43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9,03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7,99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4,77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6,48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</w:p>
        </w:tc>
      </w:tr>
      <w:tr w:rsidR="009A6710" w:rsidRPr="008E239D" w:rsidTr="008E239D">
        <w:trPr>
          <w:trHeight w:val="194"/>
          <w:jc w:val="center"/>
        </w:trPr>
        <w:tc>
          <w:tcPr>
            <w:tcW w:w="278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b/>
                <w:lang w:val="uk-UA"/>
              </w:rPr>
            </w:pPr>
            <w:r w:rsidRPr="008E239D">
              <w:rPr>
                <w:b/>
                <w:lang w:val="uk-UA"/>
              </w:rPr>
              <w:t>Комерційні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банки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28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622,35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44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390,58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29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193,52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36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444,63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33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006,31</w:t>
            </w:r>
          </w:p>
        </w:tc>
      </w:tr>
      <w:tr w:rsidR="009A6710" w:rsidRPr="008E239D" w:rsidTr="008E239D">
        <w:trPr>
          <w:trHeight w:val="283"/>
          <w:jc w:val="center"/>
        </w:trPr>
        <w:tc>
          <w:tcPr>
            <w:tcW w:w="278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b/>
                <w:lang w:val="uk-UA"/>
              </w:rPr>
            </w:pPr>
            <w:r w:rsidRPr="008E239D">
              <w:rPr>
                <w:b/>
                <w:lang w:val="uk-UA"/>
              </w:rPr>
              <w:t>у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%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до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загального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обсягу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виконаних</w:t>
            </w:r>
            <w:r w:rsidR="000D45CC" w:rsidRPr="008E239D">
              <w:rPr>
                <w:b/>
                <w:lang w:val="uk-UA"/>
              </w:rPr>
              <w:t xml:space="preserve"> </w:t>
            </w:r>
            <w:r w:rsidRPr="008E239D">
              <w:rPr>
                <w:b/>
                <w:lang w:val="uk-UA"/>
              </w:rPr>
              <w:t>договорів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30,29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31,43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33,44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31,02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29,35</w:t>
            </w:r>
          </w:p>
        </w:tc>
      </w:tr>
      <w:tr w:rsidR="009A6710" w:rsidRPr="008E239D" w:rsidTr="008E239D">
        <w:trPr>
          <w:trHeight w:val="132"/>
          <w:jc w:val="center"/>
        </w:trPr>
        <w:tc>
          <w:tcPr>
            <w:tcW w:w="2787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b/>
                <w:lang w:val="uk-UA"/>
              </w:rPr>
            </w:pPr>
            <w:r w:rsidRPr="008E239D">
              <w:rPr>
                <w:b/>
                <w:lang w:val="uk-UA"/>
              </w:rPr>
              <w:t>Усього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94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504,44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141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255,8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87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312,08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117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470,66</w:t>
            </w:r>
          </w:p>
        </w:tc>
        <w:tc>
          <w:tcPr>
            <w:tcW w:w="147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112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472,85</w:t>
            </w:r>
          </w:p>
        </w:tc>
      </w:tr>
    </w:tbl>
    <w:p w:rsidR="00121ABB" w:rsidRDefault="00121ABB" w:rsidP="000D45CC">
      <w:pPr>
        <w:tabs>
          <w:tab w:val="left" w:pos="726"/>
        </w:tabs>
        <w:rPr>
          <w:b/>
          <w:lang w:val="uk-UA"/>
        </w:rPr>
      </w:pPr>
    </w:p>
    <w:p w:rsidR="000D45CC" w:rsidRDefault="00A64DAE" w:rsidP="00A64DAE">
      <w:pPr>
        <w:pStyle w:val="af7"/>
        <w:rPr>
          <w:lang w:val="uk-UA"/>
        </w:rPr>
      </w:pPr>
      <w:r>
        <w:rPr>
          <w:lang w:val="uk-UA"/>
        </w:rPr>
        <w:br w:type="page"/>
      </w:r>
      <w:r w:rsidR="00555659" w:rsidRPr="000D45CC">
        <w:rPr>
          <w:lang w:val="uk-UA"/>
        </w:rPr>
        <w:t>Додаток</w:t>
      </w:r>
      <w:r w:rsidR="000D45CC" w:rsidRPr="000D45CC">
        <w:rPr>
          <w:lang w:val="uk-UA"/>
        </w:rPr>
        <w:t xml:space="preserve"> </w:t>
      </w:r>
      <w:r w:rsidR="00555659" w:rsidRPr="000D45CC">
        <w:rPr>
          <w:lang w:val="uk-UA"/>
        </w:rPr>
        <w:t>4</w:t>
      </w:r>
    </w:p>
    <w:p w:rsidR="00A64DAE" w:rsidRPr="000D45CC" w:rsidRDefault="00A64DAE" w:rsidP="00A64DAE">
      <w:pPr>
        <w:pStyle w:val="af7"/>
        <w:rPr>
          <w:lang w:val="uk-UA"/>
        </w:rPr>
      </w:pPr>
    </w:p>
    <w:p w:rsidR="009A6710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b/>
          <w:lang w:val="uk-UA"/>
        </w:rPr>
        <w:t>Таблиця</w:t>
      </w:r>
      <w:r w:rsidR="000D45CC" w:rsidRPr="000D45CC">
        <w:rPr>
          <w:b/>
          <w:lang w:val="uk-UA"/>
        </w:rPr>
        <w:t xml:space="preserve"> </w:t>
      </w:r>
      <w:r w:rsidRPr="000D45CC">
        <w:rPr>
          <w:b/>
          <w:lang w:val="uk-UA"/>
        </w:rPr>
        <w:t>5</w:t>
      </w:r>
      <w:r w:rsidR="000D45CC" w:rsidRPr="000D45CC">
        <w:rPr>
          <w:b/>
          <w:lang w:val="uk-UA"/>
        </w:rPr>
        <w:t xml:space="preserve">. </w:t>
      </w:r>
      <w:r w:rsidRPr="000D45CC">
        <w:rPr>
          <w:lang w:val="uk-UA"/>
        </w:rPr>
        <w:t>Обсяг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виконаних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договорів</w:t>
      </w:r>
      <w:r w:rsidR="000D45CC" w:rsidRPr="000D45CC">
        <w:rPr>
          <w:lang w:val="uk-UA"/>
        </w:rPr>
        <w:t xml:space="preserve"> (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видами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діяльності</w:t>
      </w:r>
      <w:r w:rsidR="000D45CC" w:rsidRPr="000D45CC">
        <w:rPr>
          <w:lang w:val="uk-UA"/>
        </w:rPr>
        <w:t xml:space="preserve">), </w:t>
      </w:r>
      <w:r w:rsidRPr="000D45CC">
        <w:rPr>
          <w:iCs/>
          <w:lang w:val="uk-UA"/>
        </w:rPr>
        <w:t>млн</w:t>
      </w:r>
      <w:r w:rsidR="000D45CC" w:rsidRPr="000D45CC">
        <w:rPr>
          <w:iCs/>
          <w:lang w:val="uk-UA"/>
        </w:rPr>
        <w:t xml:space="preserve">. </w:t>
      </w:r>
      <w:r w:rsidRPr="000D45CC">
        <w:rPr>
          <w:iCs/>
          <w:lang w:val="uk-UA"/>
        </w:rPr>
        <w:t>грн</w:t>
      </w:r>
      <w:r w:rsidR="000D45CC" w:rsidRPr="000D45CC">
        <w:rPr>
          <w:iCs/>
          <w:lang w:val="uk-UA"/>
        </w:rPr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3"/>
        <w:gridCol w:w="1238"/>
        <w:gridCol w:w="1298"/>
        <w:gridCol w:w="1238"/>
        <w:gridCol w:w="1298"/>
        <w:gridCol w:w="1238"/>
        <w:gridCol w:w="1298"/>
        <w:gridCol w:w="1238"/>
        <w:gridCol w:w="1298"/>
        <w:gridCol w:w="1238"/>
        <w:gridCol w:w="1298"/>
      </w:tblGrid>
      <w:tr w:rsidR="009A6710" w:rsidRPr="008E239D" w:rsidTr="008E239D">
        <w:trPr>
          <w:trHeight w:val="202"/>
          <w:jc w:val="center"/>
        </w:trPr>
        <w:tc>
          <w:tcPr>
            <w:tcW w:w="933" w:type="dxa"/>
            <w:vMerge w:val="restart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Вид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діяльності</w:t>
            </w:r>
          </w:p>
        </w:tc>
        <w:tc>
          <w:tcPr>
            <w:tcW w:w="1844" w:type="dxa"/>
            <w:gridSpan w:val="2"/>
            <w:shd w:val="clear" w:color="auto" w:fill="auto"/>
          </w:tcPr>
          <w:p w:rsidR="000D45CC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ІІІ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квартал</w:t>
            </w:r>
          </w:p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2005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року</w:t>
            </w:r>
          </w:p>
        </w:tc>
        <w:tc>
          <w:tcPr>
            <w:tcW w:w="1844" w:type="dxa"/>
            <w:gridSpan w:val="2"/>
            <w:shd w:val="clear" w:color="auto" w:fill="auto"/>
          </w:tcPr>
          <w:p w:rsidR="000D45CC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І</w:t>
            </w:r>
            <w:r w:rsidRPr="008E239D">
              <w:rPr>
                <w:lang w:val="uk-UA"/>
              </w:rPr>
              <w:t>V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квартал</w:t>
            </w:r>
          </w:p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2005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року</w:t>
            </w:r>
          </w:p>
        </w:tc>
        <w:tc>
          <w:tcPr>
            <w:tcW w:w="1844" w:type="dxa"/>
            <w:gridSpan w:val="2"/>
            <w:shd w:val="clear" w:color="auto" w:fill="auto"/>
          </w:tcPr>
          <w:p w:rsidR="000D45CC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І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квартал</w:t>
            </w:r>
          </w:p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2006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року</w:t>
            </w:r>
          </w:p>
        </w:tc>
        <w:tc>
          <w:tcPr>
            <w:tcW w:w="1844" w:type="dxa"/>
            <w:gridSpan w:val="2"/>
            <w:shd w:val="clear" w:color="auto" w:fill="auto"/>
          </w:tcPr>
          <w:p w:rsidR="000D45CC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ІІ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квартал</w:t>
            </w:r>
          </w:p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2006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року</w:t>
            </w:r>
          </w:p>
        </w:tc>
        <w:tc>
          <w:tcPr>
            <w:tcW w:w="1844" w:type="dxa"/>
            <w:gridSpan w:val="2"/>
            <w:shd w:val="clear" w:color="auto" w:fill="auto"/>
          </w:tcPr>
          <w:p w:rsidR="000D45CC" w:rsidRPr="008E239D" w:rsidRDefault="009A6710" w:rsidP="00121ABB">
            <w:pPr>
              <w:pStyle w:val="af9"/>
              <w:rPr>
                <w:snapToGrid w:val="0"/>
                <w:lang w:val="uk-UA"/>
              </w:rPr>
            </w:pPr>
            <w:r w:rsidRPr="008E239D">
              <w:rPr>
                <w:snapToGrid w:val="0"/>
                <w:lang w:val="uk-UA"/>
              </w:rPr>
              <w:t>ІІІ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квартал</w:t>
            </w:r>
          </w:p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2006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року</w:t>
            </w:r>
          </w:p>
        </w:tc>
      </w:tr>
      <w:tr w:rsidR="009A6710" w:rsidRPr="008E239D" w:rsidTr="008E239D">
        <w:trPr>
          <w:trHeight w:val="1128"/>
          <w:jc w:val="center"/>
        </w:trPr>
        <w:tc>
          <w:tcPr>
            <w:tcW w:w="0" w:type="auto"/>
            <w:vMerge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zCs w:val="16"/>
                <w:lang w:val="uk-UA"/>
              </w:rPr>
              <w:t>Обсяг</w:t>
            </w:r>
            <w:r w:rsidR="000D45CC" w:rsidRPr="008E239D">
              <w:rPr>
                <w:szCs w:val="16"/>
                <w:lang w:val="uk-UA"/>
              </w:rPr>
              <w:t xml:space="preserve"> </w:t>
            </w:r>
            <w:r w:rsidRPr="008E239D">
              <w:rPr>
                <w:szCs w:val="16"/>
                <w:lang w:val="uk-UA"/>
              </w:rPr>
              <w:t>виконаних</w:t>
            </w:r>
            <w:r w:rsidR="000D45CC" w:rsidRPr="008E239D">
              <w:rPr>
                <w:szCs w:val="16"/>
                <w:lang w:val="uk-UA"/>
              </w:rPr>
              <w:t xml:space="preserve"> </w:t>
            </w:r>
            <w:r w:rsidRPr="008E239D">
              <w:rPr>
                <w:szCs w:val="16"/>
                <w:lang w:val="uk-UA"/>
              </w:rPr>
              <w:t>договорів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Частка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у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загальному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обсязі,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%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zCs w:val="16"/>
                <w:lang w:val="uk-UA"/>
              </w:rPr>
              <w:t>Обсяг</w:t>
            </w:r>
            <w:r w:rsidR="000D45CC" w:rsidRPr="008E239D">
              <w:rPr>
                <w:szCs w:val="16"/>
                <w:lang w:val="uk-UA"/>
              </w:rPr>
              <w:t xml:space="preserve"> </w:t>
            </w:r>
            <w:r w:rsidRPr="008E239D">
              <w:rPr>
                <w:szCs w:val="16"/>
                <w:lang w:val="uk-UA"/>
              </w:rPr>
              <w:t>виконаних</w:t>
            </w:r>
            <w:r w:rsidR="000D45CC" w:rsidRPr="008E239D">
              <w:rPr>
                <w:szCs w:val="16"/>
                <w:lang w:val="uk-UA"/>
              </w:rPr>
              <w:t xml:space="preserve"> </w:t>
            </w:r>
            <w:r w:rsidRPr="008E239D">
              <w:rPr>
                <w:szCs w:val="16"/>
                <w:lang w:val="uk-UA"/>
              </w:rPr>
              <w:t>договорів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Частка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у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загальному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обсязі,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%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zCs w:val="16"/>
                <w:lang w:val="uk-UA"/>
              </w:rPr>
              <w:t>Обсяг</w:t>
            </w:r>
            <w:r w:rsidR="000D45CC" w:rsidRPr="008E239D">
              <w:rPr>
                <w:szCs w:val="16"/>
                <w:lang w:val="uk-UA"/>
              </w:rPr>
              <w:t xml:space="preserve"> </w:t>
            </w:r>
            <w:r w:rsidRPr="008E239D">
              <w:rPr>
                <w:szCs w:val="16"/>
                <w:lang w:val="uk-UA"/>
              </w:rPr>
              <w:t>виконаних</w:t>
            </w:r>
            <w:r w:rsidR="000D45CC" w:rsidRPr="008E239D">
              <w:rPr>
                <w:szCs w:val="16"/>
                <w:lang w:val="uk-UA"/>
              </w:rPr>
              <w:t xml:space="preserve"> </w:t>
            </w:r>
            <w:r w:rsidRPr="008E239D">
              <w:rPr>
                <w:szCs w:val="16"/>
                <w:lang w:val="uk-UA"/>
              </w:rPr>
              <w:t>договорів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Частка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у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загальному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обсязі,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%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zCs w:val="16"/>
                <w:lang w:val="uk-UA"/>
              </w:rPr>
              <w:t>Обсяг</w:t>
            </w:r>
            <w:r w:rsidR="000D45CC" w:rsidRPr="008E239D">
              <w:rPr>
                <w:szCs w:val="16"/>
                <w:lang w:val="uk-UA"/>
              </w:rPr>
              <w:t xml:space="preserve"> </w:t>
            </w:r>
            <w:r w:rsidRPr="008E239D">
              <w:rPr>
                <w:szCs w:val="16"/>
                <w:lang w:val="uk-UA"/>
              </w:rPr>
              <w:t>виконаних</w:t>
            </w:r>
            <w:r w:rsidR="000D45CC" w:rsidRPr="008E239D">
              <w:rPr>
                <w:szCs w:val="16"/>
                <w:lang w:val="uk-UA"/>
              </w:rPr>
              <w:t xml:space="preserve"> </w:t>
            </w:r>
            <w:r w:rsidRPr="008E239D">
              <w:rPr>
                <w:szCs w:val="16"/>
                <w:lang w:val="uk-UA"/>
              </w:rPr>
              <w:t>договорів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Частка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у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загальному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обсязі,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%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zCs w:val="16"/>
                <w:lang w:val="uk-UA"/>
              </w:rPr>
              <w:t>Обсяг</w:t>
            </w:r>
            <w:r w:rsidR="000D45CC" w:rsidRPr="008E239D">
              <w:rPr>
                <w:szCs w:val="16"/>
                <w:lang w:val="uk-UA"/>
              </w:rPr>
              <w:t xml:space="preserve"> </w:t>
            </w:r>
            <w:r w:rsidRPr="008E239D">
              <w:rPr>
                <w:szCs w:val="16"/>
                <w:lang w:val="uk-UA"/>
              </w:rPr>
              <w:t>виконаних</w:t>
            </w:r>
            <w:r w:rsidR="000D45CC" w:rsidRPr="008E239D">
              <w:rPr>
                <w:szCs w:val="16"/>
                <w:lang w:val="uk-UA"/>
              </w:rPr>
              <w:t xml:space="preserve"> </w:t>
            </w:r>
            <w:r w:rsidRPr="008E239D">
              <w:rPr>
                <w:szCs w:val="16"/>
                <w:lang w:val="uk-UA"/>
              </w:rPr>
              <w:t>договорів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Частка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у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загальному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обсязі,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%</w:t>
            </w:r>
          </w:p>
        </w:tc>
      </w:tr>
      <w:tr w:rsidR="009A6710" w:rsidRPr="008E239D" w:rsidTr="008E239D">
        <w:trPr>
          <w:trHeight w:val="250"/>
          <w:jc w:val="center"/>
        </w:trPr>
        <w:tc>
          <w:tcPr>
            <w:tcW w:w="93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bookmarkStart w:id="8" w:name="_Hlk53562460"/>
            <w:r w:rsidRPr="008E239D">
              <w:rPr>
                <w:snapToGrid w:val="0"/>
                <w:lang w:val="uk-UA"/>
              </w:rPr>
              <w:t>Комерційна</w:t>
            </w:r>
            <w:bookmarkEnd w:id="8"/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49918,75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52,82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69336,77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49,09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45908,99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52,58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52978,16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45,10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65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967,41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58,65</w:t>
            </w:r>
          </w:p>
        </w:tc>
      </w:tr>
      <w:tr w:rsidR="009A6710" w:rsidRPr="008E239D" w:rsidTr="008E239D">
        <w:trPr>
          <w:trHeight w:val="250"/>
          <w:jc w:val="center"/>
        </w:trPr>
        <w:tc>
          <w:tcPr>
            <w:tcW w:w="93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Комісійна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43385,39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45,91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70729,70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50,07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40588,07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46,49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62875,16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53,52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44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828,82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39,86</w:t>
            </w:r>
          </w:p>
        </w:tc>
      </w:tr>
      <w:tr w:rsidR="009A6710" w:rsidRPr="008E239D" w:rsidTr="008E239D">
        <w:trPr>
          <w:trHeight w:val="250"/>
          <w:jc w:val="center"/>
        </w:trPr>
        <w:tc>
          <w:tcPr>
            <w:tcW w:w="93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Розміщення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1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185,79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1,25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1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171,63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0,83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802,24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0,92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1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589,37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1,35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1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656,2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1,47</w:t>
            </w:r>
          </w:p>
        </w:tc>
      </w:tr>
      <w:tr w:rsidR="009A6710" w:rsidRPr="008E239D" w:rsidTr="008E239D">
        <w:trPr>
          <w:trHeight w:val="277"/>
          <w:jc w:val="center"/>
        </w:trPr>
        <w:tc>
          <w:tcPr>
            <w:tcW w:w="93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Управління</w:t>
            </w:r>
            <w:r w:rsidR="000D45CC" w:rsidRPr="008E239D">
              <w:rPr>
                <w:snapToGrid w:val="0"/>
                <w:lang w:val="uk-UA"/>
              </w:rPr>
              <w:t xml:space="preserve"> </w:t>
            </w:r>
            <w:r w:rsidRPr="008E239D">
              <w:rPr>
                <w:snapToGrid w:val="0"/>
                <w:lang w:val="uk-UA"/>
              </w:rPr>
              <w:t>активами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14,52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0,02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17,74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0,01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12,76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0,01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27,97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0,03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20,42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0,02</w:t>
            </w:r>
          </w:p>
        </w:tc>
      </w:tr>
      <w:tr w:rsidR="009A6710" w:rsidRPr="008E239D" w:rsidTr="008E239D">
        <w:trPr>
          <w:trHeight w:val="305"/>
          <w:jc w:val="center"/>
        </w:trPr>
        <w:tc>
          <w:tcPr>
            <w:tcW w:w="93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Усього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94505,45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100,0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141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255,84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100,0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87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312,1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100,0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117470,7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100,0</w:t>
            </w:r>
          </w:p>
        </w:tc>
        <w:tc>
          <w:tcPr>
            <w:tcW w:w="90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112</w:t>
            </w:r>
            <w:r w:rsidR="000D45CC" w:rsidRPr="008E239D">
              <w:rPr>
                <w:snapToGrid w:val="0"/>
                <w:szCs w:val="16"/>
                <w:lang w:val="uk-UA"/>
              </w:rPr>
              <w:t xml:space="preserve"> </w:t>
            </w:r>
            <w:r w:rsidRPr="008E239D">
              <w:rPr>
                <w:snapToGrid w:val="0"/>
                <w:szCs w:val="16"/>
                <w:lang w:val="uk-UA"/>
              </w:rPr>
              <w:t>472,85</w:t>
            </w:r>
          </w:p>
        </w:tc>
        <w:tc>
          <w:tcPr>
            <w:tcW w:w="944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szCs w:val="16"/>
                <w:lang w:val="uk-UA"/>
              </w:rPr>
            </w:pPr>
            <w:r w:rsidRPr="008E239D">
              <w:rPr>
                <w:snapToGrid w:val="0"/>
                <w:szCs w:val="16"/>
                <w:lang w:val="uk-UA"/>
              </w:rPr>
              <w:t>100,0</w:t>
            </w:r>
          </w:p>
        </w:tc>
      </w:tr>
    </w:tbl>
    <w:p w:rsidR="000D45CC" w:rsidRPr="000D45CC" w:rsidRDefault="000D45CC" w:rsidP="000D45CC">
      <w:pPr>
        <w:tabs>
          <w:tab w:val="left" w:pos="726"/>
        </w:tabs>
        <w:rPr>
          <w:lang w:val="uk-UA"/>
        </w:rPr>
      </w:pPr>
    </w:p>
    <w:p w:rsidR="009A6710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b/>
          <w:lang w:val="uk-UA"/>
        </w:rPr>
        <w:t>Таблиця</w:t>
      </w:r>
      <w:r w:rsidR="000D45CC" w:rsidRPr="000D45CC">
        <w:rPr>
          <w:b/>
          <w:lang w:val="uk-UA"/>
        </w:rPr>
        <w:t xml:space="preserve"> </w:t>
      </w:r>
      <w:r w:rsidRPr="000D45CC">
        <w:rPr>
          <w:b/>
          <w:lang w:val="uk-UA"/>
        </w:rPr>
        <w:t>6</w:t>
      </w:r>
      <w:r w:rsidR="000D45CC" w:rsidRPr="000D45CC">
        <w:rPr>
          <w:b/>
          <w:lang w:val="uk-UA"/>
        </w:rPr>
        <w:t xml:space="preserve">. </w:t>
      </w:r>
      <w:r w:rsidRPr="000D45CC">
        <w:rPr>
          <w:lang w:val="uk-UA"/>
        </w:rPr>
        <w:t>Кількість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емітентів,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самостійно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ведуть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іменних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та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реєстраторів,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які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ведуть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власників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іменних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цінних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паперів*</w:t>
      </w:r>
    </w:p>
    <w:tbl>
      <w:tblPr>
        <w:tblW w:w="9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550"/>
        <w:gridCol w:w="1550"/>
        <w:gridCol w:w="1550"/>
        <w:gridCol w:w="1550"/>
        <w:gridCol w:w="1550"/>
      </w:tblGrid>
      <w:tr w:rsidR="009A6710" w:rsidRPr="008E239D" w:rsidTr="008E239D">
        <w:trPr>
          <w:jc w:val="center"/>
        </w:trPr>
        <w:tc>
          <w:tcPr>
            <w:tcW w:w="2093" w:type="dxa"/>
            <w:shd w:val="clear" w:color="auto" w:fill="auto"/>
          </w:tcPr>
          <w:p w:rsidR="009A6710" w:rsidRPr="008E239D" w:rsidRDefault="000D45CC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 xml:space="preserve"> </w:t>
            </w:r>
          </w:p>
        </w:tc>
        <w:tc>
          <w:tcPr>
            <w:tcW w:w="155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Станом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на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30</w:t>
            </w:r>
            <w:r w:rsidR="000D45CC" w:rsidRPr="008E239D">
              <w:rPr>
                <w:lang w:val="uk-UA"/>
              </w:rPr>
              <w:t>.09.20</w:t>
            </w:r>
            <w:r w:rsidRPr="008E239D">
              <w:rPr>
                <w:lang w:val="uk-UA"/>
              </w:rPr>
              <w:t>05р</w:t>
            </w:r>
            <w:r w:rsidR="000D45CC" w:rsidRPr="008E239D">
              <w:rPr>
                <w:lang w:val="uk-UA"/>
              </w:rPr>
              <w:t xml:space="preserve">. </w:t>
            </w:r>
          </w:p>
        </w:tc>
        <w:tc>
          <w:tcPr>
            <w:tcW w:w="155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Станом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на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31</w:t>
            </w:r>
            <w:r w:rsidR="000D45CC" w:rsidRPr="008E239D">
              <w:rPr>
                <w:lang w:val="uk-UA"/>
              </w:rPr>
              <w:t>.12.20</w:t>
            </w:r>
            <w:r w:rsidRPr="008E239D">
              <w:rPr>
                <w:lang w:val="uk-UA"/>
              </w:rPr>
              <w:t>05р</w:t>
            </w:r>
            <w:r w:rsidR="000D45CC" w:rsidRPr="008E239D">
              <w:rPr>
                <w:lang w:val="uk-UA"/>
              </w:rPr>
              <w:t xml:space="preserve">. </w:t>
            </w:r>
          </w:p>
        </w:tc>
        <w:tc>
          <w:tcPr>
            <w:tcW w:w="155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Станом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на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31</w:t>
            </w:r>
            <w:r w:rsidR="000D45CC" w:rsidRPr="008E239D">
              <w:rPr>
                <w:lang w:val="uk-UA"/>
              </w:rPr>
              <w:t>.03.20</w:t>
            </w:r>
            <w:r w:rsidRPr="008E239D">
              <w:rPr>
                <w:lang w:val="uk-UA"/>
              </w:rPr>
              <w:t>06р</w:t>
            </w:r>
            <w:r w:rsidR="000D45CC" w:rsidRPr="008E239D">
              <w:rPr>
                <w:lang w:val="uk-UA"/>
              </w:rPr>
              <w:t xml:space="preserve">. </w:t>
            </w:r>
          </w:p>
        </w:tc>
        <w:tc>
          <w:tcPr>
            <w:tcW w:w="155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Станом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на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30</w:t>
            </w:r>
            <w:r w:rsidR="000D45CC" w:rsidRPr="008E239D">
              <w:rPr>
                <w:lang w:val="uk-UA"/>
              </w:rPr>
              <w:t>.06.20</w:t>
            </w:r>
            <w:r w:rsidRPr="008E239D">
              <w:rPr>
                <w:lang w:val="uk-UA"/>
              </w:rPr>
              <w:t>06р</w:t>
            </w:r>
            <w:r w:rsidR="000D45CC" w:rsidRPr="008E239D">
              <w:rPr>
                <w:lang w:val="uk-UA"/>
              </w:rPr>
              <w:t xml:space="preserve">. </w:t>
            </w:r>
          </w:p>
        </w:tc>
        <w:tc>
          <w:tcPr>
            <w:tcW w:w="155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Станом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на</w:t>
            </w:r>
            <w:r w:rsidR="000D45CC" w:rsidRPr="008E239D">
              <w:rPr>
                <w:lang w:val="uk-UA"/>
              </w:rPr>
              <w:t xml:space="preserve"> </w:t>
            </w:r>
            <w:r w:rsidRPr="008E239D">
              <w:rPr>
                <w:lang w:val="uk-UA"/>
              </w:rPr>
              <w:t>30</w:t>
            </w:r>
            <w:r w:rsidR="000D45CC" w:rsidRPr="008E239D">
              <w:rPr>
                <w:lang w:val="uk-UA"/>
              </w:rPr>
              <w:t>.09.20</w:t>
            </w:r>
            <w:r w:rsidRPr="008E239D">
              <w:rPr>
                <w:lang w:val="uk-UA"/>
              </w:rPr>
              <w:t>06р</w:t>
            </w:r>
            <w:r w:rsidR="000D45CC" w:rsidRPr="008E239D">
              <w:rPr>
                <w:lang w:val="uk-UA"/>
              </w:rPr>
              <w:t xml:space="preserve">. </w:t>
            </w:r>
          </w:p>
        </w:tc>
      </w:tr>
      <w:tr w:rsidR="009A6710" w:rsidRPr="008E239D" w:rsidTr="008E239D">
        <w:trPr>
          <w:jc w:val="center"/>
        </w:trPr>
        <w:tc>
          <w:tcPr>
            <w:tcW w:w="209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Реєстратори</w:t>
            </w:r>
          </w:p>
        </w:tc>
        <w:tc>
          <w:tcPr>
            <w:tcW w:w="155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361</w:t>
            </w:r>
          </w:p>
        </w:tc>
        <w:tc>
          <w:tcPr>
            <w:tcW w:w="155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352</w:t>
            </w:r>
          </w:p>
        </w:tc>
        <w:tc>
          <w:tcPr>
            <w:tcW w:w="155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347</w:t>
            </w:r>
          </w:p>
        </w:tc>
        <w:tc>
          <w:tcPr>
            <w:tcW w:w="155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349</w:t>
            </w:r>
          </w:p>
        </w:tc>
        <w:tc>
          <w:tcPr>
            <w:tcW w:w="155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355</w:t>
            </w:r>
          </w:p>
        </w:tc>
      </w:tr>
      <w:tr w:rsidR="009A6710" w:rsidRPr="008E239D" w:rsidTr="008E239D">
        <w:trPr>
          <w:jc w:val="center"/>
        </w:trPr>
        <w:tc>
          <w:tcPr>
            <w:tcW w:w="2093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Емітенти</w:t>
            </w:r>
          </w:p>
        </w:tc>
        <w:tc>
          <w:tcPr>
            <w:tcW w:w="155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lang w:val="uk-UA"/>
              </w:rPr>
              <w:t>475</w:t>
            </w:r>
          </w:p>
        </w:tc>
        <w:tc>
          <w:tcPr>
            <w:tcW w:w="155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346</w:t>
            </w:r>
          </w:p>
        </w:tc>
        <w:tc>
          <w:tcPr>
            <w:tcW w:w="155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409</w:t>
            </w:r>
          </w:p>
        </w:tc>
        <w:tc>
          <w:tcPr>
            <w:tcW w:w="155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400</w:t>
            </w:r>
          </w:p>
        </w:tc>
        <w:tc>
          <w:tcPr>
            <w:tcW w:w="1550" w:type="dxa"/>
            <w:shd w:val="clear" w:color="auto" w:fill="auto"/>
          </w:tcPr>
          <w:p w:rsidR="009A6710" w:rsidRPr="008E239D" w:rsidRDefault="009A6710" w:rsidP="00121ABB">
            <w:pPr>
              <w:pStyle w:val="af9"/>
              <w:rPr>
                <w:lang w:val="uk-UA"/>
              </w:rPr>
            </w:pPr>
            <w:r w:rsidRPr="008E239D">
              <w:rPr>
                <w:snapToGrid w:val="0"/>
                <w:lang w:val="uk-UA"/>
              </w:rPr>
              <w:t>381</w:t>
            </w:r>
          </w:p>
        </w:tc>
      </w:tr>
    </w:tbl>
    <w:p w:rsidR="00121ABB" w:rsidRDefault="00121ABB" w:rsidP="000D45CC">
      <w:pPr>
        <w:tabs>
          <w:tab w:val="left" w:pos="726"/>
        </w:tabs>
        <w:rPr>
          <w:lang w:val="uk-UA"/>
        </w:rPr>
      </w:pPr>
    </w:p>
    <w:p w:rsidR="000D45CC" w:rsidRPr="000D45CC" w:rsidRDefault="009A6710" w:rsidP="000D45CC">
      <w:pPr>
        <w:tabs>
          <w:tab w:val="left" w:pos="726"/>
        </w:tabs>
        <w:rPr>
          <w:lang w:val="uk-UA"/>
        </w:rPr>
      </w:pPr>
      <w:r w:rsidRPr="000D45CC">
        <w:rPr>
          <w:lang w:val="uk-UA"/>
        </w:rPr>
        <w:t>*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за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наданими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адміністративними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даними,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отриманими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від</w:t>
      </w:r>
      <w:r w:rsidR="000D45CC" w:rsidRPr="000D45CC">
        <w:rPr>
          <w:lang w:val="uk-UA"/>
        </w:rPr>
        <w:t xml:space="preserve"> </w:t>
      </w:r>
      <w:r w:rsidRPr="000D45CC">
        <w:rPr>
          <w:lang w:val="uk-UA"/>
        </w:rPr>
        <w:t>реєстроутримувачів</w:t>
      </w:r>
    </w:p>
    <w:p w:rsidR="009A6710" w:rsidRPr="00A64DAE" w:rsidRDefault="009A6710" w:rsidP="00A64DAE">
      <w:pPr>
        <w:pStyle w:val="af6"/>
        <w:rPr>
          <w:lang w:val="en-US"/>
        </w:rPr>
      </w:pPr>
      <w:bookmarkStart w:id="9" w:name="_GoBack"/>
      <w:bookmarkEnd w:id="9"/>
    </w:p>
    <w:sectPr w:rsidR="009A6710" w:rsidRPr="00A64DAE" w:rsidSect="00121ABB">
      <w:pgSz w:w="16834" w:h="11909" w:orient="landscape"/>
      <w:pgMar w:top="1701" w:right="1134" w:bottom="851" w:left="1134" w:header="680" w:footer="680" w:gutter="0"/>
      <w:pgNumType w:fmt="numberInDash" w:start="2"/>
      <w:cols w:space="60"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39D" w:rsidRDefault="008E239D">
      <w:r>
        <w:separator/>
      </w:r>
    </w:p>
  </w:endnote>
  <w:endnote w:type="continuationSeparator" w:id="0">
    <w:p w:rsidR="008E239D" w:rsidRDefault="008E2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BB" w:rsidRDefault="00121ABB" w:rsidP="0046633E">
    <w:pPr>
      <w:pStyle w:val="a6"/>
      <w:framePr w:wrap="around" w:vAnchor="text" w:hAnchor="margin" w:xAlign="center" w:y="1"/>
      <w:rPr>
        <w:rStyle w:val="a8"/>
      </w:rPr>
    </w:pPr>
  </w:p>
  <w:p w:rsidR="00121ABB" w:rsidRDefault="00121AB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BB" w:rsidRDefault="00121ABB" w:rsidP="000D45CC">
    <w:pPr>
      <w:pStyle w:val="a6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39D" w:rsidRDefault="008E239D">
      <w:r>
        <w:separator/>
      </w:r>
    </w:p>
  </w:footnote>
  <w:footnote w:type="continuationSeparator" w:id="0">
    <w:p w:rsidR="008E239D" w:rsidRDefault="008E23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BB" w:rsidRDefault="00121ABB" w:rsidP="000D45CC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238F0D6"/>
    <w:lvl w:ilvl="0">
      <w:numFmt w:val="bullet"/>
      <w:lvlText w:val="*"/>
      <w:lvlJc w:val="left"/>
    </w:lvl>
  </w:abstractNum>
  <w:abstractNum w:abstractNumId="1">
    <w:nsid w:val="007E13DE"/>
    <w:multiLevelType w:val="hybridMultilevel"/>
    <w:tmpl w:val="33443134"/>
    <w:lvl w:ilvl="0" w:tplc="81F28B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415301B"/>
    <w:multiLevelType w:val="hybridMultilevel"/>
    <w:tmpl w:val="E6A84E6A"/>
    <w:lvl w:ilvl="0" w:tplc="A69EAF08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4DC7207"/>
    <w:multiLevelType w:val="hybridMultilevel"/>
    <w:tmpl w:val="BB089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18E6D3A"/>
    <w:multiLevelType w:val="hybridMultilevel"/>
    <w:tmpl w:val="1ED6487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BB54D6B"/>
    <w:multiLevelType w:val="hybridMultilevel"/>
    <w:tmpl w:val="A558A7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D279A1"/>
    <w:multiLevelType w:val="singleLevel"/>
    <w:tmpl w:val="C19046A2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3F61385"/>
    <w:multiLevelType w:val="hybridMultilevel"/>
    <w:tmpl w:val="0A98DA9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667B3AAD"/>
    <w:multiLevelType w:val="hybridMultilevel"/>
    <w:tmpl w:val="7B0E66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9C41C8"/>
    <w:multiLevelType w:val="hybridMultilevel"/>
    <w:tmpl w:val="BEE010BA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1">
    <w:nsid w:val="6ED418A8"/>
    <w:multiLevelType w:val="hybridMultilevel"/>
    <w:tmpl w:val="13E464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5A67C5"/>
    <w:multiLevelType w:val="hybridMultilevel"/>
    <w:tmpl w:val="8334D08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8"/>
  </w:num>
  <w:num w:numId="5">
    <w:abstractNumId w:val="7"/>
  </w:num>
  <w:num w:numId="6">
    <w:abstractNumId w:val="0"/>
    <w:lvlOverride w:ilvl="0">
      <w:lvl w:ilvl="0">
        <w:numFmt w:val="bullet"/>
        <w:lvlText w:val="•"/>
        <w:legacy w:legacy="1" w:legacySpace="0" w:legacyIndent="389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307"/>
        <w:lvlJc w:val="left"/>
        <w:rPr>
          <w:rFonts w:ascii="Times New Roman" w:hAnsi="Times New Roman" w:hint="default"/>
        </w:rPr>
      </w:lvl>
    </w:lvlOverride>
  </w:num>
  <w:num w:numId="8">
    <w:abstractNumId w:val="11"/>
  </w:num>
  <w:num w:numId="9">
    <w:abstractNumId w:val="1"/>
  </w:num>
  <w:num w:numId="10">
    <w:abstractNumId w:val="6"/>
  </w:num>
  <w:num w:numId="11">
    <w:abstractNumId w:val="10"/>
  </w:num>
  <w:num w:numId="12">
    <w:abstractNumId w:val="3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6079"/>
    <w:rsid w:val="000645C5"/>
    <w:rsid w:val="000959DF"/>
    <w:rsid w:val="000D45CC"/>
    <w:rsid w:val="00121ABB"/>
    <w:rsid w:val="00122287"/>
    <w:rsid w:val="00125919"/>
    <w:rsid w:val="0021332E"/>
    <w:rsid w:val="003119E9"/>
    <w:rsid w:val="00313190"/>
    <w:rsid w:val="003166F1"/>
    <w:rsid w:val="003379D5"/>
    <w:rsid w:val="00371AF4"/>
    <w:rsid w:val="003C7FDB"/>
    <w:rsid w:val="00423FE2"/>
    <w:rsid w:val="0046633E"/>
    <w:rsid w:val="00476899"/>
    <w:rsid w:val="0048641A"/>
    <w:rsid w:val="005467F1"/>
    <w:rsid w:val="00555659"/>
    <w:rsid w:val="005B3CBF"/>
    <w:rsid w:val="005C6A09"/>
    <w:rsid w:val="005E4A6C"/>
    <w:rsid w:val="00620212"/>
    <w:rsid w:val="00632526"/>
    <w:rsid w:val="008024B7"/>
    <w:rsid w:val="00834D89"/>
    <w:rsid w:val="008A0040"/>
    <w:rsid w:val="008A21EB"/>
    <w:rsid w:val="008A3B9F"/>
    <w:rsid w:val="008E239D"/>
    <w:rsid w:val="00914406"/>
    <w:rsid w:val="009247E4"/>
    <w:rsid w:val="009A6710"/>
    <w:rsid w:val="00A301B2"/>
    <w:rsid w:val="00A64DAE"/>
    <w:rsid w:val="00AD5DB6"/>
    <w:rsid w:val="00B85FC6"/>
    <w:rsid w:val="00C73739"/>
    <w:rsid w:val="00CC70F2"/>
    <w:rsid w:val="00D26871"/>
    <w:rsid w:val="00D97A60"/>
    <w:rsid w:val="00E36409"/>
    <w:rsid w:val="00E4331A"/>
    <w:rsid w:val="00E442FC"/>
    <w:rsid w:val="00E82FCE"/>
    <w:rsid w:val="00EA1E8D"/>
    <w:rsid w:val="00EE6F66"/>
    <w:rsid w:val="00F31F16"/>
    <w:rsid w:val="00FE1B58"/>
    <w:rsid w:val="00FE6079"/>
    <w:rsid w:val="00FE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0709874-286D-4DA2-AEAA-DC2A9FD51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0D45CC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0D45CC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0D45CC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0D45CC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0D45CC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0D45CC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0D45CC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0D45CC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0D45CC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0D45C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table" w:styleId="a4">
    <w:name w:val="Table Grid"/>
    <w:basedOn w:val="a2"/>
    <w:uiPriority w:val="99"/>
    <w:rsid w:val="009A6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121ABB"/>
    <w:rPr>
      <w:rFonts w:cs="Times New Roman"/>
      <w:color w:val="0000FF"/>
      <w:u w:val="single"/>
    </w:rPr>
  </w:style>
  <w:style w:type="paragraph" w:styleId="a6">
    <w:name w:val="footer"/>
    <w:basedOn w:val="a0"/>
    <w:link w:val="a7"/>
    <w:uiPriority w:val="99"/>
    <w:rsid w:val="005E4A6C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rPr>
      <w:color w:val="000000"/>
      <w:sz w:val="28"/>
      <w:szCs w:val="28"/>
    </w:rPr>
  </w:style>
  <w:style w:type="character" w:styleId="a8">
    <w:name w:val="page number"/>
    <w:uiPriority w:val="99"/>
    <w:rsid w:val="000D45CC"/>
    <w:rPr>
      <w:rFonts w:ascii="Times New Roman" w:hAnsi="Times New Roman" w:cs="Times New Roman"/>
      <w:sz w:val="28"/>
      <w:szCs w:val="28"/>
    </w:rPr>
  </w:style>
  <w:style w:type="paragraph" w:styleId="HTML">
    <w:name w:val="HTML Preformatted"/>
    <w:basedOn w:val="a0"/>
    <w:link w:val="HTML0"/>
    <w:uiPriority w:val="99"/>
    <w:rsid w:val="00834D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color w:val="000000"/>
      <w:sz w:val="20"/>
      <w:szCs w:val="20"/>
    </w:rPr>
  </w:style>
  <w:style w:type="paragraph" w:styleId="a9">
    <w:name w:val="header"/>
    <w:basedOn w:val="a0"/>
    <w:next w:val="aa"/>
    <w:link w:val="ab"/>
    <w:autoRedefine/>
    <w:uiPriority w:val="99"/>
    <w:rsid w:val="000D45C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0D45CC"/>
    <w:rPr>
      <w:rFonts w:cs="Times New Roman"/>
      <w:vertAlign w:val="superscript"/>
    </w:rPr>
  </w:style>
  <w:style w:type="paragraph" w:styleId="aa">
    <w:name w:val="Body Text"/>
    <w:basedOn w:val="a0"/>
    <w:link w:val="ad"/>
    <w:uiPriority w:val="99"/>
    <w:rsid w:val="000D45CC"/>
  </w:style>
  <w:style w:type="character" w:customStyle="1" w:styleId="ad">
    <w:name w:val="Основний текст Знак"/>
    <w:link w:val="aa"/>
    <w:uiPriority w:val="99"/>
    <w:semiHidden/>
    <w:rPr>
      <w:color w:val="000000"/>
      <w:sz w:val="28"/>
      <w:szCs w:val="28"/>
    </w:rPr>
  </w:style>
  <w:style w:type="character" w:customStyle="1" w:styleId="ab">
    <w:name w:val="Верхній колонтитул Знак"/>
    <w:link w:val="a9"/>
    <w:uiPriority w:val="99"/>
    <w:semiHidden/>
    <w:locked/>
    <w:rsid w:val="000D45CC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e">
    <w:name w:val="footnote reference"/>
    <w:uiPriority w:val="99"/>
    <w:semiHidden/>
    <w:rsid w:val="000D45CC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0D45CC"/>
    <w:pPr>
      <w:numPr>
        <w:numId w:val="14"/>
      </w:numPr>
      <w:spacing w:line="360" w:lineRule="auto"/>
      <w:jc w:val="both"/>
    </w:pPr>
    <w:rPr>
      <w:sz w:val="28"/>
      <w:szCs w:val="28"/>
    </w:rPr>
  </w:style>
  <w:style w:type="paragraph" w:customStyle="1" w:styleId="af">
    <w:name w:val="лит+нумерация"/>
    <w:basedOn w:val="a0"/>
    <w:next w:val="a0"/>
    <w:autoRedefine/>
    <w:uiPriority w:val="99"/>
    <w:rsid w:val="000D45CC"/>
    <w:pPr>
      <w:ind w:firstLine="0"/>
    </w:pPr>
    <w:rPr>
      <w:iCs/>
    </w:rPr>
  </w:style>
  <w:style w:type="paragraph" w:styleId="af0">
    <w:name w:val="caption"/>
    <w:basedOn w:val="a0"/>
    <w:next w:val="a0"/>
    <w:uiPriority w:val="99"/>
    <w:qFormat/>
    <w:rsid w:val="000D45CC"/>
    <w:rPr>
      <w:b/>
      <w:bCs/>
      <w:sz w:val="20"/>
      <w:szCs w:val="20"/>
    </w:rPr>
  </w:style>
  <w:style w:type="character" w:customStyle="1" w:styleId="af1">
    <w:name w:val="номер страницы"/>
    <w:uiPriority w:val="99"/>
    <w:rsid w:val="000D45CC"/>
    <w:rPr>
      <w:rFonts w:cs="Times New Roman"/>
      <w:sz w:val="28"/>
      <w:szCs w:val="28"/>
    </w:rPr>
  </w:style>
  <w:style w:type="paragraph" w:styleId="af2">
    <w:name w:val="Normal (Web)"/>
    <w:basedOn w:val="a0"/>
    <w:autoRedefine/>
    <w:uiPriority w:val="99"/>
    <w:rsid w:val="000D45CC"/>
    <w:rPr>
      <w:lang w:val="uk-UA" w:eastAsia="uk-UA"/>
    </w:rPr>
  </w:style>
  <w:style w:type="paragraph" w:customStyle="1" w:styleId="af3">
    <w:name w:val="Обычный +"/>
    <w:basedOn w:val="a0"/>
    <w:autoRedefine/>
    <w:uiPriority w:val="99"/>
    <w:rsid w:val="000D45CC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0D45CC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4">
    <w:name w:val="Body Text Indent"/>
    <w:basedOn w:val="a0"/>
    <w:link w:val="af5"/>
    <w:uiPriority w:val="99"/>
    <w:rsid w:val="000D45CC"/>
    <w:pPr>
      <w:shd w:val="clear" w:color="auto" w:fill="FFFFFF"/>
      <w:spacing w:before="192"/>
      <w:ind w:right="-5" w:firstLine="360"/>
    </w:pPr>
  </w:style>
  <w:style w:type="character" w:customStyle="1" w:styleId="af5">
    <w:name w:val="Основний текст з відступом Знак"/>
    <w:link w:val="af4"/>
    <w:uiPriority w:val="99"/>
    <w:semiHidden/>
    <w:rPr>
      <w:color w:val="000000"/>
      <w:sz w:val="28"/>
      <w:szCs w:val="28"/>
    </w:rPr>
  </w:style>
  <w:style w:type="paragraph" w:customStyle="1" w:styleId="af6">
    <w:name w:val="размещено"/>
    <w:basedOn w:val="a0"/>
    <w:autoRedefine/>
    <w:uiPriority w:val="99"/>
    <w:rsid w:val="000D45CC"/>
    <w:rPr>
      <w:color w:val="FFFFFF"/>
    </w:rPr>
  </w:style>
  <w:style w:type="paragraph" w:customStyle="1" w:styleId="af7">
    <w:name w:val="содержание"/>
    <w:uiPriority w:val="99"/>
    <w:rsid w:val="000D45C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0D45C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0D45CC"/>
    <w:pPr>
      <w:jc w:val="center"/>
    </w:pPr>
  </w:style>
  <w:style w:type="paragraph" w:customStyle="1" w:styleId="af9">
    <w:name w:val="ТАБЛИЦА"/>
    <w:next w:val="a0"/>
    <w:autoRedefine/>
    <w:uiPriority w:val="99"/>
    <w:rsid w:val="000D45CC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0D45CC"/>
    <w:rPr>
      <w:sz w:val="20"/>
      <w:szCs w:val="20"/>
    </w:rPr>
  </w:style>
  <w:style w:type="character" w:customStyle="1" w:styleId="afb">
    <w:name w:val="Текст кінцевої виноски Знак"/>
    <w:link w:val="afa"/>
    <w:uiPriority w:val="99"/>
    <w:semiHidden/>
    <w:rPr>
      <w:color w:val="000000"/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0D45CC"/>
    <w:rPr>
      <w:color w:val="auto"/>
      <w:sz w:val="20"/>
      <w:szCs w:val="20"/>
    </w:rPr>
  </w:style>
  <w:style w:type="character" w:customStyle="1" w:styleId="afd">
    <w:name w:val="Текст виноски Знак"/>
    <w:link w:val="afc"/>
    <w:uiPriority w:val="99"/>
    <w:locked/>
    <w:rsid w:val="000D45CC"/>
    <w:rPr>
      <w:rFonts w:cs="Times New Roman"/>
      <w:lang w:val="ru-RU" w:eastAsia="ru-RU" w:bidi="ar-SA"/>
    </w:rPr>
  </w:style>
  <w:style w:type="paragraph" w:customStyle="1" w:styleId="afe">
    <w:name w:val="титут"/>
    <w:autoRedefine/>
    <w:uiPriority w:val="99"/>
    <w:rsid w:val="000D45C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9344</Words>
  <Characters>53264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Ruslan</Company>
  <LinksUpToDate>false</LinksUpToDate>
  <CharactersWithSpaces>62484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Ruslan</dc:creator>
  <cp:keywords/>
  <dc:description/>
  <cp:lastModifiedBy>Irina</cp:lastModifiedBy>
  <cp:revision>2</cp:revision>
  <dcterms:created xsi:type="dcterms:W3CDTF">2014-09-30T18:25:00Z</dcterms:created>
  <dcterms:modified xsi:type="dcterms:W3CDTF">2014-09-30T18:25:00Z</dcterms:modified>
</cp:coreProperties>
</file>