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B54" w:rsidRPr="00F53B54" w:rsidRDefault="00F53B54" w:rsidP="00F53B54">
      <w:pPr>
        <w:spacing w:before="120"/>
        <w:jc w:val="center"/>
        <w:rPr>
          <w:b/>
          <w:bCs/>
          <w:sz w:val="32"/>
          <w:szCs w:val="32"/>
        </w:rPr>
      </w:pPr>
      <w:bookmarkStart w:id="0" w:name="5_7"/>
      <w:bookmarkEnd w:id="0"/>
      <w:r w:rsidRPr="00F53B54">
        <w:rPr>
          <w:b/>
          <w:bCs/>
          <w:sz w:val="32"/>
          <w:szCs w:val="32"/>
        </w:rPr>
        <w:t>Расчет неупорядоченных площадных систем</w:t>
      </w:r>
    </w:p>
    <w:p w:rsidR="00F53B54" w:rsidRPr="00F53B54" w:rsidRDefault="00F53B54" w:rsidP="007F031A">
      <w:pPr>
        <w:spacing w:before="120"/>
        <w:ind w:firstLine="567"/>
        <w:jc w:val="both"/>
        <w:rPr>
          <w:sz w:val="28"/>
          <w:szCs w:val="28"/>
        </w:rPr>
      </w:pPr>
      <w:r w:rsidRPr="00F53B54">
        <w:rPr>
          <w:sz w:val="28"/>
          <w:szCs w:val="28"/>
        </w:rPr>
        <w:t>Р.С.Шенгелов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Теперь рассмотрим особенности расчетов </w:t>
      </w:r>
      <w:r w:rsidR="00F53B54" w:rsidRPr="007F031A">
        <w:t>неупорядоченных</w:t>
      </w:r>
      <w:r w:rsidRPr="007F031A">
        <w:t xml:space="preserve"> </w:t>
      </w:r>
      <w:r w:rsidR="00F53B54" w:rsidRPr="007F031A">
        <w:t xml:space="preserve">площадных систем. </w:t>
      </w:r>
      <w:r w:rsidRPr="007F031A">
        <w:t xml:space="preserve">Очень часто системы водозаборных скважин имеют именно такой характер: в силу особенностей условий строительства и землепользования, исторически сложившиеся и т.д. Их точный расчет всегда возможен по принципу суперпозиции (суммирования взаимодействий), но это может быть очень громоздко и трудоемко при выполнении многовариантных расчетов, так как количество скважин в системе может достигать десятков и даже сотен. Поэтому нередко используют методику приближенного расчета крупных площадных систем взаимодействующих скважин, который бывает вполне достаточен для решения двух важных задач: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>а) расчет влияния таких систем на некоторые удаленные от них точки (почему-либо интересные - например, на соседний водозабор);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б) предварительная оценка возможного суммарного дебита таких систем. 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Для приближенного расчета площадных систем используют идею "БОЛЬШОГО КОЛОДЦА", под которым понимается одна-единственная скважина с большим радиусом </w:t>
      </w:r>
      <w:r w:rsidR="00CF332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.75pt">
            <v:imagedata r:id="rId5" o:title=""/>
          </v:shape>
        </w:pict>
      </w:r>
      <w:r w:rsidRPr="007F031A">
        <w:t xml:space="preserve">, эквивалентная всей системе, т.е. имеющая тот же суммарный дебит и дающая те же понижения в области влияния. Наиболее чисто этот прием обосновывается при отсутствии близкорасположенных границ - например, для "схемы Тейса".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Система состоит из </w:t>
      </w:r>
      <w:r w:rsidR="00CF3324">
        <w:pict>
          <v:shape id="_x0000_i1026" type="#_x0000_t75" style="width:6pt;height:6pt">
            <v:imagedata r:id="rId6" o:title=""/>
          </v:shape>
        </w:pict>
      </w:r>
      <w:r w:rsidRPr="007F031A">
        <w:t xml:space="preserve"> скважин с разными дебитами </w:t>
      </w:r>
      <w:r w:rsidR="00CF3324">
        <w:pict>
          <v:shape id="_x0000_i1027" type="#_x0000_t75" style="width:26.25pt;height:12.75pt">
            <v:imagedata r:id="rId7" o:title=""/>
          </v:shape>
        </w:pict>
      </w:r>
      <w:r w:rsidRPr="007F031A">
        <w:t xml:space="preserve"> и разным временем ввода в действие </w:t>
      </w:r>
      <w:r w:rsidR="00CF3324">
        <w:pict>
          <v:shape id="_x0000_i1028" type="#_x0000_t75" style="width:21pt;height:11.25pt">
            <v:imagedata r:id="rId8" o:title=""/>
          </v:shape>
        </w:pict>
      </w:r>
      <w:r w:rsidRPr="007F031A">
        <w:t xml:space="preserve"> для каждой скважины (рис.</w:t>
      </w:r>
      <w:r w:rsidR="00F53B54">
        <w:t>1</w:t>
      </w:r>
      <w:r w:rsidRPr="007F031A">
        <w:t>).</w:t>
      </w:r>
    </w:p>
    <w:tbl>
      <w:tblPr>
        <w:tblW w:w="30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8"/>
      </w:tblGrid>
      <w:tr w:rsidR="007F031A" w:rsidRPr="007F031A" w:rsidTr="00FE413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F031A" w:rsidRPr="007F031A" w:rsidRDefault="00CF3324" w:rsidP="007F031A">
            <w:pPr>
              <w:spacing w:before="120"/>
              <w:ind w:firstLine="567"/>
              <w:jc w:val="both"/>
            </w:pPr>
            <w:r>
              <w:pict>
                <v:shape id="_x0000_i1029" type="#_x0000_t75" style="width:145.5pt;height:125.25pt">
                  <v:imagedata r:id="rId9" o:title=""/>
                </v:shape>
              </w:pict>
            </w:r>
          </w:p>
        </w:tc>
      </w:tr>
      <w:tr w:rsidR="007F031A" w:rsidRPr="007F031A" w:rsidTr="00FE413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F031A" w:rsidRPr="007F031A" w:rsidRDefault="007F031A" w:rsidP="007F031A">
            <w:pPr>
              <w:spacing w:before="120"/>
              <w:ind w:firstLine="567"/>
              <w:jc w:val="both"/>
            </w:pPr>
            <w:r w:rsidRPr="007F031A">
              <w:t xml:space="preserve">Рис. </w:t>
            </w:r>
            <w:r w:rsidR="00F53B54">
              <w:t>1</w:t>
            </w:r>
            <w:r w:rsidRPr="007F031A">
              <w:t>.</w:t>
            </w:r>
          </w:p>
        </w:tc>
      </w:tr>
    </w:tbl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 Определим по принципу сложения решений понижение уровня в некоторой точке </w:t>
      </w:r>
      <w:r w:rsidR="00CF3324">
        <w:pict>
          <v:shape id="_x0000_i1030" type="#_x0000_t75" style="width:13.5pt;height:9pt">
            <v:imagedata r:id="rId10" o:title=""/>
          </v:shape>
        </w:pict>
      </w:r>
      <w:r w:rsidRPr="007F031A">
        <w:t>в момент t, полагая, что расчетное время достаточно для наступления квазистационарного режима в точке</w:t>
      </w:r>
      <w:r w:rsidR="00CF3324">
        <w:pict>
          <v:shape id="_x0000_i1031" type="#_x0000_t75" style="width:13.5pt;height:9pt">
            <v:imagedata r:id="rId10" o:title=""/>
          </v:shape>
        </w:pict>
      </w:r>
      <w:r w:rsidRPr="007F031A">
        <w:t xml:space="preserve">: </w:t>
      </w:r>
    </w:p>
    <w:p w:rsidR="007F031A" w:rsidRPr="007F031A" w:rsidRDefault="00CF3324" w:rsidP="007F031A">
      <w:pPr>
        <w:spacing w:before="120"/>
        <w:ind w:firstLine="567"/>
        <w:jc w:val="both"/>
      </w:pPr>
      <w:r>
        <w:pict>
          <v:shape id="_x0000_i1032" type="#_x0000_t75" style="width:301.5pt;height:28.5pt">
            <v:imagedata r:id="rId11" o:title=""/>
          </v:shape>
        </w:pic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(введем долевые коэффициенты дебита </w:t>
      </w:r>
      <w:r w:rsidR="00CF3324">
        <w:pict>
          <v:shape id="_x0000_i1033" type="#_x0000_t75" style="width:49.5pt;height:30.75pt">
            <v:imagedata r:id="rId12" o:title=""/>
          </v:shape>
        </w:pict>
      </w:r>
      <w:r w:rsidRPr="007F031A">
        <w:t>)</w:t>
      </w:r>
    </w:p>
    <w:p w:rsidR="007F031A" w:rsidRPr="007F031A" w:rsidRDefault="00CF3324" w:rsidP="007F031A">
      <w:pPr>
        <w:spacing w:before="120"/>
        <w:ind w:firstLine="567"/>
        <w:jc w:val="both"/>
      </w:pPr>
      <w:r>
        <w:pict>
          <v:shape id="_x0000_i1034" type="#_x0000_t75" style="width:306.75pt;height:38.25pt">
            <v:imagedata r:id="rId13" o:title=""/>
          </v:shape>
        </w:pict>
      </w:r>
      <w:r w:rsidR="007F031A" w:rsidRPr="007F031A">
        <w:t xml:space="preserve">.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>Учитывая, что</w:t>
      </w:r>
      <w:r w:rsidR="00CF3324">
        <w:pict>
          <v:shape id="_x0000_i1035" type="#_x0000_t75" style="width:81.75pt;height:17.25pt">
            <v:imagedata r:id="rId14" o:title=""/>
          </v:shape>
        </w:pict>
      </w:r>
      <w:r w:rsidRPr="007F031A">
        <w:t>, а две подчеркнутые группировки однородных членов можно свернуть по свойствам логарифма:</w:t>
      </w:r>
    </w:p>
    <w:p w:rsidR="007F031A" w:rsidRPr="007F031A" w:rsidRDefault="00CF3324" w:rsidP="007F031A">
      <w:pPr>
        <w:spacing w:before="120"/>
        <w:ind w:firstLine="567"/>
        <w:jc w:val="both"/>
      </w:pPr>
      <w:r>
        <w:pict>
          <v:shape id="_x0000_i1036" type="#_x0000_t75" style="width:200.25pt;height:27pt">
            <v:imagedata r:id="rId15" o:title=""/>
          </v:shape>
        </w:pict>
      </w:r>
      <w:r w:rsidR="007F031A" w:rsidRPr="007F031A">
        <w:t>,</w:t>
      </w:r>
    </w:p>
    <w:p w:rsidR="007F031A" w:rsidRPr="007F031A" w:rsidRDefault="00CF3324" w:rsidP="007F031A">
      <w:pPr>
        <w:spacing w:before="120"/>
        <w:ind w:firstLine="567"/>
        <w:jc w:val="both"/>
      </w:pPr>
      <w:r>
        <w:pict>
          <v:shape id="_x0000_i1037" type="#_x0000_t75" style="width:201.75pt;height:27pt">
            <v:imagedata r:id="rId16" o:title=""/>
          </v:shape>
        </w:pict>
      </w:r>
      <w:r w:rsidR="007F031A" w:rsidRPr="007F031A">
        <w:t>,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>получим окончательное выражение в виде:</w:t>
      </w:r>
    </w:p>
    <w:p w:rsidR="007F031A" w:rsidRPr="007F031A" w:rsidRDefault="00CF3324" w:rsidP="007F031A">
      <w:pPr>
        <w:spacing w:before="120"/>
        <w:ind w:firstLine="567"/>
        <w:jc w:val="both"/>
      </w:pPr>
      <w:r>
        <w:pict>
          <v:shape id="_x0000_i1038" type="#_x0000_t75" style="width:230.25pt;height:60.75pt">
            <v:imagedata r:id="rId17" o:title=""/>
          </v:shape>
        </w:pict>
      </w:r>
      <w:r w:rsidR="007F031A" w:rsidRPr="007F031A">
        <w:t xml:space="preserve">.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Видно, что полученное выражение для </w:t>
      </w:r>
      <w:r w:rsidR="00CF3324">
        <w:pict>
          <v:shape id="_x0000_i1039" type="#_x0000_t75" style="width:15.75pt;height:10.5pt">
            <v:imagedata r:id="rId18" o:title=""/>
          </v:shape>
        </w:pict>
      </w:r>
      <w:r w:rsidRPr="007F031A">
        <w:t xml:space="preserve"> по форме аналогично действию одной скважины, находящейся на расчетном расстоянии </w:t>
      </w:r>
      <w:r w:rsidR="00CF3324">
        <w:pict>
          <v:shape id="_x0000_i1040" type="#_x0000_t75" style="width:4.5pt;height:7.5pt">
            <v:imagedata r:id="rId19" o:title=""/>
          </v:shape>
        </w:pict>
      </w:r>
      <w:r w:rsidRPr="007F031A">
        <w:t xml:space="preserve"> от точки </w:t>
      </w:r>
      <w:r w:rsidR="00CF3324">
        <w:pict>
          <v:shape id="_x0000_i1041" type="#_x0000_t75" style="width:13.5pt;height:9pt">
            <v:imagedata r:id="rId10" o:title=""/>
          </v:shape>
        </w:pict>
      </w:r>
      <w:r w:rsidRPr="007F031A">
        <w:t xml:space="preserve"> и действующей с суммарным дебитом </w:t>
      </w:r>
      <w:r w:rsidR="00CF3324">
        <w:pict>
          <v:shape id="_x0000_i1042" type="#_x0000_t75" style="width:24pt;height:13.5pt">
            <v:imagedata r:id="rId20" o:title=""/>
          </v:shape>
        </w:pict>
      </w:r>
      <w:r w:rsidRPr="007F031A">
        <w:t xml:space="preserve"> в течение расчетного времени </w:t>
      </w:r>
      <w:r w:rsidR="00CF3324">
        <w:pict>
          <v:shape id="_x0000_i1043" type="#_x0000_t75" style="width:4.5pt;height:5.25pt">
            <v:imagedata r:id="rId21" o:title=""/>
          </v:shape>
        </w:pict>
      </w:r>
      <w:r w:rsidRPr="007F031A">
        <w:t xml:space="preserve">. Такая скважина и называется "большим колодцом". Некоторые комментарии: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>В частном случае равнодебитных скважин (</w:t>
      </w:r>
      <w:r w:rsidR="00CF3324">
        <w:pict>
          <v:shape id="_x0000_i1044" type="#_x0000_t75" style="width:81pt;height:11.25pt">
            <v:imagedata r:id="rId22" o:title=""/>
          </v:shape>
        </w:pict>
      </w:r>
      <w:r w:rsidRPr="007F031A">
        <w:t>) долевые коэффициенты также равны между собой</w:t>
      </w:r>
      <w:r w:rsidR="00CF3324">
        <w:pict>
          <v:shape id="_x0000_i1045" type="#_x0000_t75" style="width:135pt;height:23.25pt">
            <v:imagedata r:id="rId23" o:title=""/>
          </v:shape>
        </w:pict>
      </w:r>
      <w:r w:rsidRPr="007F031A">
        <w:t xml:space="preserve">; тогда </w:t>
      </w:r>
      <w:r w:rsidR="00CF3324">
        <w:pict>
          <v:shape id="_x0000_i1046" type="#_x0000_t75" style="width:129.75pt;height:15.75pt">
            <v:imagedata r:id="rId24" o:title=""/>
          </v:shape>
        </w:pict>
      </w:r>
      <w:r w:rsidRPr="007F031A">
        <w:t xml:space="preserve">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Очевидно, что при такой методике расчета </w:t>
      </w:r>
      <w:r w:rsidR="00CF3324">
        <w:pict>
          <v:shape id="_x0000_i1047" type="#_x0000_t75" style="width:15.75pt;height:10.5pt">
            <v:imagedata r:id="rId18" o:title=""/>
          </v:shape>
        </w:pict>
      </w:r>
      <w:r w:rsidRPr="007F031A">
        <w:t xml:space="preserve"> физическое положение "большого колодца" в принципе безразлично; важно только, что он находится на расчетном расстоянии</w:t>
      </w:r>
      <w:r w:rsidR="00CF3324">
        <w:pict>
          <v:shape id="_x0000_i1048" type="#_x0000_t75" style="width:4.5pt;height:7.5pt">
            <v:imagedata r:id="rId19" o:title=""/>
          </v:shape>
        </w:pict>
      </w:r>
      <w:r w:rsidRPr="007F031A">
        <w:t xml:space="preserve">. Можно использовать и другую методику, не требующую специального вычисления </w:t>
      </w:r>
      <w:r w:rsidR="00CF3324">
        <w:pict>
          <v:shape id="_x0000_i1049" type="#_x0000_t75" style="width:4.5pt;height:7.5pt">
            <v:imagedata r:id="rId19" o:title=""/>
          </v:shape>
        </w:pict>
      </w:r>
      <w:r w:rsidRPr="007F031A">
        <w:t xml:space="preserve">: предварительно рассчитывается положение центра (оси) "большого колодца" как центра тяжести системы скважин по их расходам, от которого и измеряется расчетное расстояние до точки </w:t>
      </w:r>
      <w:r w:rsidR="00CF3324">
        <w:pict>
          <v:shape id="_x0000_i1050" type="#_x0000_t75" style="width:13.5pt;height:9pt">
            <v:imagedata r:id="rId10" o:title=""/>
          </v:shape>
        </w:pict>
      </w:r>
      <w:r w:rsidRPr="007F031A">
        <w:t xml:space="preserve">(рис. </w:t>
      </w:r>
      <w:r w:rsidR="00F53B54">
        <w:t>2</w:t>
      </w:r>
      <w:r w:rsidRPr="007F031A">
        <w:t xml:space="preserve">).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>Координаты центра "большого колодца" в произвольной системе декартовых координат {X,Y} вычисляются с учетом координат и долевых коэффициентов дебита каждой скважины:</w:t>
      </w:r>
    </w:p>
    <w:p w:rsidR="007F031A" w:rsidRPr="007F031A" w:rsidRDefault="00CF3324" w:rsidP="007F031A">
      <w:pPr>
        <w:spacing w:before="120"/>
        <w:ind w:firstLine="567"/>
        <w:jc w:val="both"/>
      </w:pPr>
      <w:r>
        <w:pict>
          <v:shape id="_x0000_i1051" type="#_x0000_t75" style="width:251.25pt;height:12.75pt">
            <v:imagedata r:id="rId25" o:title=""/>
          </v:shape>
        </w:pict>
      </w:r>
      <w:r w:rsidR="007F031A" w:rsidRPr="007F031A">
        <w:t xml:space="preserve">.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По численным оценкам, погрешность расчетов понижений не превышает 3-5% для точек, удаленных от площадки системы скважин на расстояние, превышающее ее наибольший размер.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Другая полезная практическая задача: оценка возможного суммарного притока к системе скважин. Для этого рассчитывается радиус "большого колодца" </w:t>
      </w:r>
      <w:r w:rsidR="00CF3324">
        <w:pict>
          <v:shape id="_x0000_i1052" type="#_x0000_t75" style="width:8.25pt;height:7.5pt">
            <v:imagedata r:id="rId26" o:title=""/>
          </v:shape>
        </w:pict>
      </w:r>
      <w:r w:rsidRPr="007F031A">
        <w:t xml:space="preserve">, т.е. точка </w:t>
      </w:r>
      <w:r w:rsidR="00CF3324">
        <w:pict>
          <v:shape id="_x0000_i1053" type="#_x0000_t75" style="width:13.5pt;height:9pt">
            <v:imagedata r:id="rId10" o:title=""/>
          </v:shape>
        </w:pict>
      </w:r>
      <w:r w:rsidRPr="007F031A">
        <w:t xml:space="preserve">перемещается на стенку "большого колодца". При этом одна из скважин принимается за опорную и от нее рассчитываются расстояния до всех остальных; после этого оценивается </w:t>
      </w:r>
      <w:r w:rsidR="00CF3324">
        <w:pict>
          <v:shape id="_x0000_i1054" type="#_x0000_t75" style="width:108pt;height:23.25pt">
            <v:imagedata r:id="rId27" o:title=""/>
          </v:shape>
        </w:pict>
      </w:r>
    </w:p>
    <w:tbl>
      <w:tblPr>
        <w:tblW w:w="337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3"/>
      </w:tblGrid>
      <w:tr w:rsidR="007F031A" w:rsidRPr="007F031A" w:rsidTr="00FE413E">
        <w:trPr>
          <w:tblCellSpacing w:w="0" w:type="dxa"/>
          <w:jc w:val="center"/>
        </w:trPr>
        <w:tc>
          <w:tcPr>
            <w:tcW w:w="3345" w:type="dxa"/>
            <w:vAlign w:val="center"/>
          </w:tcPr>
          <w:p w:rsidR="007F031A" w:rsidRPr="007F031A" w:rsidRDefault="00CF3324" w:rsidP="007F031A">
            <w:pPr>
              <w:spacing w:before="120"/>
              <w:ind w:firstLine="567"/>
              <w:jc w:val="both"/>
            </w:pPr>
            <w:r>
              <w:pict>
                <v:shape id="_x0000_i1055" type="#_x0000_t75" style="width:158.25pt;height:200.25pt">
                  <v:imagedata r:id="rId28" o:title=""/>
                </v:shape>
              </w:pict>
            </w:r>
          </w:p>
        </w:tc>
      </w:tr>
      <w:tr w:rsidR="007F031A" w:rsidRPr="007F031A" w:rsidTr="00FE413E">
        <w:trPr>
          <w:tblCellSpacing w:w="0" w:type="dxa"/>
          <w:jc w:val="center"/>
        </w:trPr>
        <w:tc>
          <w:tcPr>
            <w:tcW w:w="3345" w:type="dxa"/>
            <w:vAlign w:val="center"/>
          </w:tcPr>
          <w:p w:rsidR="007F031A" w:rsidRPr="007F031A" w:rsidRDefault="007F031A" w:rsidP="007F031A">
            <w:pPr>
              <w:spacing w:before="120"/>
              <w:ind w:firstLine="567"/>
              <w:jc w:val="both"/>
            </w:pPr>
            <w:r w:rsidRPr="007F031A">
              <w:t xml:space="preserve">Рис. </w:t>
            </w:r>
            <w:r w:rsidR="00F53B54">
              <w:t>2</w:t>
            </w:r>
            <w:r w:rsidRPr="007F031A">
              <w:t>. Определение координат центра "большого колодца"</w:t>
            </w:r>
          </w:p>
        </w:tc>
      </w:tr>
    </w:tbl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 Теперь можно рассчитать потенциальный суммарный дебит системы как дебит "большого колодца" с радиусом </w:t>
      </w:r>
      <w:r w:rsidR="00CF3324">
        <w:pict>
          <v:shape id="_x0000_i1056" type="#_x0000_t75" style="width:8.25pt;height:7.5pt">
            <v:imagedata r:id="rId26" o:title=""/>
          </v:shape>
        </w:pict>
      </w:r>
      <w:r w:rsidRPr="007F031A">
        <w:t xml:space="preserve"> по любой формуле, отвечающей расчетной схеме; например, в "схеме Тейса":</w:t>
      </w:r>
    </w:p>
    <w:p w:rsidR="007F031A" w:rsidRPr="007F031A" w:rsidRDefault="00CF3324" w:rsidP="007F031A">
      <w:pPr>
        <w:spacing w:before="120"/>
        <w:ind w:firstLine="567"/>
        <w:jc w:val="both"/>
      </w:pPr>
      <w:r>
        <w:pict>
          <v:shape id="_x0000_i1057" type="#_x0000_t75" style="width:81.75pt;height:45.75pt">
            <v:imagedata r:id="rId29" o:title=""/>
          </v:shape>
        </w:pict>
      </w:r>
      <w:r w:rsidR="007F031A" w:rsidRPr="007F031A">
        <w:t xml:space="preserve">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>Конечно, такая оценка будет приближенной, так как приходится принимать некоторое единое для системы значение</w:t>
      </w:r>
      <w:r w:rsidR="00CF3324">
        <w:pict>
          <v:shape id="_x0000_i1058" type="#_x0000_t75" style="width:21pt;height:12.75pt">
            <v:imagedata r:id="rId30" o:title=""/>
          </v:shape>
        </w:pict>
      </w:r>
      <w:r w:rsidRPr="007F031A">
        <w:t xml:space="preserve">. </w:t>
      </w:r>
    </w:p>
    <w:p w:rsidR="007F031A" w:rsidRPr="007F031A" w:rsidRDefault="007F031A" w:rsidP="007F031A">
      <w:pPr>
        <w:spacing w:before="120"/>
        <w:ind w:firstLine="567"/>
        <w:jc w:val="both"/>
      </w:pPr>
      <w:bookmarkStart w:id="1" w:name="5_8"/>
      <w:bookmarkEnd w:id="1"/>
      <w:r w:rsidRPr="007F031A">
        <w:t xml:space="preserve">В завершение характеристики гидродинамических расчетов коротко остановимся на МОДЕЛИРОВАНИИ РАБОТЫ ВОДОЗАБОРОВ. Оно применяется, если необходимо учесть выявленные при разведке особенности неоднородного распределения параметров, сложные граничные условия, структуру потока и др., которые явно не удается безболезненно упростить для аналитических расчетов. Принципиально моделирование "водозаборных" задач ничем не отличается от других. Специфика состоит лишь в обязательном наличии водозаборных скважин (хотя они могут быть и в других задачах - дренажи, закачка промстоков, подземное выщелачивание и т.п.).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Основная особенность моделирования скважин: если в блок модели подать дебит скважины </w:t>
      </w:r>
      <w:r w:rsidR="00CF3324">
        <w:pict>
          <v:shape id="_x0000_i1059" type="#_x0000_t75" style="width:11.25pt;height:11.25pt">
            <v:imagedata r:id="rId31" o:title=""/>
          </v:shape>
        </w:pict>
      </w:r>
      <w:r w:rsidRPr="007F031A">
        <w:t xml:space="preserve">, то в нем при решении будет получен напор </w:t>
      </w:r>
      <w:r w:rsidR="00CF3324">
        <w:pict>
          <v:shape id="_x0000_i1060" type="#_x0000_t75" style="width:19.5pt;height:11.25pt">
            <v:imagedata r:id="rId32" o:title=""/>
          </v:shape>
        </w:pict>
      </w:r>
      <w:r w:rsidRPr="007F031A">
        <w:t>(или понижение</w:t>
      </w:r>
      <w:r w:rsidR="00CF3324">
        <w:pict>
          <v:shape id="_x0000_i1061" type="#_x0000_t75" style="width:15.75pt;height:11.25pt">
            <v:imagedata r:id="rId33" o:title=""/>
          </v:shape>
        </w:pict>
      </w:r>
      <w:r w:rsidRPr="007F031A">
        <w:t>), не отвечающий реальному напору (понижению) в скважине</w:t>
      </w:r>
      <w:r w:rsidR="00CF3324">
        <w:pict>
          <v:shape id="_x0000_i1062" type="#_x0000_t75" style="width:35.25pt;height:11.25pt">
            <v:imagedata r:id="rId34" o:title=""/>
          </v:shape>
        </w:pict>
      </w:r>
      <w:r w:rsidRPr="007F031A">
        <w:t xml:space="preserve">. Почему ?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В природе поток в непосредственной близости от скважины имеет практически радиальный характер, а распределение напоров подчиняется логарифмике Дюпюи: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(1) </w:t>
      </w:r>
      <w:r w:rsidR="00CF3324">
        <w:pict>
          <v:shape id="_x0000_i1063" type="#_x0000_t75" style="width:105pt;height:28.5pt">
            <v:imagedata r:id="rId35" o:title=""/>
          </v:shape>
        </w:pict>
      </w:r>
      <w:r w:rsidRPr="007F031A">
        <w:t xml:space="preserve"> 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>В отличие от этого, на модели "приток" к водозаборному блоку происходит в виде линейных потоков из четырех смежных блоков (рис. 4.7); расход каждого из таких потоков:</w:t>
      </w:r>
    </w:p>
    <w:p w:rsidR="007F031A" w:rsidRPr="007F031A" w:rsidRDefault="00CF3324" w:rsidP="007F031A">
      <w:pPr>
        <w:spacing w:before="120"/>
        <w:ind w:firstLine="567"/>
        <w:jc w:val="both"/>
      </w:pPr>
      <w:r>
        <w:pict>
          <v:shape id="_x0000_i1064" type="#_x0000_t75" style="width:141.75pt;height:30pt">
            <v:imagedata r:id="rId36" o:title=""/>
          </v:shape>
        </w:pic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Так как </w:t>
      </w:r>
      <w:r w:rsidR="00CF3324">
        <w:pict>
          <v:shape id="_x0000_i1065" type="#_x0000_t75" style="width:39.75pt;height:20.25pt">
            <v:imagedata r:id="rId37" o:title=""/>
          </v:shape>
        </w:pict>
      </w:r>
      <w:r w:rsidRPr="007F031A">
        <w:t>, то: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(2) </w:t>
      </w:r>
      <w:r w:rsidR="00CF3324">
        <w:pict>
          <v:shape id="_x0000_i1066" type="#_x0000_t75" style="width:96pt;height:25.5pt">
            <v:imagedata r:id="rId38" o:title=""/>
          </v:shape>
        </w:pic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>Если теперь почленно вычесть (2) из (1), то: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(3) </w:t>
      </w:r>
      <w:r w:rsidR="00CF3324">
        <w:pict>
          <v:shape id="_x0000_i1067" type="#_x0000_t75" style="width:208.5pt;height:28.5pt">
            <v:imagedata r:id="rId39" o:title=""/>
          </v:shape>
        </w:pict>
      </w:r>
      <w:r w:rsidRPr="007F031A">
        <w:t xml:space="preserve">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Таким образом, к напору/понижению, получаемому в "скважинном" блоке, следует сделать поправку по формуле (3). Особенно об этом надо помнить при работе с "чужими" программами численного моделирования, для которых, как правило, нет внятного описания многих деталей построения расчетных алгоритмов. Решить эту проблему (а это действительно проблема, так как разность </w:t>
      </w:r>
      <w:r w:rsidR="00CF3324">
        <w:pict>
          <v:shape id="_x0000_i1068" type="#_x0000_t75" style="width:39.75pt;height:11.25pt">
            <v:imagedata r:id="rId40" o:title=""/>
          </v:shape>
        </w:pict>
      </w:r>
      <w:r w:rsidRPr="007F031A">
        <w:t xml:space="preserve">может быть весьма значительной) можно только путем тестирования программы по аналитическим решениям.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>Еще одно замечание: если в один блок сетки модели попадают несколько работающих водозаборных скважин, то их приходится объединять в одну эквивалентную, т.е. заменять их "большим колодцем" с суммарным дебитом, рассчитав его радиус по вышерассмотренным зависимостям.</w:t>
      </w:r>
    </w:p>
    <w:tbl>
      <w:tblPr>
        <w:tblW w:w="30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3"/>
      </w:tblGrid>
      <w:tr w:rsidR="007F031A" w:rsidRPr="007F031A" w:rsidTr="00FE413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F031A" w:rsidRPr="007F031A" w:rsidRDefault="00CF3324" w:rsidP="007F031A">
            <w:pPr>
              <w:spacing w:before="120"/>
              <w:ind w:firstLine="567"/>
              <w:jc w:val="both"/>
            </w:pPr>
            <w:r>
              <w:pict>
                <v:shape id="_x0000_i1069" type="#_x0000_t75" style="width:228.75pt;height:214.5pt">
                  <v:imagedata r:id="rId41" o:title=""/>
                </v:shape>
              </w:pict>
            </w:r>
          </w:p>
        </w:tc>
      </w:tr>
      <w:tr w:rsidR="007F031A" w:rsidRPr="007F031A" w:rsidTr="00FE413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F031A" w:rsidRPr="007F031A" w:rsidRDefault="007F031A" w:rsidP="007F031A">
            <w:pPr>
              <w:spacing w:before="120"/>
              <w:ind w:firstLine="567"/>
              <w:jc w:val="both"/>
            </w:pPr>
            <w:r w:rsidRPr="007F031A">
              <w:t xml:space="preserve">Рис. </w:t>
            </w:r>
            <w:r w:rsidR="00F53B54">
              <w:t>3</w:t>
            </w:r>
            <w:r w:rsidRPr="007F031A">
              <w:t xml:space="preserve">. Характер притока к водозаборной скважине в РЕАЛЬНОМ (синие стрелки) фильтрационном потоке и на СЕТОЧНОЙ МОДЕЛИ (черные стрелки) </w:t>
            </w:r>
          </w:p>
        </w:tc>
      </w:tr>
    </w:tbl>
    <w:p w:rsidR="007F031A" w:rsidRPr="007F031A" w:rsidRDefault="007F031A" w:rsidP="007F031A">
      <w:pPr>
        <w:spacing w:before="120"/>
        <w:ind w:firstLine="567"/>
        <w:jc w:val="both"/>
      </w:pPr>
      <w:bookmarkStart w:id="2" w:name="6"/>
      <w:bookmarkEnd w:id="2"/>
      <w:r w:rsidRPr="007F031A">
        <w:t xml:space="preserve">Другой метод оценки эксплуатационных запасов и расчета водозаборов, являющийся альтернативой рассмотренному гидродинамическому - ГИДРАВЛИЧЕСКИЙ.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Вспомним, что для применения гидродинамического метода величина обобщенного фильтрационного сопротивления </w:t>
      </w:r>
      <w:r w:rsidR="00CF3324">
        <w:pict>
          <v:shape id="_x0000_i1070" type="#_x0000_t75" style="width:6.75pt;height:8.25pt">
            <v:imagedata r:id="rId42" o:title=""/>
          </v:shape>
        </w:pict>
      </w:r>
      <w:r w:rsidRPr="007F031A">
        <w:t xml:space="preserve">рассматривается как совокупность всех значимых элементов строения области месторождения, отдельно разведуемых и затем "собираемых" для прогноза в виде расчетной фильтрационной схемы. Если же объективно трудно рассчитывать на построение достоверной фильтрационной схемы (сложные балансово-гидрогеодинамические условия, слишком большая необходимая плотность опытного опробования, отсутствие методик постановки и достоверной интерпретации опробования), то применяют (в какой-то мере - вынужденно) гидравлический метод.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Его основной смысл - НЕПОСРЕДСТВЕННАЯ ЭКСПЕРИМЕНТАЛЬНАЯ (т.е. с помощью прямых полевых опытов) оценка </w:t>
      </w:r>
      <w:r w:rsidR="00CF3324">
        <w:pict>
          <v:shape id="_x0000_i1071" type="#_x0000_t75" style="width:6.75pt;height:8.25pt">
            <v:imagedata r:id="rId42" o:title=""/>
          </v:shape>
        </w:pict>
      </w:r>
      <w:r w:rsidRPr="007F031A">
        <w:t xml:space="preserve"> как единой "эмпирической" величины. Для этого при разведке выполняется ОЭО - достаточно длительные и достаточно мощные опытно-эксплуатационные откачки из скважин, заложенных непосредственно в точках будущего водозабора (такие скважины обычно называют разведочно-эксплуатационными). По сути, такое опробование является почти полной имитацией работы будущего водозабора.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Техника применения: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по результатам ОЭО для опробуемой скважины фиксируется т.н. СРЕЗКА уровня (несколько устаревший синоним термина "понижение";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затем рассчитывается УДЕЛЬНАЯ СРЕЗКА ("удельное понижение") как величина срезки (понижения) на единицу дебита: </w:t>
      </w:r>
    </w:p>
    <w:p w:rsidR="007F031A" w:rsidRPr="007F031A" w:rsidRDefault="00CF3324" w:rsidP="007F031A">
      <w:pPr>
        <w:spacing w:before="120"/>
        <w:ind w:firstLine="567"/>
        <w:jc w:val="both"/>
      </w:pPr>
      <w:r>
        <w:pict>
          <v:shape id="_x0000_i1072" type="#_x0000_t75" style="width:45.75pt;height:28.5pt">
            <v:imagedata r:id="rId43" o:title=""/>
          </v:shape>
        </w:pict>
      </w:r>
      <w:r w:rsidR="007F031A" w:rsidRPr="007F031A">
        <w:t xml:space="preserve"> [ сут/м</w:t>
      </w:r>
      <w:r w:rsidR="007F031A" w:rsidRPr="007F031A">
        <w:rPr>
          <w:vertAlign w:val="superscript"/>
        </w:rPr>
        <w:t>2</w:t>
      </w:r>
      <w:r w:rsidR="007F031A" w:rsidRPr="007F031A">
        <w:t xml:space="preserve"> ].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Видно, что и по смыслу, и по размерности </w:t>
      </w:r>
      <w:r w:rsidR="00CF3324">
        <w:pict>
          <v:shape id="_x0000_i1073" type="#_x0000_t75" style="width:6pt;height:6.75pt">
            <v:imagedata r:id="rId44" o:title=""/>
          </v:shape>
        </w:pict>
      </w:r>
      <w:r w:rsidRPr="007F031A">
        <w:t xml:space="preserve"> является фильтрационным сопротивлением - тем самым "обобщенным" сопротивлением области влияния ОЭО. Таким образом, проводя ОЭО, мы "одним ударом" определяем (в виде одного-единственного числа) ВСЮ СОВОКУПНОСТЬ ДЕЙСТВИЯ ГИДРОГЕОЛОГИЧЕСКИХ ФАКТОРОВ в зоне влияния опробования. 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Ясно, что </w:t>
      </w:r>
      <w:r w:rsidR="00CF3324">
        <w:pict>
          <v:shape id="_x0000_i1074" type="#_x0000_t75" style="width:6pt;height:6.75pt">
            <v:imagedata r:id="rId44" o:title=""/>
          </v:shape>
        </w:pict>
      </w:r>
      <w:r w:rsidRPr="007F031A">
        <w:t xml:space="preserve"> в ходе ОЭО будет изменяться в соответствии с развитием величины понижения даже при относительно постоянном дебите опробования </w:t>
      </w:r>
      <w:r w:rsidR="00CF3324">
        <w:pict>
          <v:shape id="_x0000_i1075" type="#_x0000_t75" style="width:60pt;height:11.25pt">
            <v:imagedata r:id="rId45" o:title=""/>
          </v:shape>
        </w:pict>
      </w:r>
      <w:r w:rsidRPr="007F031A">
        <w:t>. Очевидно, что возможны два принципиальных варианта: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>- за время ОЭО достигнут устойчивый стационарный режим понижений - следовательно, удельная срезка достигла своего максимального в данных условиях значения;</w:t>
      </w:r>
    </w:p>
    <w:p w:rsidR="007F031A" w:rsidRPr="007F031A" w:rsidRDefault="007F031A" w:rsidP="007F031A">
      <w:pPr>
        <w:spacing w:before="120"/>
        <w:ind w:firstLine="567"/>
        <w:jc w:val="both"/>
      </w:pPr>
      <w:r w:rsidRPr="007F031A">
        <w:t xml:space="preserve">- в течение всего времени ОЭО сохранялся нестационарный режим, т.е. достигнутое к моменту завершения ОЭО значение </w:t>
      </w:r>
      <w:r w:rsidR="00CF3324">
        <w:pict>
          <v:shape id="_x0000_i1076" type="#_x0000_t75" style="width:6pt;height:6.75pt">
            <v:imagedata r:id="rId44" o:title=""/>
          </v:shape>
        </w:pict>
      </w:r>
      <w:r w:rsidRPr="007F031A">
        <w:t xml:space="preserve"> не является предельным. </w:t>
      </w:r>
    </w:p>
    <w:p w:rsidR="007F031A" w:rsidRDefault="007F031A" w:rsidP="007F031A">
      <w:pPr>
        <w:spacing w:before="120"/>
        <w:ind w:firstLine="567"/>
        <w:jc w:val="both"/>
      </w:pPr>
      <w:r w:rsidRPr="007F031A">
        <w:t xml:space="preserve">Существование одного из этих вариантов в конкретной ситуации определяется, в первую очередь, удаленностью питающих границ, способных обеспечить необходимую величину </w:t>
      </w:r>
      <w:r w:rsidR="00CF3324">
        <w:pict>
          <v:shape id="_x0000_i1077" type="#_x0000_t75" style="width:16.5pt;height:10.5pt">
            <v:imagedata r:id="rId46" o:title=""/>
          </v:shape>
        </w:pict>
      </w:r>
      <w:r w:rsidRPr="007F031A">
        <w:t>.</w:t>
      </w:r>
    </w:p>
    <w:p w:rsidR="009370B9" w:rsidRPr="007F031A" w:rsidRDefault="009370B9" w:rsidP="007F031A">
      <w:pPr>
        <w:spacing w:before="120"/>
        <w:ind w:firstLine="567"/>
        <w:jc w:val="both"/>
      </w:pPr>
      <w:bookmarkStart w:id="3" w:name="_GoBack"/>
      <w:bookmarkEnd w:id="3"/>
    </w:p>
    <w:sectPr w:rsidR="009370B9" w:rsidRPr="007F031A" w:rsidSect="007F031A">
      <w:pgSz w:w="11907" w:h="16838"/>
      <w:pgMar w:top="1134" w:right="1134" w:bottom="1134" w:left="1134" w:header="709" w:footer="709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A717C"/>
    <w:multiLevelType w:val="multilevel"/>
    <w:tmpl w:val="E34ED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3BD3254"/>
    <w:multiLevelType w:val="multilevel"/>
    <w:tmpl w:val="08DE9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43417C0"/>
    <w:multiLevelType w:val="multilevel"/>
    <w:tmpl w:val="C666F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FA87127"/>
    <w:multiLevelType w:val="multilevel"/>
    <w:tmpl w:val="5E00B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6645C50"/>
    <w:multiLevelType w:val="multilevel"/>
    <w:tmpl w:val="527CD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7FC457B"/>
    <w:multiLevelType w:val="multilevel"/>
    <w:tmpl w:val="6FAE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157042"/>
    <w:multiLevelType w:val="multilevel"/>
    <w:tmpl w:val="DEA05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31A"/>
    <w:rsid w:val="004A25AF"/>
    <w:rsid w:val="007F031A"/>
    <w:rsid w:val="009370B9"/>
    <w:rsid w:val="00CF3324"/>
    <w:rsid w:val="00D56340"/>
    <w:rsid w:val="00F53B54"/>
    <w:rsid w:val="00FE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9"/>
    <o:shapelayout v:ext="edit">
      <o:idmap v:ext="edit" data="1"/>
    </o:shapelayout>
  </w:shapeDefaults>
  <w:decimalSymbol w:val=","/>
  <w:listSeparator w:val=";"/>
  <w14:defaultImageDpi w14:val="0"/>
  <w15:docId w15:val="{7B1BE392-414E-4D34-B01C-50E90AF06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31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F03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5231</Words>
  <Characters>2982</Characters>
  <Application>Microsoft Office Word</Application>
  <DocSecurity>0</DocSecurity>
  <Lines>24</Lines>
  <Paragraphs>16</Paragraphs>
  <ScaleCrop>false</ScaleCrop>
  <Company>Home</Company>
  <LinksUpToDate>false</LinksUpToDate>
  <CharactersWithSpaces>8197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неупорядоченных площадных систем</dc:title>
  <dc:subject/>
  <dc:creator>User</dc:creator>
  <cp:keywords/>
  <dc:description/>
  <cp:lastModifiedBy>admin</cp:lastModifiedBy>
  <cp:revision>2</cp:revision>
  <dcterms:created xsi:type="dcterms:W3CDTF">2014-01-25T16:18:00Z</dcterms:created>
  <dcterms:modified xsi:type="dcterms:W3CDTF">2014-01-25T16:18:00Z</dcterms:modified>
</cp:coreProperties>
</file>