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CF7" w:rsidRDefault="00333192">
      <w:pPr>
        <w:pStyle w:val="1"/>
        <w:jc w:val="center"/>
      </w:pPr>
      <w:r>
        <w:t>Радиоактивное загрязнение территории Брянской области и состояние здоровья населения</w:t>
      </w:r>
    </w:p>
    <w:p w:rsidR="00E85CF7" w:rsidRPr="00333192" w:rsidRDefault="00333192">
      <w:pPr>
        <w:pStyle w:val="a3"/>
      </w:pPr>
      <w:r>
        <w:t> К. В. Чусовитина, Л. М. Ахромеев, Ю. А. Нестеров</w:t>
      </w:r>
    </w:p>
    <w:p w:rsidR="00E85CF7" w:rsidRDefault="00333192">
      <w:pPr>
        <w:pStyle w:val="a3"/>
      </w:pPr>
      <w:r>
        <w:t>Брянский государственный университет</w:t>
      </w:r>
    </w:p>
    <w:p w:rsidR="00E85CF7" w:rsidRDefault="00333192">
      <w:pPr>
        <w:pStyle w:val="a3"/>
      </w:pPr>
      <w:r>
        <w:t>После аварии на ЧАЭС прошло более 25 лет. За это время были выявлены значительные медицинские последствия для здоровья вовлеченных в нее людей. Проведение массовой диспансеризации населения позволили выявить болезни, связанные с радиационным облучением и химическим загрязнением окружающей среды: рост новообразований (число раков щитовидной железы у детей, катаракты и лейкозы у участников ликвидации последствий аварии и др.), сердечно-сосудистых заболеваний, врожденных аномалий и другой экологически обусловленной патологии [1, 2, 4].</w:t>
      </w:r>
    </w:p>
    <w:p w:rsidR="00E85CF7" w:rsidRDefault="00333192">
      <w:pPr>
        <w:pStyle w:val="a3"/>
      </w:pPr>
      <w:r>
        <w:t>Степень радиоактивного загрязнения территории области анализировалась по материалам ГУ «Брянский областной центр по гидрометеорологии и мониторингу окружающей среды», ФГУ «Брянскагрохимрадиология» и ФВУ «Тайфун». Анализ показателей общей и первичной заболеваемости жителей, проживающих на загрязненных радионуклидами территориях Брянской области, был проведен по формам Государственной статистической отчетности № 15 «Сведения о медицинском обслуживании населения, подвергшегося воздействию радиации в связи с аварией на Чернобыльской АЭС, и подлежащего включению в Российский государственный медико-дозиметрический регистр» и № 16 «Сведения о числе заболеваний и причинах смерти лиц, подлежащих включению в Российский государственный медико-дозиметрический регистр», утвержденных Госкомстатом в 1993 г.</w:t>
      </w:r>
    </w:p>
    <w:p w:rsidR="00E85CF7" w:rsidRDefault="00333192">
      <w:pPr>
        <w:pStyle w:val="a3"/>
      </w:pPr>
      <w:r>
        <w:t>После Чернобыльской катастрофы территория 22 административных районов Брянской области подверглись радиоактивному загрязнению. Общая площадь, загрязнения цезием-137 составила 11442 км2, на которой проживало 484,5 тыс. чел.</w:t>
      </w:r>
    </w:p>
    <w:p w:rsidR="00E85CF7" w:rsidRDefault="00333192">
      <w:pPr>
        <w:pStyle w:val="a3"/>
      </w:pPr>
      <w:r>
        <w:t>Однако разные территории области подвергались радиоактивному загрязнению не одинаково: было загрязнено более 85% территории Новозыб- ковского, Гордеевского, Злынковского, Красногорского, Клинцовского и Стародубского районов; менее 10% - Суземского, Унечского, Севского, Мглинского, Выгоничского, Брянского, Жирятин- ского и Жуковского районов; от 10 до 85% - 10 районов области.</w:t>
      </w:r>
    </w:p>
    <w:p w:rsidR="00E85CF7" w:rsidRDefault="00333192">
      <w:pPr>
        <w:pStyle w:val="a3"/>
      </w:pPr>
      <w:r>
        <w:t>Современное состояние радиационной обстановки в Брянской области формируется за счет техногенного загрязнения территории области радионуклидами, выпавшими после аварии на Чернобыльской АЭС, за счет ионизирующих излучений от природных радиоактивных источников или естественных радионуклидов, а также за счет источников ионизирующих излучений, находящихся в использовании и эксплуатации на предприятиях и в организациях области. Основным дозообразующим компонентом на радиоактивно-загрязненных территориях области является цезий-137. Площадь загрязнения стронцием и трансурановыми радионуклидами менее обширна. В юго-западных районах области плотность загрязнения стронци-</w:t>
      </w:r>
    </w:p>
    <w:p w:rsidR="00E85CF7" w:rsidRDefault="00333192">
      <w:pPr>
        <w:pStyle w:val="a3"/>
      </w:pPr>
      <w:r>
        <w:t>Таблица 1</w:t>
      </w:r>
    </w:p>
    <w:p w:rsidR="00E85CF7" w:rsidRDefault="00333192">
      <w:pPr>
        <w:pStyle w:val="a3"/>
      </w:pPr>
      <w:r>
        <w:t>Динамика мощности экспозиционной дозы гамма-излучения на территории Брянской области в 2007-2010 гг. (мкР/час)</w:t>
      </w:r>
    </w:p>
    <w:p w:rsidR="00E85CF7" w:rsidRDefault="00333192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80"/>
        <w:gridCol w:w="240"/>
        <w:gridCol w:w="240"/>
        <w:gridCol w:w="480"/>
        <w:gridCol w:w="480"/>
        <w:gridCol w:w="480"/>
        <w:gridCol w:w="480"/>
        <w:gridCol w:w="480"/>
        <w:gridCol w:w="480"/>
      </w:tblGrid>
      <w:tr w:rsidR="00E85CF7">
        <w:trPr>
          <w:trHeight w:val="285"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E85CF7" w:rsidRPr="00333192" w:rsidRDefault="00333192">
            <w:pPr>
              <w:pStyle w:val="a3"/>
            </w:pPr>
            <w:r w:rsidRPr="00333192">
              <w:t>Населенный</w:t>
            </w:r>
          </w:p>
          <w:p w:rsidR="00E85CF7" w:rsidRPr="00333192" w:rsidRDefault="00333192">
            <w:pPr>
              <w:pStyle w:val="a3"/>
            </w:pPr>
            <w:r w:rsidRPr="00333192">
              <w:t>пункт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Численност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5CF7" w:rsidRPr="00333192" w:rsidRDefault="00333192">
            <w:pPr>
              <w:pStyle w:val="a3"/>
            </w:pPr>
            <w:r w:rsidRPr="00333192">
              <w:t>Зона</w:t>
            </w:r>
          </w:p>
          <w:p w:rsidR="00E85CF7" w:rsidRPr="00333192" w:rsidRDefault="00333192">
            <w:pPr>
              <w:pStyle w:val="a3"/>
            </w:pPr>
            <w:r w:rsidRPr="00333192">
              <w:t>Ки/км2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5CF7" w:rsidRPr="00333192" w:rsidRDefault="00333192">
            <w:pPr>
              <w:pStyle w:val="a3"/>
            </w:pPr>
            <w:r w:rsidRPr="00333192">
              <w:t>max</w:t>
            </w:r>
          </w:p>
          <w:p w:rsidR="00E85CF7" w:rsidRPr="00333192" w:rsidRDefault="00333192">
            <w:pPr>
              <w:pStyle w:val="a3"/>
            </w:pPr>
            <w:r w:rsidRPr="00333192">
              <w:t>min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85CF7" w:rsidRDefault="00333192">
            <w:r>
              <w:t>2007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85CF7" w:rsidRDefault="00333192">
            <w:r>
              <w:t>2008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85CF7" w:rsidRDefault="00333192">
            <w:r>
              <w:t>2009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85CF7" w:rsidRDefault="00333192">
            <w:r>
              <w:t>2010</w:t>
            </w:r>
          </w:p>
        </w:tc>
      </w:tr>
      <w:tr w:rsidR="00E85CF7">
        <w:trPr>
          <w:trHeight w:val="51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E85CF7" w:rsidRPr="00333192" w:rsidRDefault="00E85CF7"/>
        </w:tc>
        <w:tc>
          <w:tcPr>
            <w:tcW w:w="0" w:type="auto"/>
            <w:vAlign w:val="center"/>
            <w:hideMark/>
          </w:tcPr>
          <w:p w:rsidR="00E85CF7" w:rsidRDefault="00333192">
            <w:r>
              <w:t>населения, чел. (2010)</w:t>
            </w:r>
          </w:p>
        </w:tc>
        <w:tc>
          <w:tcPr>
            <w:tcW w:w="0" w:type="auto"/>
            <w:vMerge/>
            <w:vAlign w:val="center"/>
            <w:hideMark/>
          </w:tcPr>
          <w:p w:rsidR="00E85CF7" w:rsidRPr="00333192" w:rsidRDefault="00E85CF7"/>
        </w:tc>
        <w:tc>
          <w:tcPr>
            <w:tcW w:w="0" w:type="auto"/>
            <w:vMerge/>
            <w:vAlign w:val="center"/>
            <w:hideMark/>
          </w:tcPr>
          <w:p w:rsidR="00E85CF7" w:rsidRPr="00333192" w:rsidRDefault="00E85CF7"/>
        </w:tc>
        <w:tc>
          <w:tcPr>
            <w:tcW w:w="0" w:type="auto"/>
            <w:vAlign w:val="center"/>
            <w:hideMark/>
          </w:tcPr>
          <w:p w:rsidR="00E85CF7" w:rsidRDefault="00333192">
            <w:r>
              <w:t>зима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лето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зима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лето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зима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лето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зима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лето</w:t>
            </w:r>
          </w:p>
        </w:tc>
      </w:tr>
      <w:tr w:rsidR="00E85CF7">
        <w:trPr>
          <w:trHeight w:val="285"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E85CF7" w:rsidRDefault="00333192">
            <w:r>
              <w:t>Ущерпье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5CF7" w:rsidRDefault="00333192">
            <w:r>
              <w:t>65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5CF7" w:rsidRDefault="00333192">
            <w:r>
              <w:t>15-40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max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43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51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45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60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42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48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32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46</w:t>
            </w:r>
          </w:p>
        </w:tc>
      </w:tr>
      <w:tr w:rsidR="00E85CF7">
        <w:trPr>
          <w:trHeight w:val="285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E85CF7" w:rsidRDefault="00E85CF7"/>
        </w:tc>
        <w:tc>
          <w:tcPr>
            <w:tcW w:w="0" w:type="auto"/>
            <w:vMerge/>
            <w:vAlign w:val="center"/>
            <w:hideMark/>
          </w:tcPr>
          <w:p w:rsidR="00E85CF7" w:rsidRDefault="00E85CF7"/>
        </w:tc>
        <w:tc>
          <w:tcPr>
            <w:tcW w:w="0" w:type="auto"/>
            <w:vMerge/>
            <w:vAlign w:val="center"/>
            <w:hideMark/>
          </w:tcPr>
          <w:p w:rsidR="00E85CF7" w:rsidRDefault="00E85CF7"/>
        </w:tc>
        <w:tc>
          <w:tcPr>
            <w:tcW w:w="0" w:type="auto"/>
            <w:vAlign w:val="center"/>
            <w:hideMark/>
          </w:tcPr>
          <w:p w:rsidR="00E85CF7" w:rsidRDefault="00333192">
            <w:r>
              <w:t>min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32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34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30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35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28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31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17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32</w:t>
            </w:r>
          </w:p>
        </w:tc>
      </w:tr>
      <w:tr w:rsidR="00E85CF7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E85CF7" w:rsidRDefault="00333192">
            <w:r>
              <w:t>Творишино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1073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5CF7" w:rsidRDefault="00333192">
            <w:r>
              <w:t>5-15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max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26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32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26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33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29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34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24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33</w:t>
            </w:r>
          </w:p>
        </w:tc>
      </w:tr>
      <w:tr w:rsidR="00E85CF7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E85CF7" w:rsidRDefault="00333192">
            <w:r>
              <w:t>Красная Г ора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6174</w:t>
            </w:r>
          </w:p>
        </w:tc>
        <w:tc>
          <w:tcPr>
            <w:tcW w:w="0" w:type="auto"/>
            <w:vMerge/>
            <w:vAlign w:val="center"/>
            <w:hideMark/>
          </w:tcPr>
          <w:p w:rsidR="00E85CF7" w:rsidRDefault="00E85CF7"/>
        </w:tc>
        <w:tc>
          <w:tcPr>
            <w:tcW w:w="0" w:type="auto"/>
            <w:vAlign w:val="center"/>
            <w:hideMark/>
          </w:tcPr>
          <w:p w:rsidR="00E85CF7" w:rsidRDefault="00333192">
            <w:r>
              <w:t>min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13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15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13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14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12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13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11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14</w:t>
            </w:r>
          </w:p>
        </w:tc>
      </w:tr>
      <w:tr w:rsidR="00E85CF7">
        <w:trPr>
          <w:trHeight w:val="285"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E85CF7" w:rsidRDefault="00333192">
            <w:r>
              <w:t>Мартьяновка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5CF7" w:rsidRDefault="00333192">
            <w:r>
              <w:t>60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5CF7" w:rsidRDefault="00333192">
            <w:r>
              <w:t>1-5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max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15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19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16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20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14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18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14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17</w:t>
            </w:r>
          </w:p>
        </w:tc>
      </w:tr>
      <w:tr w:rsidR="00E85CF7">
        <w:trPr>
          <w:trHeight w:val="30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E85CF7" w:rsidRDefault="00E85CF7"/>
        </w:tc>
        <w:tc>
          <w:tcPr>
            <w:tcW w:w="0" w:type="auto"/>
            <w:vMerge/>
            <w:vAlign w:val="center"/>
            <w:hideMark/>
          </w:tcPr>
          <w:p w:rsidR="00E85CF7" w:rsidRDefault="00E85CF7"/>
        </w:tc>
        <w:tc>
          <w:tcPr>
            <w:tcW w:w="0" w:type="auto"/>
            <w:vMerge/>
            <w:vAlign w:val="center"/>
            <w:hideMark/>
          </w:tcPr>
          <w:p w:rsidR="00E85CF7" w:rsidRDefault="00E85CF7"/>
        </w:tc>
        <w:tc>
          <w:tcPr>
            <w:tcW w:w="0" w:type="auto"/>
            <w:vAlign w:val="center"/>
            <w:hideMark/>
          </w:tcPr>
          <w:p w:rsidR="00E85CF7" w:rsidRDefault="00333192">
            <w:r>
              <w:t>min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12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14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13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14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11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12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11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14</w:t>
            </w:r>
          </w:p>
        </w:tc>
      </w:tr>
    </w:tbl>
    <w:p w:rsidR="00E85CF7" w:rsidRPr="00333192" w:rsidRDefault="00333192">
      <w:pPr>
        <w:pStyle w:val="a3"/>
      </w:pPr>
      <w:r>
        <w:t> </w:t>
      </w:r>
    </w:p>
    <w:p w:rsidR="00E85CF7" w:rsidRDefault="00333192">
      <w:pPr>
        <w:pStyle w:val="a3"/>
      </w:pPr>
      <w:r>
        <w:t>Таблица 2</w:t>
      </w:r>
    </w:p>
    <w:p w:rsidR="00E85CF7" w:rsidRDefault="00333192">
      <w:pPr>
        <w:pStyle w:val="a3"/>
      </w:pPr>
      <w:r>
        <w:t>Динамика радиоактивного загрязнения атмосферного воздуха на территории Брянской области в 2007-2010 гг.</w:t>
      </w:r>
    </w:p>
    <w:p w:rsidR="00E85CF7" w:rsidRDefault="00333192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120"/>
        <w:gridCol w:w="120"/>
        <w:gridCol w:w="120"/>
        <w:gridCol w:w="12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E85CF7">
        <w:trPr>
          <w:trHeight w:val="705"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E85CF7" w:rsidRPr="00333192" w:rsidRDefault="00333192">
            <w:pPr>
              <w:pStyle w:val="a3"/>
            </w:pPr>
            <w:r w:rsidRPr="00333192">
              <w:t>Метеостан</w:t>
            </w:r>
          </w:p>
          <w:p w:rsidR="00E85CF7" w:rsidRPr="00333192" w:rsidRDefault="00333192">
            <w:pPr>
              <w:pStyle w:val="a3"/>
            </w:pPr>
            <w:r w:rsidRPr="00333192">
              <w:t>ция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E85CF7" w:rsidRDefault="00333192">
            <w:r>
              <w:t>Среднемесячной плотности радиоактивных выпадений, Бк/м2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E85CF7" w:rsidRDefault="00333192">
            <w:r>
              <w:t>Среднемесячной концентрации радиоактивных веществ, Бк/м3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E85CF7" w:rsidRDefault="00333192">
            <w:r>
              <w:t>Среднегодовые уровни мощности дозы гамма- излучения, мкР/час</w:t>
            </w:r>
          </w:p>
        </w:tc>
      </w:tr>
      <w:tr w:rsidR="00E85CF7">
        <w:trPr>
          <w:trHeight w:val="24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E85CF7" w:rsidRPr="00333192" w:rsidRDefault="00E85CF7"/>
        </w:tc>
        <w:tc>
          <w:tcPr>
            <w:tcW w:w="0" w:type="auto"/>
            <w:vAlign w:val="center"/>
            <w:hideMark/>
          </w:tcPr>
          <w:p w:rsidR="00E85CF7" w:rsidRDefault="00333192">
            <w:r>
              <w:t>2007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2008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2009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2010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2007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2008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2009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2010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2007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2008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2009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2010</w:t>
            </w:r>
          </w:p>
        </w:tc>
      </w:tr>
      <w:tr w:rsidR="00E85CF7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E85CF7" w:rsidRDefault="00333192">
            <w:r>
              <w:t>Красная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0,7-1,2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0,7-1,6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0,8-1,0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0,6-1,1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5CF7" w:rsidRDefault="00333192">
            <w:r>
              <w:t>5,1 х 10-5- 19,8х10'5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5CF7" w:rsidRDefault="00333192">
            <w:r>
              <w:t>9,6 х10'5- 18,9х10-5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5CF7" w:rsidRPr="00333192" w:rsidRDefault="00333192">
            <w:pPr>
              <w:pStyle w:val="a3"/>
            </w:pPr>
            <w:r w:rsidRPr="00333192">
              <w:t>6,2х10-5-</w:t>
            </w:r>
          </w:p>
          <w:p w:rsidR="00E85CF7" w:rsidRPr="00333192" w:rsidRDefault="00333192">
            <w:pPr>
              <w:pStyle w:val="a3"/>
            </w:pPr>
            <w:r w:rsidRPr="00333192">
              <w:t>14,2х10-5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85CF7" w:rsidRPr="00333192" w:rsidRDefault="00333192">
            <w:pPr>
              <w:pStyle w:val="a3"/>
            </w:pPr>
            <w:r w:rsidRPr="00333192">
              <w:t>5,0х10-5-</w:t>
            </w:r>
          </w:p>
          <w:p w:rsidR="00E85CF7" w:rsidRPr="00333192" w:rsidRDefault="00333192">
            <w:pPr>
              <w:pStyle w:val="a3"/>
            </w:pPr>
            <w:r w:rsidRPr="00333192">
              <w:t>16,8х10-5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16-22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18-22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18-22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16-21</w:t>
            </w:r>
          </w:p>
        </w:tc>
      </w:tr>
      <w:tr w:rsidR="00E85CF7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E85CF7" w:rsidRDefault="00333192">
            <w:r>
              <w:t>Жуковка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0,7-1,6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0,9-1,4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0,7-1,7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0,6-1,4</w:t>
            </w:r>
          </w:p>
        </w:tc>
        <w:tc>
          <w:tcPr>
            <w:tcW w:w="0" w:type="auto"/>
            <w:vMerge/>
            <w:vAlign w:val="center"/>
            <w:hideMark/>
          </w:tcPr>
          <w:p w:rsidR="00E85CF7" w:rsidRDefault="00E85CF7"/>
        </w:tc>
        <w:tc>
          <w:tcPr>
            <w:tcW w:w="0" w:type="auto"/>
            <w:vMerge/>
            <w:vAlign w:val="center"/>
            <w:hideMark/>
          </w:tcPr>
          <w:p w:rsidR="00E85CF7" w:rsidRDefault="00E85CF7"/>
        </w:tc>
        <w:tc>
          <w:tcPr>
            <w:tcW w:w="0" w:type="auto"/>
            <w:vMerge/>
            <w:vAlign w:val="center"/>
            <w:hideMark/>
          </w:tcPr>
          <w:p w:rsidR="00E85CF7" w:rsidRPr="00333192" w:rsidRDefault="00E85CF7"/>
        </w:tc>
        <w:tc>
          <w:tcPr>
            <w:tcW w:w="0" w:type="auto"/>
            <w:vMerge/>
            <w:vAlign w:val="center"/>
            <w:hideMark/>
          </w:tcPr>
          <w:p w:rsidR="00E85CF7" w:rsidRPr="00333192" w:rsidRDefault="00E85CF7"/>
        </w:tc>
        <w:tc>
          <w:tcPr>
            <w:tcW w:w="0" w:type="auto"/>
            <w:vAlign w:val="center"/>
            <w:hideMark/>
          </w:tcPr>
          <w:p w:rsidR="00E85CF7" w:rsidRDefault="00333192">
            <w:r>
              <w:t>9-14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9-14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9-14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10-14</w:t>
            </w:r>
          </w:p>
        </w:tc>
      </w:tr>
      <w:tr w:rsidR="00E85CF7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E85CF7" w:rsidRDefault="00333192">
            <w:r>
              <w:t>Брянск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0,7-1,1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0,7-1,1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0,7-1,3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0,6-1,6</w:t>
            </w:r>
          </w:p>
        </w:tc>
        <w:tc>
          <w:tcPr>
            <w:tcW w:w="0" w:type="auto"/>
            <w:vMerge/>
            <w:vAlign w:val="center"/>
            <w:hideMark/>
          </w:tcPr>
          <w:p w:rsidR="00E85CF7" w:rsidRDefault="00E85CF7"/>
        </w:tc>
        <w:tc>
          <w:tcPr>
            <w:tcW w:w="0" w:type="auto"/>
            <w:vMerge/>
            <w:vAlign w:val="center"/>
            <w:hideMark/>
          </w:tcPr>
          <w:p w:rsidR="00E85CF7" w:rsidRDefault="00E85CF7"/>
        </w:tc>
        <w:tc>
          <w:tcPr>
            <w:tcW w:w="0" w:type="auto"/>
            <w:vMerge/>
            <w:vAlign w:val="center"/>
            <w:hideMark/>
          </w:tcPr>
          <w:p w:rsidR="00E85CF7" w:rsidRPr="00333192" w:rsidRDefault="00E85CF7"/>
        </w:tc>
        <w:tc>
          <w:tcPr>
            <w:tcW w:w="0" w:type="auto"/>
            <w:vMerge/>
            <w:vAlign w:val="center"/>
            <w:hideMark/>
          </w:tcPr>
          <w:p w:rsidR="00E85CF7" w:rsidRPr="00333192" w:rsidRDefault="00E85CF7"/>
        </w:tc>
        <w:tc>
          <w:tcPr>
            <w:tcW w:w="0" w:type="auto"/>
            <w:vAlign w:val="center"/>
            <w:hideMark/>
          </w:tcPr>
          <w:p w:rsidR="00E85CF7" w:rsidRDefault="00333192">
            <w:r>
              <w:t>9-14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9-14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9-14</w:t>
            </w:r>
          </w:p>
        </w:tc>
        <w:tc>
          <w:tcPr>
            <w:tcW w:w="0" w:type="auto"/>
            <w:vAlign w:val="center"/>
            <w:hideMark/>
          </w:tcPr>
          <w:p w:rsidR="00E85CF7" w:rsidRDefault="00333192">
            <w:r>
              <w:t>10-14</w:t>
            </w:r>
          </w:p>
        </w:tc>
      </w:tr>
    </w:tbl>
    <w:p w:rsidR="00E85CF7" w:rsidRPr="00333192" w:rsidRDefault="00333192">
      <w:pPr>
        <w:pStyle w:val="a3"/>
      </w:pPr>
      <w:r>
        <w:t> </w:t>
      </w:r>
    </w:p>
    <w:p w:rsidR="00E85CF7" w:rsidRDefault="00333192">
      <w:pPr>
        <w:pStyle w:val="a3"/>
      </w:pPr>
      <w:r>
        <w:t>ем-90 составляет 0,7-1,0 Ки/км2, трансурановыми радионуклидами - не превышает 0,01 Ки/км2 по плутонию-239, 0,015 Ки/км2 - по плутонию-238 и по америцию-241 [3].</w:t>
      </w:r>
    </w:p>
    <w:p w:rsidR="00E85CF7" w:rsidRDefault="00333192">
      <w:pPr>
        <w:pStyle w:val="a3"/>
      </w:pPr>
      <w:r>
        <w:t>Для анализа радиационных показателей окружающей среды нами были выбраны 4 населенных пункта, расположенных в зонах с различным уровнем радиоактивного загрязнения территории, где Брянским центром по гидрометеорологии и мониторингу окружающей среды ведется постоянный мониторинг (с. Ущерпье и с. Мартьяновка Клин- цовского района, пгт. Красная Гора Красногорского района, с. Творишино Гордеевского района). В настоящее время радиационная обстановка на загрязненных территориях стабилизировалась (таблицы 1, 2). Однако вследствие ветрового подъема пыли с загрязненной почвы и хозяйственной деятельности населения до сих пор наблюдается некоторое повышенное содержание радионуклидов в воздухе и в атмосферных выпадениях по сравнению с доаварийным уровнем.</w:t>
      </w:r>
    </w:p>
    <w:p w:rsidR="00E85CF7" w:rsidRDefault="00333192">
      <w:pPr>
        <w:pStyle w:val="a3"/>
      </w:pPr>
      <w:r>
        <w:t>В 2007-2010 гг. радиационные показатели окружающей среды на территории Брянской области были близки к фоновым значениям и не достигали высоких или экстремально высоких уровней. Однако санитарно-экологическая обстановка усугубляется и общим техногенным загрязнением территории. В области широко развита черная металлургия, машиностроение, химическая и деревообрабатывающая промышленность. Значительный вклад в загрязнение окружающей среды вносить транспорт. Поэтому вся область, в зависимости от преобладающего вида загрязнения, разделена на территории химического, радиоактивно-химического, радиоактивного загрязнения и относительно чистые районы [5]. Радиоактивное загрязнение в сочетании с химическим усилили риск возникновения среди населения злокачественных новообразований (рис. 1).</w:t>
      </w:r>
    </w:p>
    <w:p w:rsidR="00E85CF7" w:rsidRDefault="00333192">
      <w:pPr>
        <w:pStyle w:val="a3"/>
      </w:pPr>
      <w:r>
        <w:t>Тем не менее, среди населения районов радиоактивного и радиоактивно-химического загрязнения (Гордеевский, Злынковский, Климовский, Красногорский, Клинцовский, Новозыбковский и Стародубский) по ряду болезней наблюдается значительное превышение заболеваемостью злокачественными новообразованиями.</w:t>
      </w:r>
    </w:p>
    <w:p w:rsidR="00E85CF7" w:rsidRDefault="00333192">
      <w:pPr>
        <w:pStyle w:val="a3"/>
      </w:pPr>
      <w:r>
        <w:t>Наблюдается устойчивая тенденция роста злокачественных новообразований щитовидной и молочной железы, кожи. Стабильной остается заболеваемость желудка, трахеи, бронхов и легкого (рис. 2).</w:t>
      </w:r>
    </w:p>
    <w:p w:rsidR="00E85CF7" w:rsidRDefault="002763A4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38pt;height:509.25pt">
            <v:imagedata r:id="rId4" o:title=""/>
          </v:shape>
        </w:pict>
      </w:r>
    </w:p>
    <w:p w:rsidR="00E85CF7" w:rsidRDefault="00333192">
      <w:pPr>
        <w:pStyle w:val="a3"/>
      </w:pPr>
      <w:r>
        <w:t>Рис. 1. Заболеваемость населения Брянской области злокачественными новобразованиями (2006-2010 гг.)</w:t>
      </w:r>
    </w:p>
    <w:p w:rsidR="00E85CF7" w:rsidRDefault="002763A4">
      <w:pPr>
        <w:pStyle w:val="a3"/>
      </w:pPr>
      <w:r>
        <w:rPr>
          <w:noProof/>
        </w:rPr>
        <w:pict>
          <v:shape id="_x0000_i1031" type="#_x0000_t75" style="width:478.5pt;height:420pt">
            <v:imagedata r:id="rId5" o:title=""/>
          </v:shape>
        </w:pict>
      </w:r>
    </w:p>
    <w:p w:rsidR="00E85CF7" w:rsidRDefault="00333192">
      <w:pPr>
        <w:pStyle w:val="a3"/>
      </w:pPr>
      <w:r>
        <w:t>Рис. 2. Динамика злокачественных новообразований (2006-2010 гг.)</w:t>
      </w:r>
    </w:p>
    <w:p w:rsidR="00E85CF7" w:rsidRDefault="00333192">
      <w:pPr>
        <w:pStyle w:val="a3"/>
      </w:pPr>
      <w:r>
        <w:t>Сравнительный анализ заболеваемости населения злокачественными новообразованиями югозападных районов Брянской области, подвергшихся радиоактивному загрязнению, показывает рост и превышение уровней заболеваемости над среднеобластными показателями и уровнями заболеваемости в относительно чистых районах. Однако в сравнении с районами химического и радиоактивно-химического загрязнения окружающей среды эти показатели несколько ниже.</w:t>
      </w:r>
    </w:p>
    <w:p w:rsidR="00E85CF7" w:rsidRDefault="00333192">
      <w:pPr>
        <w:pStyle w:val="a3"/>
      </w:pPr>
      <w:r>
        <w:t>Список литературы</w:t>
      </w:r>
    </w:p>
    <w:p w:rsidR="00E85CF7" w:rsidRDefault="00333192">
      <w:pPr>
        <w:pStyle w:val="a3"/>
      </w:pPr>
      <w:r>
        <w:t>Василенко О. И. Радиационная экология / О. И. Василенко. - М. : Медицина, 2004. - 216 с.</w:t>
      </w:r>
    </w:p>
    <w:p w:rsidR="00E85CF7" w:rsidRDefault="00333192">
      <w:pPr>
        <w:pStyle w:val="a3"/>
      </w:pPr>
      <w:r>
        <w:t>Василенко О. И. Радионуклидное загрязнение окружающей среды и здоровье населения / О. И. Василенко. - М. : Медицина, 2004. - 400 с.</w:t>
      </w:r>
    </w:p>
    <w:p w:rsidR="00E85CF7" w:rsidRDefault="00333192">
      <w:pPr>
        <w:pStyle w:val="a3"/>
      </w:pPr>
      <w:r>
        <w:t>Государственный доклад «О состоянии окружающей природной среды Брянской области в 2008 году» // Комитет природопользования и охраны окружающей среды, лицензирования отдельных видов деятельности Брянской области / сост. : С. А. Ахременко [и др.]. - Брянск, 2009. - 306 с.</w:t>
      </w:r>
    </w:p>
    <w:p w:rsidR="00E85CF7" w:rsidRDefault="00333192">
      <w:pPr>
        <w:pStyle w:val="a3"/>
      </w:pPr>
      <w:r>
        <w:t>Вид загрязнения: Х - химическое; РХ - радиоактивно-химическое; Р - радиоактивное; Ч - чистые районы</w:t>
      </w:r>
    </w:p>
    <w:p w:rsidR="00E85CF7" w:rsidRDefault="00333192">
      <w:pPr>
        <w:pStyle w:val="a3"/>
      </w:pPr>
      <w:r>
        <w:t>Дубовой И. И. Здоровье население и здравоохранение экологически неблагоприятного района (Брянская область) / И. И. Дубовой. - Брянск : Дебрянск, 1999. - 126 с.</w:t>
      </w:r>
      <w:bookmarkStart w:id="0" w:name="_GoBack"/>
      <w:bookmarkEnd w:id="0"/>
    </w:p>
    <w:sectPr w:rsidR="00E85C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3192"/>
    <w:rsid w:val="002763A4"/>
    <w:rsid w:val="00333192"/>
    <w:rsid w:val="00E8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5793A54F-A632-4138-812A-CA52BB3C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1120</Words>
  <Characters>6387</Characters>
  <Application>Microsoft Office Word</Application>
  <DocSecurity>0</DocSecurity>
  <Lines>53</Lines>
  <Paragraphs>14</Paragraphs>
  <ScaleCrop>false</ScaleCrop>
  <Company>diakov.net</Company>
  <LinksUpToDate>false</LinksUpToDate>
  <CharactersWithSpaces>7493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Радиоактивное загрязнение территории Брянской области и состояние здоровья населения</dc:title>
  <dc:subject/>
  <dc:creator>Irina</dc:creator>
  <cp:keywords/>
  <dc:description/>
  <cp:lastModifiedBy>Irina</cp:lastModifiedBy>
  <cp:revision>2</cp:revision>
  <dcterms:created xsi:type="dcterms:W3CDTF">2014-08-02T18:47:00Z</dcterms:created>
  <dcterms:modified xsi:type="dcterms:W3CDTF">2014-08-02T18:47:00Z</dcterms:modified>
</cp:coreProperties>
</file>