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  <w:r w:rsidRPr="00AD312F">
        <w:rPr>
          <w:szCs w:val="28"/>
          <w:lang w:val="uk-UA"/>
        </w:rPr>
        <w:t>Міністерство освіти і науки України</w:t>
      </w:r>
    </w:p>
    <w:p w:rsidR="00B84E1E" w:rsidRPr="00AD312F" w:rsidRDefault="00B84E1E" w:rsidP="00AD312F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D312F">
        <w:rPr>
          <w:rFonts w:ascii="Times New Roman" w:hAnsi="Times New Roman"/>
          <w:sz w:val="28"/>
          <w:szCs w:val="28"/>
          <w:lang w:eastAsia="ru-RU"/>
        </w:rPr>
        <w:t>Київський технікум готельного господарства</w:t>
      </w: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  <w:r w:rsidRPr="00AD312F">
        <w:rPr>
          <w:szCs w:val="28"/>
          <w:lang w:val="uk-UA"/>
        </w:rPr>
        <w:t>Реферат на тему:</w:t>
      </w:r>
    </w:p>
    <w:p w:rsidR="00AD312F" w:rsidRPr="00AD312F" w:rsidRDefault="00AD312F" w:rsidP="00AD312F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AD312F">
        <w:rPr>
          <w:rFonts w:ascii="Times New Roman" w:hAnsi="Times New Roman"/>
          <w:sz w:val="28"/>
          <w:szCs w:val="28"/>
          <w:lang w:val="ru-RU" w:eastAsia="ru-RU"/>
        </w:rPr>
        <w:t>Організація охорони праці на виробництві</w:t>
      </w:r>
    </w:p>
    <w:p w:rsidR="00B84E1E" w:rsidRPr="00AD312F" w:rsidRDefault="00B84E1E" w:rsidP="00AD312F">
      <w:pPr>
        <w:widowControl w:val="0"/>
        <w:spacing w:after="0" w:line="360" w:lineRule="auto"/>
        <w:jc w:val="center"/>
        <w:rPr>
          <w:rFonts w:ascii="Times New Roman" w:hAnsi="Times New Roman"/>
          <w:snapToGrid w:val="0"/>
          <w:kern w:val="28"/>
          <w:sz w:val="28"/>
          <w:szCs w:val="28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right"/>
        <w:rPr>
          <w:szCs w:val="28"/>
          <w:lang w:val="uk-UA"/>
        </w:rPr>
      </w:pPr>
      <w:r w:rsidRPr="00AD312F">
        <w:rPr>
          <w:szCs w:val="28"/>
          <w:lang w:val="uk-UA"/>
        </w:rPr>
        <w:t>Виконав:</w:t>
      </w:r>
    </w:p>
    <w:p w:rsidR="00B84E1E" w:rsidRPr="00AD312F" w:rsidRDefault="00B84E1E" w:rsidP="00AD312F">
      <w:pPr>
        <w:pStyle w:val="1"/>
        <w:ind w:firstLine="0"/>
        <w:jc w:val="right"/>
        <w:rPr>
          <w:szCs w:val="28"/>
          <w:lang w:val="uk-UA"/>
        </w:rPr>
      </w:pPr>
      <w:r w:rsidRPr="00AD312F">
        <w:rPr>
          <w:szCs w:val="28"/>
          <w:lang w:val="uk-UA"/>
        </w:rPr>
        <w:t>Студент групи ТКД–22</w:t>
      </w:r>
    </w:p>
    <w:p w:rsidR="00B84E1E" w:rsidRPr="00AD312F" w:rsidRDefault="00B84E1E" w:rsidP="00AD312F">
      <w:pPr>
        <w:pStyle w:val="1"/>
        <w:ind w:firstLine="0"/>
        <w:jc w:val="right"/>
        <w:rPr>
          <w:szCs w:val="28"/>
          <w:lang w:val="uk-UA"/>
        </w:rPr>
      </w:pPr>
      <w:r w:rsidRPr="00AD312F">
        <w:rPr>
          <w:szCs w:val="28"/>
          <w:lang w:val="uk-UA"/>
        </w:rPr>
        <w:t>Бовт Руслан</w:t>
      </w: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AD312F" w:rsidRDefault="00AD312F" w:rsidP="00AD312F">
      <w:pPr>
        <w:pStyle w:val="1"/>
        <w:ind w:firstLine="0"/>
        <w:jc w:val="center"/>
        <w:rPr>
          <w:szCs w:val="28"/>
          <w:lang w:val="uk-UA"/>
        </w:rPr>
      </w:pPr>
    </w:p>
    <w:p w:rsidR="00B84E1E" w:rsidRPr="00AD312F" w:rsidRDefault="00B84E1E" w:rsidP="00AD312F">
      <w:pPr>
        <w:pStyle w:val="1"/>
        <w:ind w:firstLine="0"/>
        <w:jc w:val="center"/>
        <w:rPr>
          <w:szCs w:val="28"/>
          <w:lang w:val="uk-UA"/>
        </w:rPr>
      </w:pPr>
      <w:r w:rsidRPr="00AD312F">
        <w:rPr>
          <w:szCs w:val="28"/>
          <w:lang w:val="uk-UA"/>
        </w:rPr>
        <w:t>Київ 2010</w:t>
      </w:r>
    </w:p>
    <w:p w:rsidR="00AD312F" w:rsidRDefault="00AD312F">
      <w:pPr>
        <w:rPr>
          <w:rFonts w:ascii="Times New Roman" w:hAnsi="Times New Roman"/>
          <w:snapToGrid w:val="0"/>
          <w:kern w:val="28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Створення цілком безпечних та здорових умов праці є одним з найважливіших завдань, що стоять перед державою. Виконання цього завдання нерозривно пов’язано з удосконаленням методів управління охороною праці на виробництві.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 умовах ринку в роботі підприємств з охорони праці великого значення набувають такі фактори: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економічна зацікавленість власника (керівника) в одержанні максимального прибутку, зменшенні витрат на штрафні санкції, ремонт пошкодженого устаткування, відшкодування шкоди потерпілим;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необхідність постійного підвищення якості і конкурентоздатності продукції, що можливо лише за сприятливих і безпечних умов 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моральна і юридична відповідальність власника за нещасні випадки і відшкодування збитків потерпілим та їхнім сім’ям;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моральна відповідальність власника перед трудовим колективом за створення гуманних умов 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необхідність зміцнювати позиції підприємства на ринку серед вітчизняних і зарубіжних конкурентів;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необхідність підносити продуктивність праці й віддачу кожної затраченої людино-години, збільшувати відсоток прибутку по відношенню до вкладених інвестицій, підвищувати ефективність використання людських, матеріальних і фінансових ресурсів;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 досягнення перспективних цілей підприємства, що неможливо без підвищення рівня охорони праці.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 xml:space="preserve">Названі фактори чинять певний моральний і матеріальний тиск на власника підприємства, що змушує його постійно і систематично займатися питанням охорони праці. Однак цей тиск, як і приписи державних інспекцій та численні нормативні акти, самі по собі не дадуть ефекту, якщо власник не буде озброєний механізмом зменшення рівня виробничого ризику, тобто науково-обґрунтованою </w:t>
      </w:r>
      <w:r w:rsidRPr="00AD312F">
        <w:rPr>
          <w:b/>
          <w:szCs w:val="28"/>
          <w:lang w:val="uk-UA"/>
        </w:rPr>
        <w:t>системою управління охороною праці (СУОП) на підприємстві</w:t>
      </w:r>
      <w:r w:rsidRPr="00AD312F">
        <w:rPr>
          <w:szCs w:val="28"/>
          <w:lang w:val="uk-UA"/>
        </w:rPr>
        <w:t>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Управління охороною праці на підприємстві є складовою частиною, підсистемою загальної системи управління підприємства, бо лише за високого рівня охорони праці може бути забезпечене ефективне виконання завдань, що стоять перед підприємством, і досягнення високих економічних результатів.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Управління являє собою сукупність дій, спрямованих на підтримання та поліпшення функціонування об’єкта відповідно до існуючої програми чи мети функціонування.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 процесі управління орган управління отримує певну інформацію про стан об’єкта управління та стан навколишнього середовища, в якому він перебуває. На основі цієї інформації виробляється рішення, за яким здійснюється вплив на об’єкт управління.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Метою управління охороною праці є забезпечення безпеки, збереження здоров’я та працездатності людини під час трудової діяльності. Мета управління може бути досягнута шляхом виконання певних функцій управління. Функція управління — це комплекс взаємопов’язаних видів діяльності, що здійснюються суб’єктом управління при цілеспрямованому впливі на об’єкт управління. Управління охороною праці забезпечує виконання таких функцій: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1.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координація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2.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Аналіз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оцінка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3.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Планування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4.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Стимулювання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високого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рівня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5.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Контроль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</w:p>
    <w:p w:rsidR="00B84E1E" w:rsidRPr="00AD312F" w:rsidRDefault="00B84E1E" w:rsidP="00AD312F">
      <w:pPr>
        <w:pStyle w:val="1"/>
        <w:rPr>
          <w:b/>
          <w:szCs w:val="28"/>
          <w:lang w:val="uk-UA"/>
        </w:rPr>
      </w:pPr>
      <w:r w:rsidRPr="00AD312F">
        <w:rPr>
          <w:b/>
          <w:szCs w:val="28"/>
          <w:lang w:val="uk-UA"/>
        </w:rPr>
        <w:t>Потрібно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зазначити,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що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управління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охороною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праці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має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включати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виконання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таких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основних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завдань: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навчання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пропаганда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питань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обладнання;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процесів;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будівель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споруд;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нормалізація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санітарно-гігієнічних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індивідуального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захисту;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оптимальних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режимів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відпочинку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організація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лікувально-профілактичного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обслуговування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санітарно-побутове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обслуговування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професійний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відбір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певними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спеціальностями.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методологічних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позицій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підходу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визначається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перелік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склад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(завдань)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їх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безпосередньому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зв’язку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функціональними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підсистемами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встановленням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локальних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цілей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критеріїв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ефективності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кожною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функцією.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Особливу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увагу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слід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звернути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принципи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підприємстві.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Система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(СУОП)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конкретного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повинна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розроблятися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урахуванням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особливостей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вписуватися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існуючу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структуру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схему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цілому,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(суб’єкти)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діяльністю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одночасно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(суб’єктами)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Зокрема,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суб’єктами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відповідні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служби,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відділи,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посадові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особи</w:t>
      </w:r>
      <w:r w:rsidR="00AD312F">
        <w:rPr>
          <w:szCs w:val="28"/>
          <w:lang w:val="uk-UA"/>
        </w:rPr>
        <w:t>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СУОП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може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побудована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ієрархічною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трирівневою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схемою,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цьому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здійснюється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всіх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рівнях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стадіях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циклу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(трудової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працівників):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стадії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підготовки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ході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після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завершення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нормального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непланових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нестандартних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(надзвичайних)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ситуацій.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СУОП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повинна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закладена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економіко-цільова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спрямованість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комплексний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підхід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розв’язання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проблем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виражається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чіткому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формулюванні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цільових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бажаного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результату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розробці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економічного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механізму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способу,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забезпечує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досягнення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поставленої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мети.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включає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ряду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функцій.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цільове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галузі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може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сформульоване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необхідність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створення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передумов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формування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території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професійно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екологічно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чистого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простору.</w:t>
      </w:r>
    </w:p>
    <w:p w:rsidR="00B84E1E" w:rsidRPr="00AD312F" w:rsidRDefault="00B84E1E" w:rsidP="00AD312F">
      <w:pPr>
        <w:pStyle w:val="1"/>
        <w:rPr>
          <w:b/>
          <w:szCs w:val="28"/>
          <w:lang w:val="uk-UA"/>
        </w:rPr>
      </w:pPr>
      <w:r w:rsidRPr="00AD312F">
        <w:rPr>
          <w:b/>
          <w:szCs w:val="28"/>
          <w:lang w:val="uk-UA"/>
        </w:rPr>
        <w:t>Комплексний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підхід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до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розв’язання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проблем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у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галузі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охорони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праці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реалізується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на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основі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принципів: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спрямованості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реалізацію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цільових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завдань;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безумовного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пріоритету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професійної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екологічної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категорій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господарської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діяльності,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підкріпленої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фінансовими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матеріальними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ресурсами;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принципу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ненульового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ризику,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тобто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усвідомлення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необхідності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підготовки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випадок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нестандартної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(надзвичайної)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ситуації;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соціальної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економіко-цільової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оцінки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наслідків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припустимих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рішень,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приймаються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прогнозування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ризику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усунення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джерел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потенційної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небезпеки;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достовірності,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повноти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оперативності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зовнішньої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внутрішньої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інформації,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доведення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її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кінцевої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ланки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всього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управлінського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ланцюга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вертикалі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горизонталі;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експрес-реагування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інформацію,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надходить: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оперативна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оцінка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аналіз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ситуації,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вироблення,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прийняття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управлінських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рішень,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спрямованих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усунення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професійної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екологічної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небезпеки,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причин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її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виникнення;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безперервності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навчання,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забезпечує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достатню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професійну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компетентність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менеджерів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галузі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інженерної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екології;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безперервності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контролю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(нагляду)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дотриманням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вимог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ділянках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місцях;</w:t>
      </w:r>
    </w:p>
    <w:p w:rsidR="00B84E1E" w:rsidRPr="00AD312F" w:rsidRDefault="00B84E1E" w:rsidP="00AD312F">
      <w:pPr>
        <w:pStyle w:val="1"/>
        <w:rPr>
          <w:b/>
          <w:szCs w:val="28"/>
          <w:lang w:val="uk-UA"/>
        </w:rPr>
      </w:pPr>
      <w:r w:rsidRPr="00AD312F">
        <w:rPr>
          <w:b/>
          <w:szCs w:val="28"/>
          <w:lang w:val="uk-UA"/>
        </w:rPr>
        <w:t>Серед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основних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найважливіших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функцій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СУОП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на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підприємстві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потрібно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виділити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такі: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організація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координація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галузі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планування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прогнозування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ризику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(ступеня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небезпеки);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кадрове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професійне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проектно-конструкторське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технологічне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технічне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енергетичне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експлуатації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гідротехнічних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інженерних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споруд;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матеріально-технічне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метрологічне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нормалізація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санітарно-гігієнічних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лікувально-профілактичне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соціальне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правове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інформаційне,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нормативно-методичне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довідкове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економіко-цільове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регулювання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мотивація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контроль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облік,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аналіз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оцінка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показників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СУОП.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Реалізацію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всіх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функцій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повинні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здійснювати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відповідні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служби.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b/>
          <w:szCs w:val="28"/>
          <w:lang w:val="uk-UA"/>
        </w:rPr>
        <w:t>Поточний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контроль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проводиться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початку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процесі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Полягає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перевірці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готовності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виконавців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трудової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діяльності.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здійснюється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керівниками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дільниць,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організаторами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виконавцями.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b/>
          <w:szCs w:val="28"/>
          <w:lang w:val="uk-UA"/>
        </w:rPr>
        <w:t>Оперативний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контроль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проводиться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протягом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другого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тижня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кожного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місяця.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полягає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перевірці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організаційно-технічного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b/>
          <w:szCs w:val="28"/>
          <w:lang w:val="uk-UA"/>
        </w:rPr>
        <w:t>Періодичний</w:t>
      </w:r>
      <w:r w:rsidR="00AD312F">
        <w:rPr>
          <w:b/>
          <w:szCs w:val="28"/>
          <w:lang w:val="uk-UA"/>
        </w:rPr>
        <w:t xml:space="preserve"> </w:t>
      </w:r>
      <w:r w:rsidRPr="00AD312F">
        <w:rPr>
          <w:b/>
          <w:szCs w:val="28"/>
          <w:lang w:val="uk-UA"/>
        </w:rPr>
        <w:t>контроль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проводиться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протягом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четвертого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тижня,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полягає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перевірці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управлінського,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організаційного,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технічного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відповідність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вимогам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Під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час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впроваджується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техніка,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прогресивніша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технологія,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механізації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автоматизації,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здійснюються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одночасно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підвищенням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ефективності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продуктивності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поліпшують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(інакше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може).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Проте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переписувати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договору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цільові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фінансуванням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рахунок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фонду)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буде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неправильно.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Взаємозв’язок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таких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договором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може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бути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лише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тому,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власник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покладає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себе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обов’язок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досягти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кінцевого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результату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завдяки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заходам,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наприклад: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зниження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вимог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рівня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запиленості,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загазованості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повітря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робочої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зони,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усунення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шкідливих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чинників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конкретному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вивільнення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важких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змін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відповідності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спільних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рекомендацій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державних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органів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профспілок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виділяються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можуть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вважатися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цільовими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виконуватися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рахунок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фонду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праці: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розробка,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виготовлення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встановлення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нових,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ефективніших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інженерно-технічних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(огороджень,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сигналізації,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контролю,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запобіжних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пристроїв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тощо);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реконструкція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природного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штучного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освітлення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досягнення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вимог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освітленості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місць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діючого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розробка,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виготовлення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монтаж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нових,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реконструкція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наявних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вентиляційних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пристроїв,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установок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кондиціонування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повітря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приміщеннях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діючого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також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кабінах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металургійним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устаткуванням,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мостовими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кранами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ливарних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цехів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здійснення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конструктивних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рішень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забезпечують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діючому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устаткуванні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виключення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або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зниження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регламентованих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рівнів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шуму,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вібрації,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шкідливих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випромінювань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факторів;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впровадження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устаткування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пристроїв,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забезпечують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застосування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напруги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12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приміщеннях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особливо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42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приміщеннях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підвищеною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небезпекою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враження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електричним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струмом;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введення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електроустаткування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пристроїв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контролю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ізоляції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сигналізації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або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відключення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електричного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живлення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випадках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пошкодження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цієї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ізоляції;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застосування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сигнальних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кольорів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знаків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відповідно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правил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стандартів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безпеки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обладнання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механізмів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пристроїв,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забезпечують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зручне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висоті,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наприклад,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ремонту,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скління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вікон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ліхтарів,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очищення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скла,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обслуговування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освітлювальної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арматури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заходи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усунення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безпосереднього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контакту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шкідливими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речовинами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матеріалами,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виводу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людей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небезпечних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зон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(наприклад,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шляхом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запровадження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механізації,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дистанційного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управління,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надійнішої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герметизації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устаткування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тощо);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реконструкція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діючих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опалення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доведення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температурного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режиму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встановлених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нормативів;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впровадження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більш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нешкідливих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транспортування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різних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вантажів,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сировини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матеріалів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заміну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ручним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трудомістким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операціям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(наприклад,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пневмотранспорту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сипучих,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пилових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матеріалів,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трубопровідних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систем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перепомпування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кислот,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лугів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місць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їх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застосування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тощо);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виготовлення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спеціальних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майданчиків,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сходів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засобів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для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безпечного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робіт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ручного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зачалювання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контейнерів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пакетових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вантажів,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відкривання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люків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залізничних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напіввагонів,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обслуговування</w:t>
      </w:r>
      <w:r w:rsidR="00AD312F">
        <w:rPr>
          <w:szCs w:val="28"/>
          <w:lang w:val="uk-UA"/>
        </w:rPr>
        <w:t xml:space="preserve"> </w:t>
      </w:r>
      <w:r w:rsidR="00AD312F" w:rsidRPr="00AD312F">
        <w:rPr>
          <w:szCs w:val="28"/>
          <w:lang w:val="uk-UA"/>
        </w:rPr>
        <w:t>запірної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арматури,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розташованої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висоті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тощо;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заходи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розширення,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реконструкції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санітарно-побутових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приміщень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доведення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забезпеченості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ними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працюючих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чинних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норм,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додаткове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обладнання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приміщень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сучасним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інвентарем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пристроями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тощо.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Розглядаючи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всі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заходи,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слід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чітко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уявити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кінцеву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мету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конкретної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погоджуватися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включенням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договору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фінансуванням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її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фонду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лише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тоді,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робота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дозволяє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умовах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діючого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виробництва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досягти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більш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високого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рівня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відносно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теперішнього.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Кожен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підприємства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зобов’язаний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виконувати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положення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угоди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питань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які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стосуються.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Законом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«Про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праці»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передбачено,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допомогою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колективної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угоди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необхідно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вирішувати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низку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інших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важливих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питань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соціального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характеру.</w:t>
      </w:r>
    </w:p>
    <w:p w:rsidR="00B84E1E" w:rsidRPr="00AD312F" w:rsidRDefault="00B84E1E" w:rsidP="00AD312F">
      <w:pPr>
        <w:pStyle w:val="1"/>
        <w:rPr>
          <w:szCs w:val="28"/>
          <w:lang w:val="uk-UA"/>
        </w:rPr>
      </w:pPr>
      <w:r w:rsidRPr="00AD312F">
        <w:rPr>
          <w:szCs w:val="28"/>
          <w:lang w:val="uk-UA"/>
        </w:rPr>
        <w:t>До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трудових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договорів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забороняється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включати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умови,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що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погіршують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порівняно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чинним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законодавством,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колективною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угодою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становище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працівників.</w:t>
      </w:r>
    </w:p>
    <w:p w:rsidR="00B84E1E" w:rsidRPr="00AD312F" w:rsidRDefault="00B84E1E" w:rsidP="00AD312F">
      <w:pPr>
        <w:pStyle w:val="1"/>
        <w:rPr>
          <w:szCs w:val="28"/>
        </w:rPr>
      </w:pPr>
      <w:r w:rsidRPr="00AD312F">
        <w:rPr>
          <w:szCs w:val="28"/>
        </w:rPr>
        <w:t>Таким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чином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можна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зробити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висновок,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що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управління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охороною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праці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на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підприємстві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має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відповідати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певним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факторам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і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трудовим</w:t>
      </w:r>
      <w:r w:rsidR="00AD312F">
        <w:rPr>
          <w:szCs w:val="28"/>
        </w:rPr>
        <w:t xml:space="preserve"> </w:t>
      </w:r>
      <w:r w:rsidRPr="00AD312F">
        <w:rPr>
          <w:szCs w:val="28"/>
        </w:rPr>
        <w:t>договорам..</w:t>
      </w:r>
    </w:p>
    <w:p w:rsidR="00AD312F" w:rsidRDefault="00AD312F">
      <w:pPr>
        <w:rPr>
          <w:rFonts w:ascii="Times New Roman" w:hAnsi="Times New Roman"/>
          <w:snapToGrid w:val="0"/>
          <w:kern w:val="28"/>
          <w:sz w:val="28"/>
          <w:szCs w:val="28"/>
        </w:rPr>
      </w:pPr>
      <w:r>
        <w:rPr>
          <w:rFonts w:ascii="Times New Roman" w:hAnsi="Times New Roman"/>
          <w:snapToGrid w:val="0"/>
          <w:kern w:val="28"/>
          <w:sz w:val="28"/>
          <w:szCs w:val="28"/>
        </w:rPr>
        <w:br w:type="page"/>
      </w:r>
    </w:p>
    <w:p w:rsidR="00B84E1E" w:rsidRPr="00AD312F" w:rsidRDefault="00B84E1E" w:rsidP="00AD312F">
      <w:pPr>
        <w:pStyle w:val="1"/>
        <w:rPr>
          <w:b/>
          <w:szCs w:val="28"/>
          <w:lang w:val="uk-UA"/>
        </w:rPr>
      </w:pPr>
      <w:r w:rsidRPr="00AD312F">
        <w:rPr>
          <w:b/>
          <w:szCs w:val="28"/>
          <w:lang w:val="uk-UA"/>
        </w:rPr>
        <w:t>Література</w:t>
      </w:r>
    </w:p>
    <w:p w:rsidR="00AD312F" w:rsidRDefault="00AD312F" w:rsidP="00AD312F">
      <w:pPr>
        <w:pStyle w:val="1"/>
        <w:snapToGrid w:val="0"/>
        <w:ind w:left="709" w:firstLine="0"/>
        <w:rPr>
          <w:szCs w:val="28"/>
          <w:lang w:val="uk-UA"/>
        </w:rPr>
      </w:pPr>
    </w:p>
    <w:p w:rsidR="00B84E1E" w:rsidRPr="00AD312F" w:rsidRDefault="00B84E1E" w:rsidP="00AD312F">
      <w:pPr>
        <w:pStyle w:val="1"/>
        <w:numPr>
          <w:ilvl w:val="0"/>
          <w:numId w:val="1"/>
        </w:numPr>
        <w:tabs>
          <w:tab w:val="left" w:pos="284"/>
        </w:tabs>
        <w:snapToGrid w:val="0"/>
        <w:ind w:left="0" w:firstLine="0"/>
        <w:rPr>
          <w:szCs w:val="28"/>
          <w:lang w:val="uk-UA"/>
        </w:rPr>
      </w:pPr>
      <w:r w:rsidRPr="00AD312F">
        <w:rPr>
          <w:szCs w:val="28"/>
          <w:lang w:val="uk-UA"/>
        </w:rPr>
        <w:t>Безопасность.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Учебное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пособие.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М.,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1995.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Навч.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Посібник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</w:rPr>
        <w:t>/</w:t>
      </w:r>
      <w:r w:rsidR="00AD312F">
        <w:rPr>
          <w:szCs w:val="28"/>
        </w:rPr>
        <w:t xml:space="preserve"> </w:t>
      </w:r>
      <w:r w:rsidRPr="00AD312F">
        <w:rPr>
          <w:szCs w:val="28"/>
          <w:lang w:val="uk-UA"/>
        </w:rPr>
        <w:t>За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ред..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Кучерявого.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–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Львів: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Оріяна-Нова,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2007.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–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368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с.</w:t>
      </w:r>
    </w:p>
    <w:p w:rsidR="00B84E1E" w:rsidRPr="00AD312F" w:rsidRDefault="00B84E1E" w:rsidP="00AD312F">
      <w:pPr>
        <w:pStyle w:val="1"/>
        <w:numPr>
          <w:ilvl w:val="0"/>
          <w:numId w:val="1"/>
        </w:numPr>
        <w:tabs>
          <w:tab w:val="left" w:pos="284"/>
        </w:tabs>
        <w:snapToGrid w:val="0"/>
        <w:ind w:left="0" w:firstLine="0"/>
        <w:rPr>
          <w:szCs w:val="28"/>
          <w:lang w:val="uk-UA"/>
        </w:rPr>
      </w:pPr>
      <w:r w:rsidRPr="00AD312F">
        <w:rPr>
          <w:szCs w:val="28"/>
          <w:lang w:val="uk-UA"/>
        </w:rPr>
        <w:t>Безопасность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жизнедеятельности.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Учебное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пособие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/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Под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ред.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Э.А.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Арустамова.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М.: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Маркетинг,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1999.</w:t>
      </w:r>
    </w:p>
    <w:p w:rsidR="00B84E1E" w:rsidRPr="00AD312F" w:rsidRDefault="00B84E1E" w:rsidP="00AD312F">
      <w:pPr>
        <w:pStyle w:val="1"/>
        <w:numPr>
          <w:ilvl w:val="0"/>
          <w:numId w:val="1"/>
        </w:numPr>
        <w:tabs>
          <w:tab w:val="left" w:pos="284"/>
        </w:tabs>
        <w:snapToGrid w:val="0"/>
        <w:ind w:left="0" w:firstLine="0"/>
        <w:rPr>
          <w:szCs w:val="28"/>
          <w:lang w:val="uk-UA"/>
        </w:rPr>
      </w:pPr>
      <w:r w:rsidRPr="00AD312F">
        <w:rPr>
          <w:szCs w:val="28"/>
          <w:lang w:val="uk-UA"/>
        </w:rPr>
        <w:t>Васильчук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М.В.,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Вінокурова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Л.Е.,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Тесленко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М.Я.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К.: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Просвіта,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1997.</w:t>
      </w:r>
    </w:p>
    <w:p w:rsidR="00B84E1E" w:rsidRPr="00AD312F" w:rsidRDefault="00B84E1E" w:rsidP="00AD312F">
      <w:pPr>
        <w:pStyle w:val="1"/>
        <w:numPr>
          <w:ilvl w:val="0"/>
          <w:numId w:val="1"/>
        </w:numPr>
        <w:tabs>
          <w:tab w:val="left" w:pos="284"/>
        </w:tabs>
        <w:snapToGrid w:val="0"/>
        <w:ind w:left="0" w:firstLine="0"/>
        <w:rPr>
          <w:szCs w:val="28"/>
          <w:lang w:val="uk-UA"/>
        </w:rPr>
      </w:pPr>
      <w:r w:rsidRPr="00AD312F">
        <w:rPr>
          <w:szCs w:val="28"/>
          <w:lang w:val="uk-UA"/>
        </w:rPr>
        <w:t>Денисенко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Г.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Ф.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Охрана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труда.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М.: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Высшая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школа,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1985.</w:t>
      </w:r>
    </w:p>
    <w:p w:rsidR="00B84E1E" w:rsidRPr="00AD312F" w:rsidRDefault="00B84E1E" w:rsidP="00AD312F">
      <w:pPr>
        <w:pStyle w:val="1"/>
        <w:numPr>
          <w:ilvl w:val="0"/>
          <w:numId w:val="1"/>
        </w:numPr>
        <w:tabs>
          <w:tab w:val="left" w:pos="284"/>
        </w:tabs>
        <w:snapToGrid w:val="0"/>
        <w:ind w:left="0" w:firstLine="0"/>
        <w:rPr>
          <w:szCs w:val="28"/>
          <w:lang w:val="uk-UA"/>
        </w:rPr>
      </w:pPr>
      <w:r w:rsidRPr="00AD312F">
        <w:rPr>
          <w:szCs w:val="28"/>
          <w:lang w:val="uk-UA"/>
        </w:rPr>
        <w:t>Жидецький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В.Ц.,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Джигирей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В.С.,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Мельников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О.В.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Основи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охорони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праці.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—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Львів: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Афіша,</w:t>
      </w:r>
      <w:r w:rsidR="00AD312F">
        <w:rPr>
          <w:szCs w:val="28"/>
          <w:lang w:val="uk-UA"/>
        </w:rPr>
        <w:t xml:space="preserve"> </w:t>
      </w:r>
      <w:r w:rsidRPr="00AD312F">
        <w:rPr>
          <w:szCs w:val="28"/>
          <w:lang w:val="uk-UA"/>
        </w:rPr>
        <w:t>1999.</w:t>
      </w:r>
      <w:bookmarkStart w:id="0" w:name="_GoBack"/>
      <w:bookmarkEnd w:id="0"/>
    </w:p>
    <w:sectPr w:rsidR="00B84E1E" w:rsidRPr="00AD312F" w:rsidSect="00AD312F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05515"/>
    <w:multiLevelType w:val="hybridMultilevel"/>
    <w:tmpl w:val="B1467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E1E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1F4D43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D7F33"/>
    <w:rsid w:val="007F2645"/>
    <w:rsid w:val="00810208"/>
    <w:rsid w:val="0081436D"/>
    <w:rsid w:val="00826FE4"/>
    <w:rsid w:val="00830B49"/>
    <w:rsid w:val="00857B98"/>
    <w:rsid w:val="008634D1"/>
    <w:rsid w:val="00865A20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AD312F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84E1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A2DB5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0EA523-8DE5-4480-BFEC-F7153BF8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E1E"/>
    <w:pPr>
      <w:spacing w:after="200" w:line="276" w:lineRule="auto"/>
    </w:pPr>
    <w:rPr>
      <w:rFonts w:cs="Times New Roman"/>
      <w:sz w:val="22"/>
      <w:szCs w:val="22"/>
      <w:lang w:val="uk-UA" w:eastAsia="uk-UA"/>
    </w:rPr>
  </w:style>
  <w:style w:type="paragraph" w:styleId="1">
    <w:name w:val="heading 1"/>
    <w:aliases w:val="My"/>
    <w:basedOn w:val="a"/>
    <w:next w:val="a"/>
    <w:link w:val="10"/>
    <w:uiPriority w:val="9"/>
    <w:qFormat/>
    <w:rsid w:val="00B84E1E"/>
    <w:pPr>
      <w:widowControl w:val="0"/>
      <w:spacing w:after="0" w:line="360" w:lineRule="auto"/>
      <w:ind w:firstLine="709"/>
      <w:jc w:val="both"/>
      <w:outlineLvl w:val="0"/>
    </w:pPr>
    <w:rPr>
      <w:rFonts w:ascii="Times New Roman" w:hAnsi="Times New Roman"/>
      <w:kern w:val="28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y Знак"/>
    <w:link w:val="1"/>
    <w:uiPriority w:val="9"/>
    <w:locked/>
    <w:rsid w:val="00B84E1E"/>
    <w:rPr>
      <w:rFonts w:ascii="Times New Roman" w:hAnsi="Times New Roman" w:cs="Times New Roman"/>
      <w:snapToGrid w:val="0"/>
      <w:kern w:val="28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2014-08-10T11:10:00Z</dcterms:created>
  <dcterms:modified xsi:type="dcterms:W3CDTF">2014-08-10T11:10:00Z</dcterms:modified>
</cp:coreProperties>
</file>