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9FD" w:rsidRDefault="002039FD">
      <w:pPr>
        <w:tabs>
          <w:tab w:val="left" w:pos="9072"/>
        </w:tabs>
        <w:ind w:right="-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ru-RU"/>
        </w:rPr>
        <w:t>САНКТ-ПЕТЕРБУРГСКИЙ ГОСУДАРСТВЕННЫЙ УНИВЕРСТИТЕТ</w:t>
      </w:r>
    </w:p>
    <w:p w:rsidR="002039FD" w:rsidRDefault="002039FD">
      <w:pPr>
        <w:rPr>
          <w:b/>
          <w:bCs/>
          <w:sz w:val="32"/>
          <w:szCs w:val="32"/>
        </w:rPr>
      </w:pPr>
    </w:p>
    <w:p w:rsidR="002039FD" w:rsidRDefault="002039FD">
      <w:pPr>
        <w:rPr>
          <w:b/>
          <w:bCs/>
          <w:sz w:val="32"/>
          <w:szCs w:val="32"/>
        </w:rPr>
      </w:pPr>
    </w:p>
    <w:p w:rsidR="002039FD" w:rsidRDefault="002039FD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  <w:lang w:val="ru-RU"/>
        </w:rPr>
        <w:t>МЕЖДУНАРОДНЫЕ ОТНОШЕНИЯ</w:t>
      </w:r>
    </w:p>
    <w:p w:rsidR="002039FD" w:rsidRDefault="002039FD">
      <w:pPr>
        <w:rPr>
          <w:b/>
          <w:bCs/>
          <w:sz w:val="32"/>
          <w:szCs w:val="32"/>
        </w:rPr>
      </w:pPr>
    </w:p>
    <w:p w:rsidR="002039FD" w:rsidRDefault="002039FD">
      <w:pPr>
        <w:jc w:val="center"/>
        <w:rPr>
          <w:b/>
          <w:bCs/>
          <w:sz w:val="32"/>
          <w:szCs w:val="32"/>
          <w:lang w:val="ru-RU"/>
        </w:rPr>
      </w:pPr>
    </w:p>
    <w:p w:rsidR="002039FD" w:rsidRDefault="002039FD">
      <w:pPr>
        <w:jc w:val="center"/>
        <w:rPr>
          <w:b/>
          <w:bCs/>
          <w:sz w:val="32"/>
          <w:szCs w:val="32"/>
          <w:lang w:val="ru-RU"/>
        </w:rPr>
      </w:pPr>
    </w:p>
    <w:p w:rsidR="002039FD" w:rsidRDefault="002039FD">
      <w:pPr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Предмет:</w:t>
      </w:r>
    </w:p>
    <w:p w:rsidR="002039FD" w:rsidRDefault="002039F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ru-RU"/>
        </w:rPr>
        <w:t>ЗАЩИТА НАСЕЛЕНИЯ В ЧРЕЗВЫЧАЙНЫХ СИТУАЦИЯХ</w:t>
      </w:r>
    </w:p>
    <w:p w:rsidR="002039FD" w:rsidRDefault="002039FD">
      <w:pPr>
        <w:rPr>
          <w:b/>
          <w:bCs/>
          <w:sz w:val="32"/>
          <w:szCs w:val="32"/>
        </w:rPr>
      </w:pPr>
    </w:p>
    <w:p w:rsidR="002039FD" w:rsidRDefault="002039FD">
      <w:pPr>
        <w:rPr>
          <w:b/>
          <w:bCs/>
          <w:sz w:val="32"/>
          <w:szCs w:val="32"/>
        </w:rPr>
      </w:pPr>
    </w:p>
    <w:p w:rsidR="002039FD" w:rsidRDefault="002039FD">
      <w:pPr>
        <w:jc w:val="center"/>
        <w:rPr>
          <w:b/>
          <w:bCs/>
          <w:sz w:val="32"/>
          <w:szCs w:val="32"/>
          <w:lang w:val="ru-RU"/>
        </w:rPr>
      </w:pPr>
    </w:p>
    <w:p w:rsidR="002039FD" w:rsidRDefault="002039FD">
      <w:pPr>
        <w:jc w:val="center"/>
        <w:rPr>
          <w:b/>
          <w:bCs/>
          <w:sz w:val="32"/>
          <w:szCs w:val="32"/>
          <w:lang w:val="ru-RU"/>
        </w:rPr>
      </w:pPr>
    </w:p>
    <w:p w:rsidR="002039FD" w:rsidRDefault="002039FD">
      <w:pPr>
        <w:jc w:val="center"/>
        <w:rPr>
          <w:b/>
          <w:bCs/>
          <w:sz w:val="32"/>
          <w:szCs w:val="32"/>
          <w:lang w:val="ru-RU"/>
        </w:rPr>
      </w:pPr>
    </w:p>
    <w:p w:rsidR="002039FD" w:rsidRDefault="002039FD">
      <w:pPr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РЕФЕРАТ</w:t>
      </w:r>
    </w:p>
    <w:p w:rsidR="002039FD" w:rsidRDefault="002039F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  тему  :</w:t>
      </w:r>
    </w:p>
    <w:p w:rsidR="002039FD" w:rsidRDefault="002039FD">
      <w:pPr>
        <w:rPr>
          <w:b/>
          <w:bCs/>
          <w:sz w:val="32"/>
          <w:szCs w:val="32"/>
        </w:rPr>
      </w:pPr>
    </w:p>
    <w:p w:rsidR="002039FD" w:rsidRDefault="002039F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“</w:t>
      </w:r>
      <w:r>
        <w:rPr>
          <w:b/>
          <w:bCs/>
          <w:sz w:val="32"/>
          <w:szCs w:val="32"/>
          <w:lang w:val="ru-RU"/>
        </w:rPr>
        <w:t>МЕЖДУНАРОДНЫЕ ТРЕБОВАНИЯ, ПРАВИЛА И НОРМЫ ТРАНСПОРТИРОВКИ СТРОНЦИЯ</w:t>
      </w:r>
      <w:r>
        <w:rPr>
          <w:b/>
          <w:bCs/>
          <w:sz w:val="32"/>
          <w:szCs w:val="32"/>
        </w:rPr>
        <w:t>”</w:t>
      </w:r>
    </w:p>
    <w:p w:rsidR="002039FD" w:rsidRDefault="002039FD">
      <w:pPr>
        <w:jc w:val="center"/>
        <w:rPr>
          <w:b/>
          <w:bCs/>
          <w:sz w:val="32"/>
          <w:szCs w:val="32"/>
        </w:rPr>
      </w:pPr>
    </w:p>
    <w:p w:rsidR="002039FD" w:rsidRDefault="002039FD">
      <w:pPr>
        <w:rPr>
          <w:b/>
          <w:bCs/>
          <w:sz w:val="32"/>
          <w:szCs w:val="32"/>
        </w:rPr>
      </w:pPr>
    </w:p>
    <w:p w:rsidR="002039FD" w:rsidRDefault="002039FD">
      <w:pPr>
        <w:rPr>
          <w:b/>
          <w:bCs/>
          <w:sz w:val="32"/>
          <w:szCs w:val="32"/>
        </w:rPr>
      </w:pPr>
    </w:p>
    <w:p w:rsidR="002039FD" w:rsidRDefault="002039FD">
      <w:pPr>
        <w:rPr>
          <w:b/>
          <w:bCs/>
          <w:sz w:val="32"/>
          <w:szCs w:val="32"/>
        </w:rPr>
      </w:pPr>
    </w:p>
    <w:p w:rsidR="002039FD" w:rsidRDefault="002039FD">
      <w:pPr>
        <w:rPr>
          <w:b/>
          <w:bCs/>
          <w:sz w:val="32"/>
          <w:szCs w:val="32"/>
        </w:rPr>
      </w:pPr>
    </w:p>
    <w:p w:rsidR="002039FD" w:rsidRDefault="002039FD">
      <w:pPr>
        <w:rPr>
          <w:b/>
          <w:bCs/>
          <w:sz w:val="32"/>
          <w:szCs w:val="32"/>
        </w:rPr>
      </w:pPr>
    </w:p>
    <w:p w:rsidR="002039FD" w:rsidRDefault="002039FD">
      <w:pPr>
        <w:rPr>
          <w:b/>
          <w:bCs/>
          <w:sz w:val="32"/>
          <w:szCs w:val="32"/>
        </w:rPr>
      </w:pPr>
    </w:p>
    <w:p w:rsidR="002039FD" w:rsidRDefault="002039FD">
      <w:pPr>
        <w:rPr>
          <w:b/>
          <w:bCs/>
          <w:sz w:val="32"/>
          <w:szCs w:val="32"/>
        </w:rPr>
      </w:pPr>
    </w:p>
    <w:p w:rsidR="002039FD" w:rsidRDefault="002039FD">
      <w:pPr>
        <w:rPr>
          <w:b/>
          <w:bCs/>
          <w:sz w:val="32"/>
          <w:szCs w:val="32"/>
        </w:rPr>
      </w:pPr>
    </w:p>
    <w:p w:rsidR="002039FD" w:rsidRDefault="002039FD">
      <w:pPr>
        <w:rPr>
          <w:b/>
          <w:bCs/>
          <w:sz w:val="32"/>
          <w:szCs w:val="32"/>
        </w:rPr>
      </w:pPr>
    </w:p>
    <w:p w:rsidR="002039FD" w:rsidRDefault="002039FD">
      <w:pPr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</w:rPr>
        <w:t xml:space="preserve">                                                               Студент</w:t>
      </w:r>
      <w:r>
        <w:rPr>
          <w:b/>
          <w:bCs/>
          <w:sz w:val="32"/>
          <w:szCs w:val="32"/>
          <w:lang w:val="ru-RU"/>
        </w:rPr>
        <w:t>ка</w:t>
      </w:r>
      <w:r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  <w:lang w:val="en-US"/>
        </w:rPr>
        <w:t>I</w:t>
      </w:r>
      <w:r>
        <w:rPr>
          <w:b/>
          <w:bCs/>
          <w:sz w:val="32"/>
          <w:szCs w:val="32"/>
          <w:lang w:val="ru-RU"/>
        </w:rPr>
        <w:t xml:space="preserve"> курса</w:t>
      </w:r>
    </w:p>
    <w:p w:rsidR="002039FD" w:rsidRDefault="002039FD">
      <w:pPr>
        <w:ind w:left="5040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</w:rPr>
        <w:t xml:space="preserve">группы  </w:t>
      </w:r>
      <w:r>
        <w:rPr>
          <w:b/>
          <w:bCs/>
          <w:sz w:val="32"/>
          <w:szCs w:val="32"/>
          <w:lang w:val="ru-RU"/>
        </w:rPr>
        <w:t>_________</w:t>
      </w:r>
    </w:p>
    <w:p w:rsidR="002039FD" w:rsidRDefault="002039FD">
      <w:pPr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</w:rPr>
        <w:t xml:space="preserve">                                                              </w:t>
      </w:r>
    </w:p>
    <w:p w:rsidR="002039FD" w:rsidRDefault="002039FD">
      <w:pPr>
        <w:rPr>
          <w:b/>
          <w:bCs/>
          <w:sz w:val="32"/>
          <w:szCs w:val="32"/>
        </w:rPr>
      </w:pPr>
    </w:p>
    <w:p w:rsidR="002039FD" w:rsidRDefault="002039FD">
      <w:pPr>
        <w:rPr>
          <w:b/>
          <w:bCs/>
          <w:sz w:val="32"/>
          <w:szCs w:val="32"/>
        </w:rPr>
      </w:pPr>
    </w:p>
    <w:p w:rsidR="002039FD" w:rsidRDefault="002039FD">
      <w:pPr>
        <w:rPr>
          <w:b/>
          <w:bCs/>
          <w:sz w:val="32"/>
          <w:szCs w:val="32"/>
        </w:rPr>
      </w:pPr>
    </w:p>
    <w:p w:rsidR="002039FD" w:rsidRDefault="002039FD">
      <w:pPr>
        <w:rPr>
          <w:b/>
          <w:bCs/>
          <w:sz w:val="32"/>
          <w:szCs w:val="32"/>
        </w:rPr>
      </w:pPr>
    </w:p>
    <w:p w:rsidR="002039FD" w:rsidRDefault="002039FD">
      <w:pPr>
        <w:rPr>
          <w:b/>
          <w:bCs/>
          <w:sz w:val="32"/>
          <w:szCs w:val="32"/>
        </w:rPr>
      </w:pPr>
    </w:p>
    <w:p w:rsidR="002039FD" w:rsidRDefault="002039FD">
      <w:pPr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Санкт-Петербург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lang w:val="ru-RU"/>
        </w:rPr>
        <w:t>2005</w:t>
      </w:r>
    </w:p>
    <w:p w:rsidR="002039FD" w:rsidRDefault="002039FD">
      <w:pPr>
        <w:jc w:val="center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СОДЕРЖАНИЕ</w:t>
      </w:r>
    </w:p>
    <w:p w:rsidR="002039FD" w:rsidRDefault="002039FD">
      <w:pPr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    </w:t>
      </w:r>
    </w:p>
    <w:p w:rsidR="002039FD" w:rsidRDefault="002039FD">
      <w:pPr>
        <w:ind w:firstLine="360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Содержание</w:t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  <w:t>1</w:t>
      </w:r>
    </w:p>
    <w:p w:rsidR="002039FD" w:rsidRDefault="002039FD">
      <w:pPr>
        <w:spacing w:line="360" w:lineRule="auto"/>
        <w:ind w:left="360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Введение</w:t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  <w:t>2</w:t>
      </w:r>
    </w:p>
    <w:p w:rsidR="002039FD" w:rsidRDefault="002039FD">
      <w:pPr>
        <w:numPr>
          <w:ilvl w:val="0"/>
          <w:numId w:val="20"/>
        </w:numPr>
        <w:spacing w:line="360" w:lineRule="auto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Общая радиационная характеристика </w:t>
      </w:r>
    </w:p>
    <w:p w:rsidR="002039FD" w:rsidRDefault="002039FD">
      <w:pPr>
        <w:spacing w:line="360" w:lineRule="auto"/>
        <w:ind w:left="900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изотопа стронция </w:t>
      </w:r>
      <w:r>
        <w:rPr>
          <w:rFonts w:ascii="Arial" w:hAnsi="Arial" w:cs="Arial"/>
          <w:sz w:val="28"/>
          <w:szCs w:val="28"/>
          <w:vertAlign w:val="superscript"/>
          <w:lang w:val="ru-RU"/>
        </w:rPr>
        <w:t>90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  <w:lang w:val="ru-RU"/>
        </w:rPr>
        <w:t xml:space="preserve"> по воздействию</w:t>
      </w:r>
    </w:p>
    <w:p w:rsidR="002039FD" w:rsidRDefault="002039FD">
      <w:pPr>
        <w:spacing w:line="360" w:lineRule="auto"/>
        <w:ind w:left="900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на человеческий организм </w:t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  <w:t>5</w:t>
      </w:r>
      <w:r>
        <w:rPr>
          <w:rFonts w:ascii="Arial" w:hAnsi="Arial" w:cs="Arial"/>
          <w:sz w:val="28"/>
          <w:szCs w:val="28"/>
          <w:lang w:val="ru-RU"/>
        </w:rPr>
        <w:tab/>
      </w:r>
    </w:p>
    <w:p w:rsidR="002039FD" w:rsidRDefault="002039FD">
      <w:pPr>
        <w:numPr>
          <w:ilvl w:val="0"/>
          <w:numId w:val="20"/>
        </w:numPr>
        <w:spacing w:line="360" w:lineRule="auto"/>
        <w:rPr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Изотопы  </w:t>
      </w:r>
      <w:r>
        <w:rPr>
          <w:rFonts w:ascii="Arial" w:hAnsi="Arial" w:cs="Arial"/>
          <w:sz w:val="28"/>
          <w:szCs w:val="28"/>
          <w:vertAlign w:val="superscript"/>
          <w:lang w:val="ru-RU"/>
        </w:rPr>
        <w:t>89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  <w:lang w:val="ru-RU"/>
        </w:rPr>
        <w:t xml:space="preserve">, </w:t>
      </w:r>
      <w:r>
        <w:rPr>
          <w:rFonts w:ascii="Arial" w:hAnsi="Arial" w:cs="Arial"/>
          <w:sz w:val="28"/>
          <w:szCs w:val="28"/>
          <w:vertAlign w:val="superscript"/>
          <w:lang w:val="ru-RU"/>
        </w:rPr>
        <w:t>90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  <w:lang w:val="ru-RU"/>
        </w:rPr>
        <w:t xml:space="preserve">, </w:t>
      </w:r>
      <w:r>
        <w:rPr>
          <w:rFonts w:ascii="Arial" w:hAnsi="Arial" w:cs="Arial"/>
          <w:sz w:val="28"/>
          <w:szCs w:val="28"/>
          <w:vertAlign w:val="superscript"/>
          <w:lang w:val="ru-RU"/>
        </w:rPr>
        <w:t>91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  <w:lang w:val="ru-RU"/>
        </w:rPr>
        <w:t xml:space="preserve">, </w:t>
      </w:r>
      <w:r>
        <w:rPr>
          <w:rFonts w:ascii="Arial" w:hAnsi="Arial" w:cs="Arial"/>
          <w:sz w:val="28"/>
          <w:szCs w:val="28"/>
          <w:vertAlign w:val="superscript"/>
          <w:lang w:val="ru-RU"/>
        </w:rPr>
        <w:t>92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  <w:lang w:val="ru-RU"/>
        </w:rPr>
        <w:t>, подпадающие под правила транспортировки радиоактивных веществ</w:t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  <w:t>6</w:t>
      </w:r>
    </w:p>
    <w:p w:rsidR="002039FD" w:rsidRDefault="002039FD">
      <w:pPr>
        <w:numPr>
          <w:ilvl w:val="0"/>
          <w:numId w:val="20"/>
        </w:numPr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Документы, определяющие общие нормы и правила транспортировки радиоактивных веществ</w:t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  <w:t>7</w:t>
      </w:r>
    </w:p>
    <w:p w:rsidR="002039FD" w:rsidRDefault="002039FD">
      <w:pPr>
        <w:numPr>
          <w:ilvl w:val="0"/>
          <w:numId w:val="20"/>
        </w:numPr>
        <w:spacing w:line="360" w:lineRule="auto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Транспортные категории радиационных упаковок</w:t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  <w:t>10</w:t>
      </w:r>
    </w:p>
    <w:p w:rsidR="002039FD" w:rsidRDefault="002039FD">
      <w:pPr>
        <w:numPr>
          <w:ilvl w:val="0"/>
          <w:numId w:val="20"/>
        </w:numPr>
        <w:spacing w:line="360" w:lineRule="auto"/>
        <w:rPr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Требования к изотопам стронция, перевозимым </w:t>
      </w:r>
    </w:p>
    <w:p w:rsidR="002039FD" w:rsidRDefault="002039FD">
      <w:pPr>
        <w:spacing w:line="360" w:lineRule="auto"/>
        <w:ind w:left="900" w:firstLine="180"/>
        <w:rPr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различными видами транспорта</w:t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  <w:t>11</w:t>
      </w:r>
    </w:p>
    <w:p w:rsidR="002039FD" w:rsidRDefault="002039FD">
      <w:pPr>
        <w:numPr>
          <w:ilvl w:val="0"/>
          <w:numId w:val="20"/>
        </w:numPr>
        <w:spacing w:line="360" w:lineRule="auto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Требования к упаковочным комплектам</w:t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  <w:t>14</w:t>
      </w:r>
    </w:p>
    <w:p w:rsidR="002039FD" w:rsidRDefault="002039FD">
      <w:pPr>
        <w:spacing w:line="360" w:lineRule="auto"/>
        <w:ind w:left="360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Выводы</w:t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  <w:t>19</w:t>
      </w:r>
    </w:p>
    <w:p w:rsidR="002039FD" w:rsidRDefault="002039FD">
      <w:pPr>
        <w:spacing w:line="360" w:lineRule="auto"/>
        <w:ind w:left="360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Список использованной литературы</w:t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</w:r>
      <w:r>
        <w:rPr>
          <w:rFonts w:ascii="Arial" w:hAnsi="Arial" w:cs="Arial"/>
          <w:sz w:val="28"/>
          <w:szCs w:val="28"/>
          <w:lang w:val="ru-RU"/>
        </w:rPr>
        <w:tab/>
        <w:t>21</w:t>
      </w:r>
    </w:p>
    <w:p w:rsidR="002039FD" w:rsidRDefault="002039FD">
      <w:pPr>
        <w:spacing w:line="360" w:lineRule="auto"/>
        <w:rPr>
          <w:rFonts w:ascii="Arial" w:hAnsi="Arial" w:cs="Arial"/>
          <w:sz w:val="28"/>
          <w:szCs w:val="28"/>
          <w:lang w:val="ru-RU"/>
        </w:rPr>
      </w:pPr>
    </w:p>
    <w:p w:rsidR="002039FD" w:rsidRDefault="002039FD">
      <w:pPr>
        <w:spacing w:line="360" w:lineRule="auto"/>
        <w:rPr>
          <w:rFonts w:ascii="Arial" w:hAnsi="Arial" w:cs="Arial"/>
          <w:sz w:val="28"/>
          <w:szCs w:val="28"/>
          <w:lang w:val="ru-RU"/>
        </w:rPr>
      </w:pPr>
    </w:p>
    <w:p w:rsidR="002039FD" w:rsidRDefault="002039FD">
      <w:pPr>
        <w:rPr>
          <w:rFonts w:ascii="Arial" w:hAnsi="Arial" w:cs="Arial"/>
          <w:sz w:val="28"/>
          <w:szCs w:val="28"/>
          <w:lang w:val="ru-RU"/>
        </w:rPr>
      </w:pPr>
    </w:p>
    <w:p w:rsidR="002039FD" w:rsidRDefault="002039FD">
      <w:pPr>
        <w:rPr>
          <w:rFonts w:ascii="Arial" w:hAnsi="Arial" w:cs="Arial"/>
          <w:sz w:val="28"/>
          <w:szCs w:val="28"/>
          <w:lang w:val="ru-RU"/>
        </w:rPr>
      </w:pPr>
    </w:p>
    <w:p w:rsidR="002039FD" w:rsidRDefault="002039FD">
      <w:pPr>
        <w:rPr>
          <w:rFonts w:ascii="Arial" w:hAnsi="Arial" w:cs="Arial"/>
          <w:sz w:val="28"/>
          <w:szCs w:val="28"/>
          <w:lang w:val="ru-RU"/>
        </w:rPr>
      </w:pPr>
    </w:p>
    <w:p w:rsidR="002039FD" w:rsidRDefault="002039FD">
      <w:pPr>
        <w:rPr>
          <w:rFonts w:ascii="Arial" w:hAnsi="Arial" w:cs="Arial"/>
          <w:sz w:val="28"/>
          <w:szCs w:val="28"/>
          <w:lang w:val="ru-RU"/>
        </w:rPr>
      </w:pPr>
    </w:p>
    <w:p w:rsidR="002039FD" w:rsidRDefault="002039FD">
      <w:pPr>
        <w:rPr>
          <w:rFonts w:ascii="Arial" w:hAnsi="Arial" w:cs="Arial"/>
          <w:sz w:val="28"/>
          <w:szCs w:val="28"/>
          <w:lang w:val="ru-RU"/>
        </w:rPr>
      </w:pPr>
    </w:p>
    <w:p w:rsidR="002039FD" w:rsidRDefault="002039FD">
      <w:pPr>
        <w:rPr>
          <w:rFonts w:ascii="Arial" w:hAnsi="Arial" w:cs="Arial"/>
          <w:sz w:val="28"/>
          <w:szCs w:val="28"/>
          <w:lang w:val="ru-RU"/>
        </w:rPr>
      </w:pPr>
    </w:p>
    <w:p w:rsidR="002039FD" w:rsidRDefault="002039FD">
      <w:pPr>
        <w:rPr>
          <w:rFonts w:ascii="Arial" w:hAnsi="Arial" w:cs="Arial"/>
          <w:sz w:val="28"/>
          <w:szCs w:val="28"/>
          <w:lang w:val="ru-RU"/>
        </w:rPr>
      </w:pPr>
    </w:p>
    <w:p w:rsidR="002039FD" w:rsidRDefault="002039FD">
      <w:pPr>
        <w:spacing w:line="360" w:lineRule="auto"/>
        <w:ind w:left="360"/>
        <w:jc w:val="center"/>
        <w:rPr>
          <w:sz w:val="28"/>
          <w:szCs w:val="28"/>
          <w:lang w:val="ru-RU"/>
        </w:rPr>
      </w:pPr>
    </w:p>
    <w:p w:rsidR="002039FD" w:rsidRDefault="002039FD">
      <w:pPr>
        <w:spacing w:line="360" w:lineRule="auto"/>
        <w:ind w:left="360"/>
        <w:jc w:val="center"/>
        <w:rPr>
          <w:sz w:val="28"/>
          <w:szCs w:val="28"/>
          <w:lang w:val="ru-RU"/>
        </w:rPr>
      </w:pPr>
    </w:p>
    <w:p w:rsidR="002039FD" w:rsidRDefault="002039FD">
      <w:pPr>
        <w:spacing w:line="360" w:lineRule="auto"/>
        <w:ind w:left="360"/>
        <w:jc w:val="center"/>
        <w:rPr>
          <w:sz w:val="28"/>
          <w:szCs w:val="28"/>
          <w:lang w:val="ru-RU"/>
        </w:rPr>
      </w:pPr>
    </w:p>
    <w:p w:rsidR="002039FD" w:rsidRDefault="002039FD">
      <w:pPr>
        <w:spacing w:line="360" w:lineRule="auto"/>
        <w:ind w:left="360"/>
        <w:jc w:val="center"/>
        <w:rPr>
          <w:sz w:val="28"/>
          <w:szCs w:val="28"/>
          <w:lang w:val="ru-RU"/>
        </w:rPr>
      </w:pPr>
    </w:p>
    <w:p w:rsidR="002039FD" w:rsidRDefault="002039FD">
      <w:pPr>
        <w:spacing w:line="360" w:lineRule="auto"/>
        <w:ind w:left="360"/>
        <w:jc w:val="center"/>
        <w:rPr>
          <w:sz w:val="28"/>
          <w:szCs w:val="28"/>
          <w:lang w:val="ru-RU"/>
        </w:rPr>
      </w:pPr>
    </w:p>
    <w:p w:rsidR="002039FD" w:rsidRDefault="002039FD">
      <w:pPr>
        <w:spacing w:line="360" w:lineRule="auto"/>
        <w:ind w:left="360"/>
        <w:jc w:val="center"/>
        <w:rPr>
          <w:sz w:val="28"/>
          <w:szCs w:val="28"/>
          <w:lang w:val="ru-RU"/>
        </w:rPr>
      </w:pPr>
    </w:p>
    <w:p w:rsidR="002039FD" w:rsidRDefault="002039FD">
      <w:pPr>
        <w:spacing w:line="360" w:lineRule="auto"/>
        <w:ind w:left="360"/>
        <w:jc w:val="center"/>
        <w:rPr>
          <w:sz w:val="28"/>
          <w:szCs w:val="28"/>
          <w:lang w:val="ru-RU"/>
        </w:rPr>
      </w:pPr>
    </w:p>
    <w:p w:rsidR="002039FD" w:rsidRDefault="002039FD">
      <w:pPr>
        <w:spacing w:line="360" w:lineRule="auto"/>
        <w:ind w:left="360"/>
        <w:jc w:val="center"/>
        <w:rPr>
          <w:sz w:val="28"/>
          <w:szCs w:val="28"/>
          <w:lang w:val="ru-RU"/>
        </w:rPr>
      </w:pPr>
    </w:p>
    <w:p w:rsidR="002039FD" w:rsidRDefault="002039FD">
      <w:pPr>
        <w:spacing w:line="360" w:lineRule="auto"/>
        <w:ind w:left="360"/>
        <w:jc w:val="center"/>
        <w:rPr>
          <w:sz w:val="28"/>
          <w:szCs w:val="28"/>
          <w:lang w:val="ru-RU"/>
        </w:rPr>
      </w:pPr>
    </w:p>
    <w:p w:rsidR="002039FD" w:rsidRDefault="002039FD">
      <w:pPr>
        <w:spacing w:line="360" w:lineRule="auto"/>
        <w:ind w:left="36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ВВЕДЕНИЕ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Ежегодно в мире транспортируется около 10 млн. упаковок с радиоактивными веществами различного вида. В некоторых странах произошли аварии при перевозках радиоактивных веществ (РВ) авиационным, автомобильным, морским, железнодорожным транспортом. Так, только в США в 1971-1981 гг. произошло 108 аварий при перевозке РВ. 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Обеспечение безопасности транспортирования РВ и изделий на их основе имеет большое значение в связи с наличием потенциального риска нанесения ущерба людям, окружающей среде и имуществу в процессе их перевозки, выполнения погрузочно-разгрузочных операций и промежуточного хранения.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Наличие такого риска обусловлено возможностью аварии транспортного или погрузочного средства, воздействием на упаковки разрушающих механических и тепловых нагрузок в процессе перевозки, которые могут привести к рассеянию РВ в окружающую среду и облучению персонала сверх установленных норм при нарушениях правил безопасного обращения с упаковками.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качестве примера можно привести информацию, подготовленную в коммюнике Министерства экологии Германии по фактам загрязнения спецконтейнеров, в которых перевозилось РВ на перерабатывающий завод во Францию:</w:t>
      </w:r>
    </w:p>
    <w:p w:rsidR="002039FD" w:rsidRDefault="002039FD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1997 г. из 55 транспортов с немецких АЭС в 11 случаях зарегистрирована активность, превышающая 4 Бк на 1 см2 – допустимую норму; </w:t>
      </w:r>
    </w:p>
    <w:p w:rsidR="002039FD" w:rsidRDefault="002039FD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шести случаях внутри железнодорожных вагонов обнаружены “горячие пятна” с максимальной активностью 13 400 Бк; </w:t>
      </w:r>
    </w:p>
    <w:p w:rsidR="002039FD" w:rsidRDefault="002039FD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еще в пяти вагонах на полу обнаружены загрязненные участки с поверхностной активностью 13000 Бк на 1 см2; </w:t>
      </w:r>
    </w:p>
    <w:p w:rsidR="002039FD" w:rsidRDefault="002039FD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1998 г. выявлены случаи загрязнения при перевозках из Германии: </w:t>
      </w:r>
    </w:p>
    <w:p w:rsidR="002039FD" w:rsidRDefault="002039FD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двух случаях на полу железнодорожных вагонов обнаружены пятна с максимальной активностью 10000 Бк на 1 см2; </w:t>
      </w:r>
    </w:p>
    <w:p w:rsidR="002039FD" w:rsidRDefault="002039FD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нескольких случаях обнаружено загрязнение контейнеров с ОЯТ с гораздо меньшей активностью</w:t>
      </w:r>
      <w:r>
        <w:rPr>
          <w:rFonts w:ascii="Arial" w:hAnsi="Arial" w:cs="Arial"/>
          <w:sz w:val="28"/>
          <w:szCs w:val="28"/>
        </w:rPr>
        <w:t xml:space="preserve"> 20 Бк. </w:t>
      </w:r>
    </w:p>
    <w:p w:rsidR="002039FD" w:rsidRDefault="002039FD">
      <w:pPr>
        <w:spacing w:line="360" w:lineRule="auto"/>
        <w:ind w:left="360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</w:rPr>
        <w:t xml:space="preserve">Конечно приведенные факты о превышении активности не </w:t>
      </w:r>
      <w:r>
        <w:rPr>
          <w:rFonts w:ascii="Arial" w:hAnsi="Arial" w:cs="Arial"/>
          <w:sz w:val="28"/>
          <w:szCs w:val="28"/>
          <w:lang w:val="ru-RU"/>
        </w:rPr>
        <w:t>представляют</w:t>
      </w:r>
      <w:r>
        <w:rPr>
          <w:rFonts w:ascii="Arial" w:hAnsi="Arial" w:cs="Arial"/>
          <w:sz w:val="28"/>
          <w:szCs w:val="28"/>
        </w:rPr>
        <w:t xml:space="preserve"> опасности для здоровья людей, но эти факты обнародованы и по ним приняты соответствующие меры, чтобы не допустить в дальнейшем подобные инциденты.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Показатель аварий и катастроф на транспорте (авиация, автотранспорт, железнодорожный транспорт, речной и морской транспорт) в России в 2-3 раза выше, чем в других промышленных странах. Так, например, в 1993 г. на железнодорожном транспорте России произошло 2047 аварийных происшествий и инцидентов при перевозке опасных грузов [14].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Аварийные ситуации, но уже при перевозке РВ происходят и на автомобильном транспорте. Например, происшедшая авария на Уральском электрохимическом комбинате (УЭХК г. Новоуральск). В 1994 г. при перевозке сернокислого урансодержащего раствора между объектами УЭХК, в результате чего на полотно дороги общего пользования было пролито около 1000 л радиоактивного раствора. Основной причиной аварии были грубые нарушения действующих в России правил перевозки ядерных материалов. [14].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Касаясь перевозки РВ, содержащих изотопы стронция можно говорить о том, что наиболее распространенным случаем транспортировки изотопов стронция  является случай транспортировки отработанного ядерного топлива (ОЯТ), в состав которого обычно входит от 2 до 30% различных химических соединений стронция </w:t>
      </w:r>
      <w:r>
        <w:rPr>
          <w:rFonts w:ascii="Arial" w:hAnsi="Arial" w:cs="Arial"/>
          <w:sz w:val="28"/>
          <w:szCs w:val="28"/>
          <w:vertAlign w:val="superscript"/>
        </w:rPr>
        <w:t>89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  <w:vertAlign w:val="superscript"/>
        </w:rPr>
        <w:t>90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  <w:vertAlign w:val="superscript"/>
        </w:rPr>
        <w:t>91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  <w:vertAlign w:val="superscript"/>
        </w:rPr>
        <w:t>92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</w:rPr>
        <w:t xml:space="preserve">. В качестве примера пагубного воздействия этих изотопов на человеческий организм рассмотрим изотоп </w:t>
      </w:r>
      <w:r>
        <w:rPr>
          <w:rFonts w:ascii="Arial" w:hAnsi="Arial" w:cs="Arial"/>
          <w:sz w:val="28"/>
          <w:szCs w:val="28"/>
          <w:vertAlign w:val="superscript"/>
        </w:rPr>
        <w:t>90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</w:rPr>
        <w:t>.</w:t>
      </w:r>
    </w:p>
    <w:p w:rsidR="002039FD" w:rsidRDefault="002039FD">
      <w:pPr>
        <w:spacing w:line="360" w:lineRule="auto"/>
        <w:ind w:left="360"/>
        <w:rPr>
          <w:rFonts w:ascii="Arial" w:hAnsi="Arial" w:cs="Arial"/>
          <w:sz w:val="28"/>
          <w:szCs w:val="28"/>
          <w:lang w:val="ru-RU"/>
        </w:rPr>
      </w:pPr>
    </w:p>
    <w:p w:rsidR="002039FD" w:rsidRDefault="002039FD">
      <w:pPr>
        <w:numPr>
          <w:ilvl w:val="0"/>
          <w:numId w:val="21"/>
        </w:numPr>
        <w:spacing w:line="360" w:lineRule="auto"/>
        <w:rPr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ОБЩАЯ РАДИАЦИОННАЯ ХАРАКТЕРИСТИКА ИЗОТОПА СТРОНЦИЯ </w:t>
      </w:r>
      <w:r>
        <w:rPr>
          <w:rFonts w:ascii="Arial" w:hAnsi="Arial" w:cs="Arial"/>
          <w:sz w:val="28"/>
          <w:szCs w:val="28"/>
          <w:vertAlign w:val="superscript"/>
          <w:lang w:val="ru-RU"/>
        </w:rPr>
        <w:t>90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  <w:lang w:val="ru-RU"/>
        </w:rPr>
        <w:t xml:space="preserve"> ПО ВОЗДЕЙСТВИЮ НА ЧЕЛОВЕЧЕСКИЙ ОРГАНИЗМ</w:t>
      </w:r>
    </w:p>
    <w:p w:rsidR="002039FD" w:rsidRDefault="002039FD">
      <w:pPr>
        <w:tabs>
          <w:tab w:val="left" w:pos="8789"/>
        </w:tabs>
        <w:spacing w:line="360" w:lineRule="auto"/>
        <w:ind w:left="360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Стронций </w:t>
      </w:r>
      <w:r>
        <w:rPr>
          <w:rFonts w:ascii="Arial" w:hAnsi="Arial" w:cs="Arial"/>
          <w:sz w:val="28"/>
          <w:szCs w:val="28"/>
          <w:vertAlign w:val="superscript"/>
          <w:lang w:val="ru-RU"/>
        </w:rPr>
        <w:t>90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  <w:lang w:val="ru-RU"/>
        </w:rPr>
        <w:t xml:space="preserve"> – серебристый кальциеподобный металл, покрытый оксидной оболочкой, плохо вступает в реакцию, включаясь в метаболизм экосистемы по мере формирования сложных Са – </w:t>
      </w:r>
      <w:r>
        <w:rPr>
          <w:rFonts w:ascii="Arial" w:hAnsi="Arial" w:cs="Arial"/>
          <w:sz w:val="28"/>
          <w:szCs w:val="28"/>
          <w:lang w:val="en-US"/>
        </w:rPr>
        <w:t>Fe</w:t>
      </w:r>
      <w:r>
        <w:rPr>
          <w:rFonts w:ascii="Arial" w:hAnsi="Arial" w:cs="Arial"/>
          <w:sz w:val="28"/>
          <w:szCs w:val="28"/>
          <w:lang w:val="ru-RU"/>
        </w:rPr>
        <w:t xml:space="preserve"> – Al – 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  <w:lang w:val="ru-RU"/>
        </w:rPr>
        <w:t xml:space="preserve"> – комплексов. Естественное содержание стабильного изотопа в почве, костных тканях, среде достигает 3,7 х 10</w:t>
      </w:r>
      <w:r>
        <w:rPr>
          <w:rFonts w:ascii="Arial" w:hAnsi="Arial" w:cs="Arial"/>
          <w:sz w:val="28"/>
          <w:szCs w:val="28"/>
          <w:vertAlign w:val="superscript"/>
          <w:lang w:val="ru-RU"/>
        </w:rPr>
        <w:t>-2</w:t>
      </w:r>
      <w:r>
        <w:rPr>
          <w:rFonts w:ascii="Arial" w:hAnsi="Arial" w:cs="Arial"/>
          <w:sz w:val="28"/>
          <w:szCs w:val="28"/>
          <w:lang w:val="ru-RU"/>
        </w:rPr>
        <w:t xml:space="preserve"> %, в морской воде, мышечных тканях 7,6 х 10</w:t>
      </w:r>
      <w:r>
        <w:rPr>
          <w:rFonts w:ascii="Arial" w:hAnsi="Arial" w:cs="Arial"/>
          <w:sz w:val="28"/>
          <w:szCs w:val="28"/>
          <w:vertAlign w:val="superscript"/>
          <w:lang w:val="ru-RU"/>
        </w:rPr>
        <w:t>-4</w:t>
      </w:r>
      <w:r>
        <w:rPr>
          <w:rFonts w:ascii="Arial" w:hAnsi="Arial" w:cs="Arial"/>
          <w:sz w:val="28"/>
          <w:szCs w:val="28"/>
          <w:lang w:val="ru-RU"/>
        </w:rPr>
        <w:t xml:space="preserve"> %. Биологические функции не выявлены; не токсичен, может замещать кальций. Радиоактивный изотоп в естественной среде отсутствует. Радиационные характеристики приведены в таблице 1.</w:t>
      </w:r>
    </w:p>
    <w:p w:rsidR="002039FD" w:rsidRDefault="002039FD">
      <w:pPr>
        <w:tabs>
          <w:tab w:val="left" w:pos="8789"/>
        </w:tabs>
        <w:spacing w:line="360" w:lineRule="auto"/>
        <w:ind w:left="360"/>
        <w:jc w:val="right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Таблица 1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134"/>
        <w:gridCol w:w="1275"/>
        <w:gridCol w:w="1843"/>
        <w:gridCol w:w="709"/>
        <w:gridCol w:w="992"/>
        <w:gridCol w:w="851"/>
        <w:gridCol w:w="1665"/>
      </w:tblGrid>
      <w:tr w:rsidR="002039FD">
        <w:trPr>
          <w:cantSplit/>
        </w:trPr>
        <w:tc>
          <w:tcPr>
            <w:tcW w:w="1276" w:type="dxa"/>
            <w:vMerge w:val="restart"/>
            <w:textDirection w:val="btLr"/>
            <w:vAlign w:val="center"/>
          </w:tcPr>
          <w:p w:rsidR="002039FD" w:rsidRDefault="002039FD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Период</w:t>
            </w:r>
          </w:p>
          <w:p w:rsidR="002039FD" w:rsidRDefault="002039FD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полураспада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039FD" w:rsidRDefault="002039FD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Всасываемость,</w:t>
            </w:r>
          </w:p>
          <w:p w:rsidR="002039FD" w:rsidRDefault="002039FD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%</w:t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2039FD" w:rsidRDefault="002039FD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Место накопления в организме</w:t>
            </w:r>
          </w:p>
        </w:tc>
        <w:tc>
          <w:tcPr>
            <w:tcW w:w="1843" w:type="dxa"/>
            <w:vMerge w:val="restart"/>
            <w:textDirection w:val="btLr"/>
            <w:vAlign w:val="center"/>
          </w:tcPr>
          <w:p w:rsidR="002039FD" w:rsidRDefault="002039FD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Время 2-х кратного снижения активности в организме</w:t>
            </w:r>
          </w:p>
        </w:tc>
        <w:tc>
          <w:tcPr>
            <w:tcW w:w="2552" w:type="dxa"/>
            <w:gridSpan w:val="3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Среднее значение излучателей,</w:t>
            </w:r>
          </w:p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МЭВ</w:t>
            </w:r>
          </w:p>
        </w:tc>
        <w:tc>
          <w:tcPr>
            <w:tcW w:w="1665" w:type="dxa"/>
            <w:vMerge w:val="restart"/>
            <w:textDirection w:val="btLr"/>
            <w:vAlign w:val="center"/>
          </w:tcPr>
          <w:p w:rsidR="002039FD" w:rsidRDefault="002039FD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Средняя фоновая нагрузка,</w:t>
            </w:r>
          </w:p>
          <w:p w:rsidR="002039FD" w:rsidRDefault="002039FD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сЗв (мбэр)</w:t>
            </w:r>
          </w:p>
        </w:tc>
      </w:tr>
      <w:tr w:rsidR="002039FD">
        <w:trPr>
          <w:cantSplit/>
          <w:trHeight w:val="1089"/>
        </w:trPr>
        <w:tc>
          <w:tcPr>
            <w:tcW w:w="1276" w:type="dxa"/>
            <w:vMerge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vMerge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α</w:t>
            </w:r>
          </w:p>
        </w:tc>
        <w:tc>
          <w:tcPr>
            <w:tcW w:w="992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β</w:t>
            </w:r>
          </w:p>
        </w:tc>
        <w:tc>
          <w:tcPr>
            <w:tcW w:w="851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γ</w:t>
            </w:r>
          </w:p>
        </w:tc>
        <w:tc>
          <w:tcPr>
            <w:tcW w:w="1665" w:type="dxa"/>
            <w:vMerge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2039FD">
        <w:trPr>
          <w:trHeight w:val="1132"/>
        </w:trPr>
        <w:tc>
          <w:tcPr>
            <w:tcW w:w="1276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29,1 года</w:t>
            </w:r>
          </w:p>
        </w:tc>
        <w:tc>
          <w:tcPr>
            <w:tcW w:w="1134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5</w:t>
            </w:r>
          </w:p>
        </w:tc>
        <w:tc>
          <w:tcPr>
            <w:tcW w:w="1275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все тело, скелет</w:t>
            </w:r>
          </w:p>
        </w:tc>
        <w:tc>
          <w:tcPr>
            <w:tcW w:w="1843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5700 сут</w:t>
            </w:r>
          </w:p>
        </w:tc>
        <w:tc>
          <w:tcPr>
            <w:tcW w:w="709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0,2-0,9</w:t>
            </w:r>
          </w:p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(1,1 в костной ткани)</w:t>
            </w:r>
          </w:p>
        </w:tc>
        <w:tc>
          <w:tcPr>
            <w:tcW w:w="851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1665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vertAlign w:val="superscript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Фоновое содержание в среде 0,045 Ки/км</w:t>
            </w:r>
          </w:p>
        </w:tc>
      </w:tr>
    </w:tbl>
    <w:p w:rsidR="002039FD" w:rsidRDefault="002039FD">
      <w:pPr>
        <w:spacing w:line="360" w:lineRule="auto"/>
        <w:ind w:left="360"/>
        <w:rPr>
          <w:rFonts w:ascii="Arial" w:hAnsi="Arial" w:cs="Arial"/>
          <w:sz w:val="28"/>
          <w:szCs w:val="28"/>
          <w:lang w:val="ru-RU"/>
        </w:rPr>
      </w:pPr>
    </w:p>
    <w:p w:rsidR="002039FD" w:rsidRDefault="002039FD">
      <w:pPr>
        <w:spacing w:line="360" w:lineRule="auto"/>
        <w:ind w:left="360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В случаях попадания изотопа в окружающую среду поступление стронция в организм зависит от степени и характера включенности метаболита в почвенные органические структуры, продукты питания и колеблется от 5 до 30%, при большем проникновении в детский организм. Независимо от пути поступления излучатель накапливается в скелете (в мягких тканях содержится не более 1%). Выводится из организма крайне плохо, что ведет к постоянному накоплению дозы при хроническом поступлении стронция в организм. В отличие от естественных α-активных аналогов (урана, тория и др.) стронций является эффективным β-излучателем, что меняет спектр  радиационного воздействия, в том числе и на гонады, эндокринные железы, красный костный мозг и головной мозг. Накапливаемые дозы (фон) колеблется в пределах (до 0,2 х 10</w:t>
      </w:r>
      <w:r>
        <w:rPr>
          <w:rFonts w:ascii="Arial" w:hAnsi="Arial" w:cs="Arial"/>
          <w:sz w:val="28"/>
          <w:szCs w:val="28"/>
          <w:vertAlign w:val="superscript"/>
          <w:lang w:val="ru-RU"/>
        </w:rPr>
        <w:t xml:space="preserve">-6 </w:t>
      </w:r>
      <w:r>
        <w:rPr>
          <w:rFonts w:ascii="Arial" w:hAnsi="Arial" w:cs="Arial"/>
          <w:sz w:val="28"/>
          <w:szCs w:val="28"/>
          <w:lang w:val="ru-RU"/>
        </w:rPr>
        <w:t>мкКи/г в костях при дозах порядка 4.5 х 10</w:t>
      </w:r>
      <w:r>
        <w:rPr>
          <w:rFonts w:ascii="Arial" w:hAnsi="Arial" w:cs="Arial"/>
          <w:sz w:val="28"/>
          <w:szCs w:val="28"/>
          <w:vertAlign w:val="superscript"/>
          <w:lang w:val="ru-RU"/>
        </w:rPr>
        <w:t xml:space="preserve">-2 </w:t>
      </w:r>
      <w:r>
        <w:rPr>
          <w:rFonts w:ascii="Arial" w:hAnsi="Arial" w:cs="Arial"/>
          <w:sz w:val="28"/>
          <w:szCs w:val="28"/>
          <w:lang w:val="ru-RU"/>
        </w:rPr>
        <w:t>мЗв/год) [ 1 ].</w:t>
      </w:r>
    </w:p>
    <w:p w:rsidR="002039FD" w:rsidRDefault="002039FD">
      <w:pPr>
        <w:spacing w:line="360" w:lineRule="auto"/>
        <w:ind w:left="360"/>
        <w:rPr>
          <w:rFonts w:ascii="Arial" w:hAnsi="Arial" w:cs="Arial"/>
          <w:sz w:val="28"/>
          <w:szCs w:val="28"/>
          <w:lang w:val="en-US"/>
        </w:rPr>
      </w:pPr>
    </w:p>
    <w:p w:rsidR="002039FD" w:rsidRDefault="002039FD">
      <w:pPr>
        <w:spacing w:line="360" w:lineRule="auto"/>
        <w:ind w:left="360"/>
        <w:jc w:val="center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en-US"/>
        </w:rPr>
        <w:t>II</w:t>
      </w:r>
      <w:r>
        <w:rPr>
          <w:rFonts w:ascii="Arial" w:hAnsi="Arial" w:cs="Arial"/>
          <w:sz w:val="28"/>
          <w:szCs w:val="28"/>
          <w:lang w:val="ru-RU"/>
        </w:rPr>
        <w:t xml:space="preserve">. ИЗОТОПЫ  </w:t>
      </w:r>
      <w:r>
        <w:rPr>
          <w:rFonts w:ascii="Arial" w:hAnsi="Arial" w:cs="Arial"/>
          <w:sz w:val="28"/>
          <w:szCs w:val="28"/>
          <w:vertAlign w:val="superscript"/>
          <w:lang w:val="ru-RU"/>
        </w:rPr>
        <w:t>89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  <w:lang w:val="ru-RU"/>
        </w:rPr>
        <w:t xml:space="preserve">, </w:t>
      </w:r>
      <w:r>
        <w:rPr>
          <w:rFonts w:ascii="Arial" w:hAnsi="Arial" w:cs="Arial"/>
          <w:sz w:val="28"/>
          <w:szCs w:val="28"/>
          <w:vertAlign w:val="superscript"/>
          <w:lang w:val="ru-RU"/>
        </w:rPr>
        <w:t>90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  <w:lang w:val="ru-RU"/>
        </w:rPr>
        <w:t xml:space="preserve">, </w:t>
      </w:r>
      <w:r>
        <w:rPr>
          <w:rFonts w:ascii="Arial" w:hAnsi="Arial" w:cs="Arial"/>
          <w:sz w:val="28"/>
          <w:szCs w:val="28"/>
          <w:vertAlign w:val="superscript"/>
          <w:lang w:val="ru-RU"/>
        </w:rPr>
        <w:t>91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  <w:lang w:val="ru-RU"/>
        </w:rPr>
        <w:t xml:space="preserve">, </w:t>
      </w:r>
      <w:r>
        <w:rPr>
          <w:rFonts w:ascii="Arial" w:hAnsi="Arial" w:cs="Arial"/>
          <w:sz w:val="28"/>
          <w:szCs w:val="28"/>
          <w:vertAlign w:val="superscript"/>
          <w:lang w:val="ru-RU"/>
        </w:rPr>
        <w:t>92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  <w:lang w:val="ru-RU"/>
        </w:rPr>
        <w:t>, ПОДПАДАЮЩИЕ ПОД ПРАВИЛА ТРАНСПОРТИРОВКИ РАДИОАКТИВНЫХ ВЕЩЕСТВ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Действие правил МАГАТЭ, о которых речь пойдет ниже, распространяются на перевозку РВ с γ- излучением и β-излучением. Под эти правила, как β-излучатели, подпадают и изотопы стронция:</w:t>
      </w:r>
    </w:p>
    <w:p w:rsidR="002039FD" w:rsidRDefault="002039FD">
      <w:pPr>
        <w:pStyle w:val="Web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удельной активностью больше74 Бк/г;</w:t>
      </w:r>
    </w:p>
    <w:p w:rsidR="002039FD" w:rsidRDefault="002039FD">
      <w:pPr>
        <w:pStyle w:val="Web"/>
        <w:numPr>
          <w:ilvl w:val="0"/>
          <w:numId w:val="5"/>
        </w:num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суммарной активностью превышающей в 10 раз МЗА, указанную для радионуклидов стронция: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vertAlign w:val="superscript"/>
        </w:rPr>
        <w:t>89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1+ 06 Бк</w:t>
      </w:r>
      <w:r>
        <w:rPr>
          <w:rFonts w:ascii="Arial" w:hAnsi="Arial" w:cs="Arial"/>
          <w:sz w:val="28"/>
          <w:szCs w:val="28"/>
        </w:rPr>
        <w:tab/>
        <w:t>1 + 03 Бк/г;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vertAlign w:val="superscript"/>
        </w:rPr>
        <w:t>90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1+ 04 Бк</w:t>
      </w:r>
      <w:r>
        <w:rPr>
          <w:rFonts w:ascii="Arial" w:hAnsi="Arial" w:cs="Arial"/>
          <w:sz w:val="28"/>
          <w:szCs w:val="28"/>
        </w:rPr>
        <w:tab/>
        <w:t>1 + 02 Бк/г;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vertAlign w:val="superscript"/>
        </w:rPr>
        <w:t>91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1+ 05 Бк</w:t>
      </w:r>
      <w:r>
        <w:rPr>
          <w:rFonts w:ascii="Arial" w:hAnsi="Arial" w:cs="Arial"/>
          <w:sz w:val="28"/>
          <w:szCs w:val="28"/>
        </w:rPr>
        <w:tab/>
        <w:t>1 + 01 Бк/г;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vertAlign w:val="superscript"/>
        </w:rPr>
        <w:t>92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1+ 06 Бк</w:t>
      </w:r>
      <w:r>
        <w:rPr>
          <w:rFonts w:ascii="Arial" w:hAnsi="Arial" w:cs="Arial"/>
          <w:sz w:val="28"/>
          <w:szCs w:val="28"/>
        </w:rPr>
        <w:tab/>
        <w:t>1 + 01 Бк/г.</w:t>
      </w:r>
    </w:p>
    <w:p w:rsidR="002039FD" w:rsidRDefault="002039FD">
      <w:pPr>
        <w:spacing w:line="360" w:lineRule="auto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При  транспортировке, хранении и упаковке радиоактивные вещества подразделяют условно на три группы (вида):</w:t>
      </w:r>
    </w:p>
    <w:p w:rsidR="002039FD" w:rsidRDefault="002039FD">
      <w:pPr>
        <w:numPr>
          <w:ilvl w:val="0"/>
          <w:numId w:val="22"/>
        </w:numPr>
        <w:spacing w:line="360" w:lineRule="auto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радиоактивные вещества, при распаде которых наряду с β - или α – испускается и γ – излучение;</w:t>
      </w:r>
    </w:p>
    <w:p w:rsidR="002039FD" w:rsidRDefault="002039FD">
      <w:pPr>
        <w:numPr>
          <w:ilvl w:val="0"/>
          <w:numId w:val="22"/>
        </w:numPr>
        <w:spacing w:line="360" w:lineRule="auto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радиоизотопные источники нейтронов или нейтронов и γ – излучения;</w:t>
      </w:r>
    </w:p>
    <w:p w:rsidR="002039FD" w:rsidRDefault="002039FD">
      <w:pPr>
        <w:numPr>
          <w:ilvl w:val="0"/>
          <w:numId w:val="22"/>
        </w:numPr>
        <w:spacing w:line="360" w:lineRule="auto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радиоактивные вещества, излучающие β - или α – частицы.</w:t>
      </w:r>
    </w:p>
    <w:p w:rsidR="002039FD" w:rsidRDefault="002039FD">
      <w:pPr>
        <w:spacing w:line="360" w:lineRule="auto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К числу наиболее часто перевозимых веществ, содержащих изотопы стронция и включаемых в перечни опасных, обычно относят:</w:t>
      </w:r>
    </w:p>
    <w:p w:rsidR="002039FD" w:rsidRDefault="002039FD">
      <w:pPr>
        <w:numPr>
          <w:ilvl w:val="0"/>
          <w:numId w:val="12"/>
        </w:numPr>
        <w:spacing w:line="360" w:lineRule="auto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стронция арсенит № ООН 1691, класс опасности 6,1;</w:t>
      </w:r>
    </w:p>
    <w:p w:rsidR="002039FD" w:rsidRDefault="002039FD">
      <w:pPr>
        <w:numPr>
          <w:ilvl w:val="0"/>
          <w:numId w:val="12"/>
        </w:numPr>
        <w:spacing w:line="360" w:lineRule="auto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стронция диоксид № ООН 1509, класс опасности 5,1;</w:t>
      </w:r>
    </w:p>
    <w:p w:rsidR="002039FD" w:rsidRDefault="002039FD">
      <w:pPr>
        <w:numPr>
          <w:ilvl w:val="0"/>
          <w:numId w:val="12"/>
        </w:numPr>
        <w:spacing w:line="360" w:lineRule="auto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стронция нитрат № ООН 1507, класс опасности 5,1;</w:t>
      </w:r>
    </w:p>
    <w:p w:rsidR="002039FD" w:rsidRDefault="002039FD">
      <w:pPr>
        <w:numPr>
          <w:ilvl w:val="0"/>
          <w:numId w:val="12"/>
        </w:numPr>
        <w:spacing w:line="360" w:lineRule="auto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стронция пероксид № ООН 1509, класс опасности 5,1;</w:t>
      </w:r>
    </w:p>
    <w:p w:rsidR="002039FD" w:rsidRDefault="002039FD">
      <w:pPr>
        <w:numPr>
          <w:ilvl w:val="0"/>
          <w:numId w:val="12"/>
        </w:numPr>
        <w:spacing w:line="360" w:lineRule="auto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стронция перхлорат № ООН 1508, класс опасности 5,1;</w:t>
      </w:r>
    </w:p>
    <w:p w:rsidR="002039FD" w:rsidRDefault="002039FD">
      <w:pPr>
        <w:numPr>
          <w:ilvl w:val="0"/>
          <w:numId w:val="12"/>
        </w:numPr>
        <w:spacing w:line="360" w:lineRule="auto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стронция сплавы пирофорик № ООН 1383, класс опасности 4,2;</w:t>
      </w:r>
    </w:p>
    <w:p w:rsidR="002039FD" w:rsidRDefault="002039FD">
      <w:pPr>
        <w:numPr>
          <w:ilvl w:val="0"/>
          <w:numId w:val="12"/>
        </w:numPr>
        <w:spacing w:line="360" w:lineRule="auto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стронция фосфат № ООН 2013, класс опасности 4,3;</w:t>
      </w:r>
    </w:p>
    <w:p w:rsidR="002039FD" w:rsidRDefault="002039FD">
      <w:pPr>
        <w:numPr>
          <w:ilvl w:val="0"/>
          <w:numId w:val="12"/>
        </w:numPr>
        <w:spacing w:line="360" w:lineRule="auto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стронция арсенит № ООН, класс опасности 6,1;</w:t>
      </w:r>
    </w:p>
    <w:p w:rsidR="002039FD" w:rsidRDefault="002039FD">
      <w:pPr>
        <w:numPr>
          <w:ilvl w:val="0"/>
          <w:numId w:val="12"/>
        </w:numPr>
        <w:spacing w:line="360" w:lineRule="auto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стронция хлорат № ООН 1506, класс опасности 5,1.</w:t>
      </w:r>
    </w:p>
    <w:p w:rsidR="002039FD" w:rsidRDefault="002039FD">
      <w:pPr>
        <w:jc w:val="center"/>
        <w:rPr>
          <w:rFonts w:ascii="Arial" w:hAnsi="Arial" w:cs="Arial"/>
          <w:sz w:val="28"/>
          <w:szCs w:val="28"/>
          <w:lang w:val="ru-RU"/>
        </w:rPr>
      </w:pPr>
    </w:p>
    <w:p w:rsidR="002039FD" w:rsidRDefault="002039FD">
      <w:pPr>
        <w:jc w:val="center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en-US"/>
        </w:rPr>
        <w:t>III</w:t>
      </w:r>
      <w:r>
        <w:rPr>
          <w:rFonts w:ascii="Arial" w:hAnsi="Arial" w:cs="Arial"/>
          <w:sz w:val="28"/>
          <w:szCs w:val="28"/>
          <w:lang w:val="ru-RU"/>
        </w:rPr>
        <w:t>. ДОКУМЕНТЫ, ОПРЕДЕЛЯЮЩИЕ ОБЩИЕ НОРМЫ И ПРАВИЛА ТРАНСПОРТИРОВКИ РАДИОАКТИВНЫХ ВЕЩЕСТВ</w:t>
      </w:r>
    </w:p>
    <w:p w:rsidR="002039FD" w:rsidRDefault="002039FD">
      <w:pPr>
        <w:ind w:left="360"/>
        <w:rPr>
          <w:sz w:val="28"/>
          <w:szCs w:val="28"/>
          <w:lang w:val="ru-RU"/>
        </w:rPr>
      </w:pP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Транспортирование радиоактивных материалов (РМ) и изделий на их основе регламентируется общероссийскими и отраслевыми нормами и правилами, а также международными (межгосударственными) соглашениями.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Главной целью такой регламентации является предотвращение в максимально возможной мере несчастных случаев с людьми, повреждения имущества, транспортных средств и других грузов посредством установления норм безопасности, обеспечивающих приемлемый уровень контроля за радиационной и ядерной опасностью при перевозках РМ.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Изложенные в этих документах нормы и правила безопасности охватывают все операции и условия (в т.ч. и аварийные), связанные с транспортированием РМ, включая классификацию РМ, проектирование, изготовление, испытания и техническое обслуживание транспортных упаковочных контейнеров (ТУК), подготовку, отправку, обработку, перевозку, транзитное хранение упаковок и их приемку грузополучателем.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Вся нормативная документация по перевозкам РМ условно может быть разделена на три группы: </w:t>
      </w:r>
    </w:p>
    <w:p w:rsidR="002039FD" w:rsidRDefault="002039FD">
      <w:pPr>
        <w:numPr>
          <w:ilvl w:val="0"/>
          <w:numId w:val="16"/>
        </w:numPr>
        <w:spacing w:line="360" w:lineRule="auto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</w:rPr>
        <w:t xml:space="preserve">нормативная документация, включенная в перечень Госатомнадзора Российской Федерации П-01-01-98 и являющаяся обязательной при осуществлении надзора за транспортированием </w:t>
      </w:r>
      <w:r>
        <w:rPr>
          <w:rFonts w:ascii="Arial" w:hAnsi="Arial" w:cs="Arial"/>
          <w:sz w:val="28"/>
          <w:szCs w:val="28"/>
          <w:lang w:val="ru-RU"/>
        </w:rPr>
        <w:t>Р</w:t>
      </w:r>
      <w:r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  <w:lang w:val="ru-RU"/>
        </w:rPr>
        <w:t>;</w:t>
      </w:r>
    </w:p>
    <w:p w:rsidR="002039FD" w:rsidRDefault="002039FD">
      <w:pPr>
        <w:numPr>
          <w:ilvl w:val="0"/>
          <w:numId w:val="16"/>
        </w:num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отраслевые правила транспортных ведомств, осуществляющих перевозки </w:t>
      </w:r>
      <w:r>
        <w:rPr>
          <w:rFonts w:ascii="Arial" w:hAnsi="Arial" w:cs="Arial"/>
          <w:sz w:val="28"/>
          <w:szCs w:val="28"/>
          <w:lang w:val="ru-RU"/>
        </w:rPr>
        <w:t>Р</w:t>
      </w:r>
      <w:r>
        <w:rPr>
          <w:rFonts w:ascii="Arial" w:hAnsi="Arial" w:cs="Arial"/>
          <w:sz w:val="28"/>
          <w:szCs w:val="28"/>
        </w:rPr>
        <w:t xml:space="preserve">М и </w:t>
      </w:r>
    </w:p>
    <w:p w:rsidR="002039FD" w:rsidRDefault="002039FD">
      <w:pPr>
        <w:pStyle w:val="Web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международные соглашения и правила безопасной перевозки, имеющие на территории России рекомендательный характер. 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Основным документом, устанавливающим требования к перевозкам РМ за рубежом, являются «Правила безопасной перевозки радиоактивных веществ МАГАТЭ» [ 3 ]. Эти правила впервые были изданы в 1961 г. и в них регулярно вносятся поправки и усовершенствования с учетом прогресса в радиологической защите и в развитии транспортных средств и методов. Последнее всеобъемлющее пересмотренное издание правил транспортировки было опубликовано в 1996 г. 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России в настоящее время, на основе этих правил МАГАТЕ, действуют правила безопасности при транспортировании радиоактивных веществ и ядерных материалов - ПБТРВ-93 и ОПБЗ-93.</w:t>
      </w:r>
    </w:p>
    <w:p w:rsidR="002039FD" w:rsidRDefault="002039FD">
      <w:pPr>
        <w:spacing w:line="360" w:lineRule="auto"/>
        <w:rPr>
          <w:rFonts w:ascii="Arial" w:hAnsi="Arial" w:cs="Arial"/>
          <w:sz w:val="28"/>
          <w:szCs w:val="28"/>
        </w:rPr>
      </w:pP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Перевозка, перегрузка и выгрузка РМ являются видами работ с этими веществами и производятся в строгом соответствии с требованиями НРБ [15] и  ОСПОРБ. В развитие этих норм и правил с учетом рекомендаций МАГАТЭ были введены в действие «Правила безопасности при транспортировании радиоактивных веществ» (ПБТРВ-73) и «Основные правила безопасности и физической защиты при перевозке ядерных материалов» (ОПБЗ-83), являясь обязательными для учреждений, организаций и предприятий, осуществляющих отгрузку, перевозку, погрузочно-разгрузочные работы и хранение РМ или ядерных материалов (ЯМ) [2].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Действие указанных правил распространяются на перевозку РВ с γ- излучением и β-излучением. Под эти правила, как β-излучатели, подпадают и изотопы стронция:</w:t>
      </w:r>
    </w:p>
    <w:p w:rsidR="002039FD" w:rsidRDefault="002039FD">
      <w:pPr>
        <w:pStyle w:val="Web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удельной активностью больше74 Бк/г;</w:t>
      </w:r>
    </w:p>
    <w:p w:rsidR="002039FD" w:rsidRDefault="002039FD">
      <w:pPr>
        <w:pStyle w:val="Web"/>
        <w:numPr>
          <w:ilvl w:val="0"/>
          <w:numId w:val="5"/>
        </w:num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суммарной активностью превышающей в 10 раз МЗА, указанную для радионуклидов стронция: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vertAlign w:val="superscript"/>
        </w:rPr>
        <w:t>89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1+ 06 Бк</w:t>
      </w:r>
      <w:r>
        <w:rPr>
          <w:rFonts w:ascii="Arial" w:hAnsi="Arial" w:cs="Arial"/>
          <w:sz w:val="28"/>
          <w:szCs w:val="28"/>
        </w:rPr>
        <w:tab/>
        <w:t>1 + 03 Бк/г;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vertAlign w:val="superscript"/>
        </w:rPr>
        <w:t>90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1+ 04 Бк</w:t>
      </w:r>
      <w:r>
        <w:rPr>
          <w:rFonts w:ascii="Arial" w:hAnsi="Arial" w:cs="Arial"/>
          <w:sz w:val="28"/>
          <w:szCs w:val="28"/>
        </w:rPr>
        <w:tab/>
        <w:t>1 + 02 Бк/г;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vertAlign w:val="superscript"/>
        </w:rPr>
        <w:t>91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1+ 05 Бк</w:t>
      </w:r>
      <w:r>
        <w:rPr>
          <w:rFonts w:ascii="Arial" w:hAnsi="Arial" w:cs="Arial"/>
          <w:sz w:val="28"/>
          <w:szCs w:val="28"/>
        </w:rPr>
        <w:tab/>
        <w:t>1 + 01 Бк/г;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vertAlign w:val="superscript"/>
        </w:rPr>
        <w:t>92</w:t>
      </w:r>
      <w:r>
        <w:rPr>
          <w:rFonts w:ascii="Arial" w:hAnsi="Arial" w:cs="Arial"/>
          <w:sz w:val="28"/>
          <w:szCs w:val="28"/>
          <w:lang w:val="en-US"/>
        </w:rPr>
        <w:t>Sr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1+ 06 Бк</w:t>
      </w:r>
      <w:r>
        <w:rPr>
          <w:rFonts w:ascii="Arial" w:hAnsi="Arial" w:cs="Arial"/>
          <w:sz w:val="28"/>
          <w:szCs w:val="28"/>
        </w:rPr>
        <w:tab/>
        <w:t>1 + 01 Бк/г.</w:t>
      </w:r>
    </w:p>
    <w:p w:rsidR="002039FD" w:rsidRDefault="002039FD">
      <w:pPr>
        <w:spacing w:line="360" w:lineRule="auto"/>
        <w:ind w:left="360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</w:rPr>
        <w:t>Транспортирование стронция активностью меньше, чем указано, производится в производственно-технической таре, исключающей распространение вещества в окружающую среду, при этом мощность эквивалентной дозы излучений на поверхности тары не должна превышать 3 мкЗв/ч. На внешней поверхности тары не должно быть радиоактивного поверхностного загрязнения, а на внутреннюю поверхность наносится знак радиационной опасности. При соблюдении перечисленных требований такие упаковки перевозятся всеми видами транспорта и почтовой связи и хранятся на общих складах как обычный груз.</w:t>
      </w:r>
    </w:p>
    <w:p w:rsidR="002039FD" w:rsidRDefault="002039FD">
      <w:pPr>
        <w:spacing w:line="360" w:lineRule="auto"/>
        <w:ind w:left="360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Условия транспортирования ОЯТ по погрузке и разгрузке регламентированы ОПБЗ-83 и «Правилами безопасной перевозки отработанного ядерного топлива от атомных электростанций стран-членов СЭВ. Часть 1. Перевозка железнодорожным транспортом», 1978 г. Конструкция транспортных упаковочных комплектов для ОЯТ должна удовлетворять ГОСТ 20.39.30.77, а также разделам 2 и 3 ОПБЗ-83 «Требования безопасности к упаковочным комплектам» и «Испытания упаковочных комплектов».</w:t>
      </w:r>
    </w:p>
    <w:p w:rsidR="002039FD" w:rsidRDefault="002039FD">
      <w:pPr>
        <w:spacing w:line="360" w:lineRule="auto"/>
        <w:ind w:left="360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Для обеспечения безопасности населения при транспортировании РВ и безопасных условий труда персонала при погрузочно-разгрузочных операциях, а также в период сопровождения груза биологическая защита ТУК должна быть такова, чтобы мощность эквивалентной дозы γ-, </w:t>
      </w:r>
      <w:r>
        <w:rPr>
          <w:rFonts w:ascii="Arial" w:hAnsi="Arial" w:cs="Arial"/>
          <w:sz w:val="28"/>
          <w:szCs w:val="28"/>
          <w:lang w:val="en-US"/>
        </w:rPr>
        <w:t>n</w:t>
      </w:r>
      <w:r>
        <w:rPr>
          <w:rFonts w:ascii="Arial" w:hAnsi="Arial" w:cs="Arial"/>
          <w:sz w:val="28"/>
          <w:szCs w:val="28"/>
          <w:lang w:val="ru-RU"/>
        </w:rPr>
        <w:t xml:space="preserve">-излучений в любой точке внешней поверхности транспортного средства, загруженного РВ, которое помимо изотопов стронция, может включать также и другие изотопы, излучающие γ-, </w:t>
      </w:r>
      <w:r>
        <w:rPr>
          <w:rFonts w:ascii="Arial" w:hAnsi="Arial" w:cs="Arial"/>
          <w:sz w:val="28"/>
          <w:szCs w:val="28"/>
          <w:lang w:val="en-US"/>
        </w:rPr>
        <w:t>n</w:t>
      </w:r>
      <w:r>
        <w:rPr>
          <w:rFonts w:ascii="Arial" w:hAnsi="Arial" w:cs="Arial"/>
          <w:sz w:val="28"/>
          <w:szCs w:val="28"/>
          <w:lang w:val="ru-RU"/>
        </w:rPr>
        <w:t>-потоки, как это имеет место в случае ОЯТ, не превышала 2 мЗв/ч, а на расстоянии 2 м от вертикальных (боковых и торцевых) поверхностей вагона-контейнера – 0,1 мЗв/ч.</w:t>
      </w:r>
    </w:p>
    <w:p w:rsidR="002039FD" w:rsidRDefault="002039FD">
      <w:pPr>
        <w:spacing w:line="360" w:lineRule="auto"/>
        <w:ind w:left="360"/>
        <w:rPr>
          <w:rFonts w:ascii="Arial" w:hAnsi="Arial" w:cs="Arial"/>
          <w:sz w:val="28"/>
          <w:szCs w:val="28"/>
          <w:lang w:val="ru-RU"/>
        </w:rPr>
      </w:pPr>
    </w:p>
    <w:p w:rsidR="002039FD" w:rsidRDefault="002039FD">
      <w:pPr>
        <w:spacing w:line="360" w:lineRule="auto"/>
        <w:ind w:left="360"/>
        <w:jc w:val="center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en-US"/>
        </w:rPr>
        <w:t>IV</w:t>
      </w:r>
      <w:r>
        <w:rPr>
          <w:rFonts w:ascii="Arial" w:hAnsi="Arial" w:cs="Arial"/>
          <w:sz w:val="28"/>
          <w:szCs w:val="28"/>
          <w:lang w:val="ru-RU"/>
        </w:rPr>
        <w:t>. ТРАНСПОРТНЫЕ КАТЕГОРИИ РАДИАЦИОННЫХ УПАКОВОК</w:t>
      </w:r>
    </w:p>
    <w:p w:rsidR="002039FD" w:rsidRDefault="002039FD">
      <w:pPr>
        <w:spacing w:line="360" w:lineRule="auto"/>
        <w:ind w:left="360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В зависимости от мощности эквивалентной дозы излучения на поверхности или на расстоянии 1 м от поверхности радиационные упаковки разделяют на транспортные категории табл. 4.1</w:t>
      </w:r>
    </w:p>
    <w:p w:rsidR="002039FD" w:rsidRDefault="002039FD">
      <w:pPr>
        <w:spacing w:line="360" w:lineRule="auto"/>
        <w:ind w:left="360"/>
        <w:jc w:val="right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Таблица 4.1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9"/>
        <w:gridCol w:w="2552"/>
        <w:gridCol w:w="2551"/>
        <w:gridCol w:w="2268"/>
      </w:tblGrid>
      <w:tr w:rsidR="002039FD">
        <w:tc>
          <w:tcPr>
            <w:tcW w:w="2409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Категории упаковок</w:t>
            </w:r>
          </w:p>
        </w:tc>
        <w:tc>
          <w:tcPr>
            <w:tcW w:w="2552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Этикетка транспортных категорий</w:t>
            </w:r>
          </w:p>
        </w:tc>
        <w:tc>
          <w:tcPr>
            <w:tcW w:w="2551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Мощность дозы в любой точке наружной упаковки,</w:t>
            </w:r>
          </w:p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мЗв/ч (мбэр/ч)</w:t>
            </w:r>
          </w:p>
        </w:tc>
        <w:tc>
          <w:tcPr>
            <w:tcW w:w="2268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Транспортный индекс</w:t>
            </w:r>
          </w:p>
        </w:tc>
      </w:tr>
      <w:tr w:rsidR="002039FD">
        <w:tc>
          <w:tcPr>
            <w:tcW w:w="2409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</w:p>
        </w:tc>
        <w:tc>
          <w:tcPr>
            <w:tcW w:w="2552" w:type="dxa"/>
            <w:vAlign w:val="center"/>
          </w:tcPr>
          <w:p w:rsidR="002039FD" w:rsidRDefault="002039FD">
            <w:pPr>
              <w:spacing w:line="360" w:lineRule="auto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Белая с одной красной полосой</w:t>
            </w:r>
          </w:p>
        </w:tc>
        <w:tc>
          <w:tcPr>
            <w:tcW w:w="2551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5 х 10</w:t>
            </w:r>
            <w:r>
              <w:rPr>
                <w:rFonts w:ascii="Arial" w:hAnsi="Arial" w:cs="Arial"/>
                <w:sz w:val="22"/>
                <w:szCs w:val="22"/>
                <w:vertAlign w:val="superscript"/>
                <w:lang w:val="ru-RU"/>
              </w:rPr>
              <w:t xml:space="preserve">-3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(0,5)</w:t>
            </w:r>
          </w:p>
        </w:tc>
        <w:tc>
          <w:tcPr>
            <w:tcW w:w="2268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не учитывается</w:t>
            </w:r>
          </w:p>
        </w:tc>
      </w:tr>
      <w:tr w:rsidR="002039FD">
        <w:tc>
          <w:tcPr>
            <w:tcW w:w="2409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II</w:t>
            </w:r>
          </w:p>
        </w:tc>
        <w:tc>
          <w:tcPr>
            <w:tcW w:w="2552" w:type="dxa"/>
            <w:vAlign w:val="center"/>
          </w:tcPr>
          <w:p w:rsidR="002039FD" w:rsidRDefault="002039FD">
            <w:pPr>
              <w:spacing w:line="360" w:lineRule="auto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Желтая с двумя красными полосами</w:t>
            </w:r>
          </w:p>
        </w:tc>
        <w:tc>
          <w:tcPr>
            <w:tcW w:w="2551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0,5 (50)</w:t>
            </w:r>
          </w:p>
        </w:tc>
        <w:tc>
          <w:tcPr>
            <w:tcW w:w="2268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</w:p>
        </w:tc>
      </w:tr>
      <w:tr w:rsidR="002039FD">
        <w:tc>
          <w:tcPr>
            <w:tcW w:w="2409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III</w:t>
            </w:r>
          </w:p>
        </w:tc>
        <w:tc>
          <w:tcPr>
            <w:tcW w:w="2552" w:type="dxa"/>
            <w:vAlign w:val="center"/>
          </w:tcPr>
          <w:p w:rsidR="002039FD" w:rsidRDefault="002039FD">
            <w:pPr>
              <w:spacing w:line="360" w:lineRule="auto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Желтая с тремя красными полосами</w:t>
            </w:r>
          </w:p>
        </w:tc>
        <w:tc>
          <w:tcPr>
            <w:tcW w:w="2551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2,0 (200)</w:t>
            </w:r>
          </w:p>
        </w:tc>
        <w:tc>
          <w:tcPr>
            <w:tcW w:w="2268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10</w:t>
            </w:r>
          </w:p>
        </w:tc>
      </w:tr>
      <w:tr w:rsidR="002039FD">
        <w:tc>
          <w:tcPr>
            <w:tcW w:w="2409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VI</w:t>
            </w:r>
          </w:p>
        </w:tc>
        <w:tc>
          <w:tcPr>
            <w:tcW w:w="2552" w:type="dxa"/>
            <w:vAlign w:val="center"/>
          </w:tcPr>
          <w:p w:rsidR="002039FD" w:rsidRDefault="002039FD">
            <w:pPr>
              <w:spacing w:line="360" w:lineRule="auto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Желтая с четырьмя полосами</w:t>
            </w:r>
          </w:p>
        </w:tc>
        <w:tc>
          <w:tcPr>
            <w:tcW w:w="2551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10,0 (1000)</w:t>
            </w:r>
          </w:p>
        </w:tc>
        <w:tc>
          <w:tcPr>
            <w:tcW w:w="2268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50</w:t>
            </w:r>
          </w:p>
        </w:tc>
      </w:tr>
    </w:tbl>
    <w:p w:rsidR="002039FD" w:rsidRDefault="002039FD">
      <w:pPr>
        <w:spacing w:line="360" w:lineRule="auto"/>
        <w:ind w:left="360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Поскольку безопасность перевозки РВ в значительной мере определяется качеством упаковочных комплектов, последние должны соответствовать следующим основным требованиям:</w:t>
      </w:r>
    </w:p>
    <w:p w:rsidR="002039FD" w:rsidRDefault="002039FD">
      <w:pPr>
        <w:numPr>
          <w:ilvl w:val="0"/>
          <w:numId w:val="26"/>
        </w:numPr>
        <w:spacing w:line="360" w:lineRule="auto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предотвращать распространение радиоактивных веществ в окружающую среду в условиях перевозки с возможными аварийными случаями;</w:t>
      </w:r>
    </w:p>
    <w:p w:rsidR="002039FD" w:rsidRDefault="002039FD">
      <w:pPr>
        <w:numPr>
          <w:ilvl w:val="0"/>
          <w:numId w:val="26"/>
        </w:numPr>
        <w:spacing w:line="360" w:lineRule="auto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ослаблять мощность дозы до уровня указанного в таблице 4.1.</w:t>
      </w:r>
    </w:p>
    <w:p w:rsidR="002039FD" w:rsidRDefault="002039FD">
      <w:pPr>
        <w:spacing w:line="360" w:lineRule="auto"/>
        <w:ind w:left="360"/>
        <w:jc w:val="center"/>
        <w:rPr>
          <w:rFonts w:ascii="Arial" w:hAnsi="Arial" w:cs="Arial"/>
          <w:sz w:val="28"/>
          <w:szCs w:val="28"/>
          <w:lang w:val="ru-RU"/>
        </w:rPr>
      </w:pPr>
    </w:p>
    <w:p w:rsidR="002039FD" w:rsidRDefault="002039FD">
      <w:pPr>
        <w:spacing w:line="360" w:lineRule="auto"/>
        <w:ind w:left="360"/>
        <w:jc w:val="center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en-US"/>
        </w:rPr>
        <w:t>V</w:t>
      </w:r>
      <w:r>
        <w:rPr>
          <w:rFonts w:ascii="Arial" w:hAnsi="Arial" w:cs="Arial"/>
          <w:sz w:val="28"/>
          <w:szCs w:val="28"/>
          <w:lang w:val="ru-RU"/>
        </w:rPr>
        <w:t>. ТРЕБОВАНИЯ К ИЗОТОПАМ СТРОНЦИЯ, ПЕРЕВОЗИМЫМ РАЗЛИЧНЫМИ ВИДАМИ ТРАНСПОРТА</w:t>
      </w:r>
    </w:p>
    <w:p w:rsidR="002039FD" w:rsidRDefault="002039FD">
      <w:pPr>
        <w:spacing w:line="360" w:lineRule="auto"/>
        <w:ind w:left="360"/>
        <w:rPr>
          <w:rFonts w:ascii="Arial" w:hAnsi="Arial" w:cs="Arial"/>
          <w:color w:val="auto"/>
          <w:sz w:val="28"/>
          <w:szCs w:val="28"/>
          <w:lang w:val="ru-RU"/>
        </w:rPr>
      </w:pPr>
      <w:r>
        <w:rPr>
          <w:rFonts w:ascii="Arial" w:hAnsi="Arial" w:cs="Arial"/>
          <w:color w:val="auto"/>
          <w:sz w:val="28"/>
          <w:szCs w:val="28"/>
          <w:lang w:val="ru-RU"/>
        </w:rPr>
        <w:t>Транспортировка источников излучения внутри помещений, на территории учреждений должна производится в контейнерах на специальных транспортных устройствах.</w:t>
      </w:r>
    </w:p>
    <w:p w:rsidR="002039FD" w:rsidRDefault="002039FD">
      <w:pPr>
        <w:spacing w:line="360" w:lineRule="auto"/>
        <w:ind w:left="360"/>
        <w:rPr>
          <w:rFonts w:ascii="Arial" w:hAnsi="Arial" w:cs="Arial"/>
          <w:color w:val="auto"/>
          <w:sz w:val="28"/>
          <w:szCs w:val="28"/>
          <w:lang w:val="ru-RU"/>
        </w:rPr>
      </w:pPr>
      <w:r>
        <w:rPr>
          <w:rFonts w:ascii="Arial" w:hAnsi="Arial" w:cs="Arial"/>
          <w:color w:val="auto"/>
          <w:sz w:val="28"/>
          <w:szCs w:val="28"/>
          <w:lang w:val="ru-RU"/>
        </w:rPr>
        <w:t>При перевозке РВ всеми видами транспорта необходимо:</w:t>
      </w:r>
    </w:p>
    <w:p w:rsidR="002039FD" w:rsidRDefault="002039FD">
      <w:pPr>
        <w:numPr>
          <w:ilvl w:val="0"/>
          <w:numId w:val="24"/>
        </w:numPr>
        <w:spacing w:line="360" w:lineRule="auto"/>
        <w:rPr>
          <w:rFonts w:ascii="Arial" w:hAnsi="Arial" w:cs="Arial"/>
          <w:color w:val="auto"/>
          <w:sz w:val="28"/>
          <w:szCs w:val="28"/>
          <w:lang w:val="ru-RU"/>
        </w:rPr>
      </w:pPr>
      <w:r>
        <w:rPr>
          <w:rFonts w:ascii="Arial" w:hAnsi="Arial" w:cs="Arial"/>
          <w:color w:val="auto"/>
          <w:sz w:val="28"/>
          <w:szCs w:val="28"/>
          <w:lang w:val="ru-RU"/>
        </w:rPr>
        <w:t>помещать РВ в упаковки, обеспечивающие защиту лиц, постоянно занятых приемкой, разгрузкой, хранением, выдачей, погрузкой и транспортировкой упаковок и отдельных лиц из населения от облучения свыше ПД или свыше контрольных доз, установленных администрацией;</w:t>
      </w:r>
    </w:p>
    <w:p w:rsidR="002039FD" w:rsidRDefault="002039FD">
      <w:pPr>
        <w:numPr>
          <w:ilvl w:val="0"/>
          <w:numId w:val="24"/>
        </w:numPr>
        <w:spacing w:line="360" w:lineRule="auto"/>
        <w:rPr>
          <w:rFonts w:ascii="Arial" w:hAnsi="Arial" w:cs="Arial"/>
          <w:color w:val="auto"/>
          <w:sz w:val="28"/>
          <w:szCs w:val="28"/>
          <w:lang w:val="ru-RU"/>
        </w:rPr>
      </w:pPr>
      <w:r>
        <w:rPr>
          <w:rFonts w:ascii="Arial" w:hAnsi="Arial" w:cs="Arial"/>
          <w:color w:val="auto"/>
          <w:sz w:val="28"/>
          <w:szCs w:val="28"/>
          <w:lang w:val="ru-RU"/>
        </w:rPr>
        <w:t>принимать необходимые меры для предотвращения загрязнения РВ упаковки, транспортных средств и перевозимых с этими веществами обычных грузов свыше ДУЗ</w:t>
      </w:r>
      <w:r>
        <w:rPr>
          <w:rFonts w:ascii="Arial" w:hAnsi="Arial" w:cs="Arial"/>
          <w:color w:val="auto"/>
          <w:sz w:val="28"/>
          <w:szCs w:val="28"/>
          <w:vertAlign w:val="subscript"/>
          <w:lang w:val="ru-RU"/>
        </w:rPr>
        <w:t>А</w:t>
      </w:r>
      <w:r>
        <w:rPr>
          <w:rFonts w:ascii="Arial" w:hAnsi="Arial" w:cs="Arial"/>
          <w:color w:val="auto"/>
          <w:sz w:val="28"/>
          <w:szCs w:val="28"/>
          <w:lang w:val="ru-RU"/>
        </w:rPr>
        <w:t>, указанных в таблице 5.1</w:t>
      </w:r>
    </w:p>
    <w:p w:rsidR="002039FD" w:rsidRDefault="002039FD">
      <w:pPr>
        <w:spacing w:line="360" w:lineRule="auto"/>
        <w:ind w:left="360"/>
        <w:jc w:val="right"/>
        <w:rPr>
          <w:rFonts w:ascii="Arial" w:hAnsi="Arial" w:cs="Arial"/>
          <w:color w:val="auto"/>
          <w:sz w:val="28"/>
          <w:szCs w:val="28"/>
          <w:lang w:val="ru-RU"/>
        </w:rPr>
      </w:pPr>
    </w:p>
    <w:p w:rsidR="002039FD" w:rsidRDefault="002039FD">
      <w:pPr>
        <w:spacing w:line="360" w:lineRule="auto"/>
        <w:ind w:left="360"/>
        <w:jc w:val="right"/>
        <w:rPr>
          <w:rFonts w:ascii="Arial" w:hAnsi="Arial" w:cs="Arial"/>
          <w:color w:val="auto"/>
          <w:sz w:val="28"/>
          <w:szCs w:val="28"/>
          <w:lang w:val="ru-RU"/>
        </w:rPr>
      </w:pPr>
    </w:p>
    <w:p w:rsidR="002039FD" w:rsidRDefault="002039FD">
      <w:pPr>
        <w:spacing w:line="360" w:lineRule="auto"/>
        <w:ind w:left="360"/>
        <w:jc w:val="right"/>
        <w:rPr>
          <w:rFonts w:ascii="Arial" w:hAnsi="Arial" w:cs="Arial"/>
          <w:color w:val="auto"/>
          <w:sz w:val="28"/>
          <w:szCs w:val="28"/>
          <w:lang w:val="ru-RU"/>
        </w:rPr>
      </w:pPr>
    </w:p>
    <w:p w:rsidR="002039FD" w:rsidRDefault="002039FD">
      <w:pPr>
        <w:spacing w:line="360" w:lineRule="auto"/>
        <w:ind w:left="360"/>
        <w:jc w:val="right"/>
        <w:rPr>
          <w:rFonts w:ascii="Arial" w:hAnsi="Arial" w:cs="Arial"/>
          <w:color w:val="auto"/>
          <w:sz w:val="28"/>
          <w:szCs w:val="28"/>
          <w:lang w:val="ru-RU"/>
        </w:rPr>
      </w:pPr>
    </w:p>
    <w:p w:rsidR="002039FD" w:rsidRDefault="002039FD">
      <w:pPr>
        <w:spacing w:line="360" w:lineRule="auto"/>
        <w:ind w:left="360"/>
        <w:jc w:val="right"/>
        <w:rPr>
          <w:rFonts w:ascii="Arial" w:hAnsi="Arial" w:cs="Arial"/>
          <w:color w:val="auto"/>
          <w:sz w:val="28"/>
          <w:szCs w:val="28"/>
          <w:lang w:val="ru-RU"/>
        </w:rPr>
      </w:pPr>
    </w:p>
    <w:p w:rsidR="002039FD" w:rsidRDefault="002039FD">
      <w:pPr>
        <w:spacing w:line="360" w:lineRule="auto"/>
        <w:ind w:left="360"/>
        <w:jc w:val="right"/>
        <w:rPr>
          <w:rFonts w:ascii="Arial" w:hAnsi="Arial" w:cs="Arial"/>
          <w:color w:val="auto"/>
          <w:sz w:val="28"/>
          <w:szCs w:val="28"/>
          <w:lang w:val="ru-RU"/>
        </w:rPr>
      </w:pPr>
      <w:r>
        <w:rPr>
          <w:rFonts w:ascii="Arial" w:hAnsi="Arial" w:cs="Arial"/>
          <w:color w:val="auto"/>
          <w:sz w:val="28"/>
          <w:szCs w:val="28"/>
          <w:lang w:val="ru-RU"/>
        </w:rPr>
        <w:t>Таблица 5.1</w:t>
      </w:r>
    </w:p>
    <w:tbl>
      <w:tblPr>
        <w:tblW w:w="1012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4"/>
        <w:gridCol w:w="2126"/>
        <w:gridCol w:w="1843"/>
        <w:gridCol w:w="1842"/>
        <w:gridCol w:w="1808"/>
      </w:tblGrid>
      <w:tr w:rsidR="002039FD">
        <w:trPr>
          <w:cantSplit/>
        </w:trPr>
        <w:tc>
          <w:tcPr>
            <w:tcW w:w="2504" w:type="dxa"/>
            <w:vMerge w:val="restart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Объект загрязнения</w:t>
            </w:r>
          </w:p>
        </w:tc>
        <w:tc>
          <w:tcPr>
            <w:tcW w:w="7619" w:type="dxa"/>
            <w:gridSpan w:val="4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Вид загрязнения</w:t>
            </w:r>
          </w:p>
        </w:tc>
      </w:tr>
      <w:tr w:rsidR="002039FD">
        <w:trPr>
          <w:cantSplit/>
        </w:trPr>
        <w:tc>
          <w:tcPr>
            <w:tcW w:w="2504" w:type="dxa"/>
            <w:vMerge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</w:p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снимаемое</w:t>
            </w:r>
          </w:p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(нефиксированное)</w:t>
            </w:r>
          </w:p>
        </w:tc>
        <w:tc>
          <w:tcPr>
            <w:tcW w:w="3650" w:type="dxa"/>
            <w:gridSpan w:val="2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</w:p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неснимаемое</w:t>
            </w:r>
          </w:p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(фиксированное)</w:t>
            </w:r>
          </w:p>
        </w:tc>
      </w:tr>
      <w:tr w:rsidR="002039FD">
        <w:trPr>
          <w:cantSplit/>
        </w:trPr>
        <w:tc>
          <w:tcPr>
            <w:tcW w:w="2504" w:type="dxa"/>
            <w:vMerge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α-активные радионуклиды</w:t>
            </w:r>
          </w:p>
        </w:tc>
        <w:tc>
          <w:tcPr>
            <w:tcW w:w="1843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β-активные радионуклиды</w:t>
            </w:r>
          </w:p>
        </w:tc>
        <w:tc>
          <w:tcPr>
            <w:tcW w:w="1842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α-активные радионуклиды</w:t>
            </w:r>
          </w:p>
        </w:tc>
        <w:tc>
          <w:tcPr>
            <w:tcW w:w="1808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β-активные радионуклиды </w:t>
            </w:r>
          </w:p>
        </w:tc>
      </w:tr>
      <w:tr w:rsidR="002039FD">
        <w:tc>
          <w:tcPr>
            <w:tcW w:w="2504" w:type="dxa"/>
            <w:vAlign w:val="center"/>
          </w:tcPr>
          <w:p w:rsidR="002039FD" w:rsidRDefault="002039FD">
            <w:pPr>
              <w:spacing w:line="360" w:lineRule="auto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Наружная поверхность охранной тары контейнера</w:t>
            </w:r>
          </w:p>
        </w:tc>
        <w:tc>
          <w:tcPr>
            <w:tcW w:w="2126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не допускается</w:t>
            </w:r>
          </w:p>
        </w:tc>
        <w:tc>
          <w:tcPr>
            <w:tcW w:w="1843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не допускается</w:t>
            </w:r>
          </w:p>
        </w:tc>
        <w:tc>
          <w:tcPr>
            <w:tcW w:w="1842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не допускается</w:t>
            </w:r>
          </w:p>
        </w:tc>
        <w:tc>
          <w:tcPr>
            <w:tcW w:w="1808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200</w:t>
            </w:r>
          </w:p>
        </w:tc>
      </w:tr>
      <w:tr w:rsidR="002039FD">
        <w:tc>
          <w:tcPr>
            <w:tcW w:w="2504" w:type="dxa"/>
            <w:vAlign w:val="center"/>
          </w:tcPr>
          <w:p w:rsidR="002039FD" w:rsidRDefault="002039FD">
            <w:pPr>
              <w:spacing w:line="360" w:lineRule="auto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Наружная поверхность вагона-контейнера</w:t>
            </w:r>
          </w:p>
        </w:tc>
        <w:tc>
          <w:tcPr>
            <w:tcW w:w="2126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не допускается</w:t>
            </w:r>
          </w:p>
        </w:tc>
        <w:tc>
          <w:tcPr>
            <w:tcW w:w="1843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не допускается</w:t>
            </w:r>
          </w:p>
        </w:tc>
        <w:tc>
          <w:tcPr>
            <w:tcW w:w="1842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не допускается</w:t>
            </w:r>
          </w:p>
        </w:tc>
        <w:tc>
          <w:tcPr>
            <w:tcW w:w="1808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200</w:t>
            </w:r>
          </w:p>
        </w:tc>
      </w:tr>
      <w:tr w:rsidR="002039FD">
        <w:tc>
          <w:tcPr>
            <w:tcW w:w="2504" w:type="dxa"/>
            <w:vAlign w:val="center"/>
          </w:tcPr>
          <w:p w:rsidR="002039FD" w:rsidRDefault="002039FD">
            <w:pPr>
              <w:spacing w:line="360" w:lineRule="auto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Внутренняя поверхность охранной тары контейнера</w:t>
            </w:r>
          </w:p>
        </w:tc>
        <w:tc>
          <w:tcPr>
            <w:tcW w:w="2126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1,0</w:t>
            </w:r>
          </w:p>
        </w:tc>
        <w:tc>
          <w:tcPr>
            <w:tcW w:w="1843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100</w:t>
            </w:r>
          </w:p>
        </w:tc>
        <w:tc>
          <w:tcPr>
            <w:tcW w:w="1842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не допускается</w:t>
            </w:r>
          </w:p>
        </w:tc>
        <w:tc>
          <w:tcPr>
            <w:tcW w:w="1808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2000</w:t>
            </w:r>
          </w:p>
        </w:tc>
      </w:tr>
      <w:tr w:rsidR="002039FD">
        <w:tc>
          <w:tcPr>
            <w:tcW w:w="2504" w:type="dxa"/>
            <w:vAlign w:val="center"/>
          </w:tcPr>
          <w:p w:rsidR="002039FD" w:rsidRDefault="002039FD">
            <w:pPr>
              <w:spacing w:line="360" w:lineRule="auto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Наружная поверхность транспортного контейнера</w:t>
            </w:r>
          </w:p>
        </w:tc>
        <w:tc>
          <w:tcPr>
            <w:tcW w:w="2126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1,0</w:t>
            </w:r>
          </w:p>
        </w:tc>
        <w:tc>
          <w:tcPr>
            <w:tcW w:w="1843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100</w:t>
            </w:r>
          </w:p>
        </w:tc>
        <w:tc>
          <w:tcPr>
            <w:tcW w:w="1842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не допускается</w:t>
            </w:r>
          </w:p>
        </w:tc>
        <w:tc>
          <w:tcPr>
            <w:tcW w:w="1808" w:type="dxa"/>
            <w:vAlign w:val="center"/>
          </w:tcPr>
          <w:p w:rsidR="002039FD" w:rsidRDefault="002039FD">
            <w:pPr>
              <w:spacing w:line="36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2000</w:t>
            </w:r>
          </w:p>
        </w:tc>
      </w:tr>
    </w:tbl>
    <w:p w:rsidR="002039FD" w:rsidRDefault="002039FD">
      <w:pPr>
        <w:numPr>
          <w:ilvl w:val="0"/>
          <w:numId w:val="24"/>
        </w:numPr>
        <w:spacing w:line="360" w:lineRule="auto"/>
        <w:rPr>
          <w:rFonts w:ascii="Arial" w:hAnsi="Arial" w:cs="Arial"/>
          <w:color w:val="auto"/>
          <w:sz w:val="28"/>
          <w:szCs w:val="28"/>
          <w:lang w:val="ru-RU"/>
        </w:rPr>
      </w:pPr>
      <w:r>
        <w:rPr>
          <w:rFonts w:ascii="Arial" w:hAnsi="Arial" w:cs="Arial"/>
          <w:color w:val="auto"/>
          <w:sz w:val="28"/>
          <w:szCs w:val="28"/>
          <w:lang w:val="ru-RU"/>
        </w:rPr>
        <w:t>осуществлять погрузку и выгрузку упаковок с РВ  с возможно более короткими сроками с использованием погрузочно-разгрузочных средств;</w:t>
      </w:r>
    </w:p>
    <w:p w:rsidR="002039FD" w:rsidRDefault="002039FD">
      <w:pPr>
        <w:numPr>
          <w:ilvl w:val="0"/>
          <w:numId w:val="24"/>
        </w:numPr>
        <w:spacing w:line="360" w:lineRule="auto"/>
        <w:rPr>
          <w:rFonts w:ascii="Arial" w:hAnsi="Arial" w:cs="Arial"/>
          <w:color w:val="auto"/>
          <w:sz w:val="28"/>
          <w:szCs w:val="28"/>
          <w:lang w:val="ru-RU"/>
        </w:rPr>
      </w:pPr>
      <w:r>
        <w:rPr>
          <w:rFonts w:ascii="Arial" w:hAnsi="Arial" w:cs="Arial"/>
          <w:color w:val="auto"/>
          <w:sz w:val="28"/>
          <w:szCs w:val="28"/>
          <w:lang w:val="ru-RU"/>
        </w:rPr>
        <w:t>размещать упаковки с РВ на таких расстояниях от мест пребывания людей, чтобы дозы облучения не превышали допустимых значений.</w:t>
      </w:r>
    </w:p>
    <w:p w:rsidR="002039FD" w:rsidRDefault="002039FD">
      <w:pPr>
        <w:spacing w:line="360" w:lineRule="auto"/>
        <w:ind w:left="360"/>
        <w:rPr>
          <w:rFonts w:ascii="Arial" w:hAnsi="Arial" w:cs="Arial"/>
          <w:color w:val="auto"/>
          <w:sz w:val="28"/>
          <w:szCs w:val="28"/>
          <w:lang w:val="ru-RU"/>
        </w:rPr>
      </w:pPr>
      <w:r>
        <w:rPr>
          <w:rFonts w:ascii="Arial" w:hAnsi="Arial" w:cs="Arial"/>
          <w:color w:val="auto"/>
          <w:sz w:val="28"/>
          <w:szCs w:val="28"/>
          <w:lang w:val="ru-RU"/>
        </w:rPr>
        <w:t xml:space="preserve"> Следует помнить также о возможности засвечивания непроявленных кино- и фото, и рентгеновских пленок и пластинок и размещать упаковки с ними на расстояниях, обеспечивающих полную сохранность этих материалов.</w:t>
      </w:r>
    </w:p>
    <w:p w:rsidR="002039FD" w:rsidRDefault="002039FD">
      <w:pPr>
        <w:spacing w:line="360" w:lineRule="auto"/>
        <w:ind w:left="360"/>
        <w:rPr>
          <w:rFonts w:ascii="Arial" w:hAnsi="Arial" w:cs="Arial"/>
          <w:color w:val="auto"/>
          <w:sz w:val="28"/>
          <w:szCs w:val="28"/>
          <w:lang w:val="ru-RU"/>
        </w:rPr>
      </w:pPr>
      <w:r>
        <w:rPr>
          <w:rFonts w:ascii="Arial" w:hAnsi="Arial" w:cs="Arial"/>
          <w:color w:val="auto"/>
          <w:sz w:val="28"/>
          <w:szCs w:val="28"/>
          <w:lang w:val="ru-RU"/>
        </w:rPr>
        <w:t>Перевозка радиоактивных веществ в упаковках всех транспортных категорий сожжет осуществляться воздушным, железнодорожным, морским, речным или автомобильным транспортом с соблюдением установленных для каждого вида транспорта специфических правил.</w:t>
      </w:r>
    </w:p>
    <w:p w:rsidR="002039FD" w:rsidRDefault="002039FD">
      <w:pPr>
        <w:spacing w:line="360" w:lineRule="auto"/>
        <w:ind w:left="360"/>
        <w:rPr>
          <w:rFonts w:ascii="Arial" w:hAnsi="Arial" w:cs="Arial"/>
          <w:color w:val="auto"/>
          <w:sz w:val="28"/>
          <w:szCs w:val="28"/>
          <w:lang w:val="ru-RU"/>
        </w:rPr>
      </w:pPr>
      <w:r>
        <w:rPr>
          <w:rFonts w:ascii="Arial" w:hAnsi="Arial" w:cs="Arial"/>
          <w:color w:val="auto"/>
          <w:sz w:val="28"/>
          <w:szCs w:val="28"/>
          <w:lang w:val="ru-RU"/>
        </w:rPr>
        <w:t xml:space="preserve">Чтобы обеспечить безопасность при перевозках, запрещается транспортировать упаковки с радиоактивными веществами общественным городским транспортом (трамваями, троллейбусами, автобусами, метро, пассажирскими вагонами пригородных поездов). Разрешается перевозка  упаковок </w:t>
      </w:r>
      <w:r>
        <w:rPr>
          <w:rFonts w:ascii="Arial" w:hAnsi="Arial" w:cs="Arial"/>
          <w:color w:val="auto"/>
          <w:sz w:val="28"/>
          <w:szCs w:val="28"/>
          <w:lang w:val="en-US"/>
        </w:rPr>
        <w:t>I</w:t>
      </w:r>
      <w:r>
        <w:rPr>
          <w:rFonts w:ascii="Arial" w:hAnsi="Arial" w:cs="Arial"/>
          <w:color w:val="auto"/>
          <w:sz w:val="28"/>
          <w:szCs w:val="28"/>
          <w:lang w:val="ru-RU"/>
        </w:rPr>
        <w:t xml:space="preserve"> и </w:t>
      </w:r>
      <w:r>
        <w:rPr>
          <w:rFonts w:ascii="Arial" w:hAnsi="Arial" w:cs="Arial"/>
          <w:color w:val="auto"/>
          <w:sz w:val="28"/>
          <w:szCs w:val="28"/>
          <w:lang w:val="en-US"/>
        </w:rPr>
        <w:t>II</w:t>
      </w:r>
      <w:r>
        <w:rPr>
          <w:rFonts w:ascii="Arial" w:hAnsi="Arial" w:cs="Arial"/>
          <w:color w:val="auto"/>
          <w:sz w:val="28"/>
          <w:szCs w:val="28"/>
          <w:lang w:val="ru-RU"/>
        </w:rPr>
        <w:t xml:space="preserve"> категорий в такси без посторонних пассажиров.</w:t>
      </w:r>
    </w:p>
    <w:p w:rsidR="002039FD" w:rsidRDefault="002039FD">
      <w:pPr>
        <w:spacing w:line="360" w:lineRule="auto"/>
        <w:ind w:left="360"/>
        <w:rPr>
          <w:rFonts w:ascii="Arial" w:hAnsi="Arial" w:cs="Arial"/>
          <w:color w:val="auto"/>
          <w:sz w:val="28"/>
          <w:szCs w:val="28"/>
          <w:lang w:val="ru-RU"/>
        </w:rPr>
      </w:pPr>
      <w:r>
        <w:rPr>
          <w:rFonts w:ascii="Arial" w:hAnsi="Arial" w:cs="Arial"/>
          <w:color w:val="auto"/>
          <w:sz w:val="28"/>
          <w:szCs w:val="28"/>
          <w:lang w:val="ru-RU"/>
        </w:rPr>
        <w:t>Запрещается перевозить и хранить упаковки с радиоактивными веществами вместе с легковоспламеняющимися, взрывчатыми и едкими веществами, сжатыми и сжиженными газами.</w:t>
      </w:r>
    </w:p>
    <w:p w:rsidR="002039FD" w:rsidRDefault="002039FD">
      <w:pPr>
        <w:spacing w:line="360" w:lineRule="auto"/>
        <w:ind w:left="360"/>
        <w:rPr>
          <w:rFonts w:ascii="Arial" w:hAnsi="Arial" w:cs="Arial"/>
          <w:color w:val="auto"/>
          <w:sz w:val="28"/>
          <w:szCs w:val="28"/>
          <w:lang w:val="ru-RU"/>
        </w:rPr>
      </w:pPr>
      <w:r>
        <w:rPr>
          <w:rFonts w:ascii="Arial" w:hAnsi="Arial" w:cs="Arial"/>
          <w:color w:val="auto"/>
          <w:sz w:val="28"/>
          <w:szCs w:val="28"/>
          <w:lang w:val="ru-RU"/>
        </w:rPr>
        <w:t>Организация-отправитель снабжает упаковки с радиоактивными веществами сопроводительными документами, в которых указывает наименование вещества, группа активности, транспортную категорию или транспортный индекс и массу радиационной упаковки, а также штемпель «радиоактивность» на документах. Указанные документы сопровождают груз на всем пути следования (вкладываются в наружную упаковку).</w:t>
      </w:r>
    </w:p>
    <w:p w:rsidR="002039FD" w:rsidRDefault="002039FD">
      <w:pPr>
        <w:spacing w:line="360" w:lineRule="auto"/>
        <w:ind w:left="360"/>
        <w:rPr>
          <w:rFonts w:ascii="Arial" w:hAnsi="Arial" w:cs="Arial"/>
          <w:color w:val="auto"/>
          <w:sz w:val="28"/>
          <w:szCs w:val="28"/>
          <w:lang w:val="ru-RU"/>
        </w:rPr>
      </w:pPr>
      <w:r>
        <w:rPr>
          <w:rFonts w:ascii="Arial" w:hAnsi="Arial" w:cs="Arial"/>
          <w:color w:val="auto"/>
          <w:sz w:val="28"/>
          <w:szCs w:val="28"/>
          <w:lang w:val="ru-RU"/>
        </w:rPr>
        <w:t xml:space="preserve">Перевозки упаковки с радиоактивными веществами </w:t>
      </w:r>
      <w:r>
        <w:rPr>
          <w:rFonts w:ascii="Arial" w:hAnsi="Arial" w:cs="Arial"/>
          <w:color w:val="auto"/>
          <w:sz w:val="28"/>
          <w:szCs w:val="28"/>
          <w:lang w:val="en-US"/>
        </w:rPr>
        <w:t>I</w:t>
      </w:r>
      <w:r>
        <w:rPr>
          <w:rFonts w:ascii="Arial" w:hAnsi="Arial" w:cs="Arial"/>
          <w:color w:val="auto"/>
          <w:sz w:val="28"/>
          <w:szCs w:val="28"/>
          <w:lang w:val="ru-RU"/>
        </w:rPr>
        <w:t xml:space="preserve"> – </w:t>
      </w:r>
      <w:r>
        <w:rPr>
          <w:rFonts w:ascii="Arial" w:hAnsi="Arial" w:cs="Arial"/>
          <w:color w:val="auto"/>
          <w:sz w:val="28"/>
          <w:szCs w:val="28"/>
          <w:lang w:val="en-US"/>
        </w:rPr>
        <w:t>III</w:t>
      </w:r>
      <w:r>
        <w:rPr>
          <w:rFonts w:ascii="Arial" w:hAnsi="Arial" w:cs="Arial"/>
          <w:color w:val="auto"/>
          <w:sz w:val="28"/>
          <w:szCs w:val="28"/>
          <w:lang w:val="ru-RU"/>
        </w:rPr>
        <w:t xml:space="preserve"> категорий на самолеты, морские и речные суда осуществляется  транспортной организацией, если их суммарный транспортный индекс не превышает 50. То же относится и к перевозкам в универсальных контейнерах МПС и к мелким отправкам на железнодорожных станциях. В остальных случаях погрузки всех упаковок, в том числе </w:t>
      </w:r>
      <w:r>
        <w:rPr>
          <w:rFonts w:ascii="Arial" w:hAnsi="Arial" w:cs="Arial"/>
          <w:color w:val="auto"/>
          <w:sz w:val="28"/>
          <w:szCs w:val="28"/>
          <w:lang w:val="en-US"/>
        </w:rPr>
        <w:t>I</w:t>
      </w:r>
      <w:r>
        <w:rPr>
          <w:rFonts w:ascii="Arial" w:hAnsi="Arial" w:cs="Arial"/>
          <w:color w:val="auto"/>
          <w:sz w:val="28"/>
          <w:szCs w:val="28"/>
          <w:lang w:val="ru-RU"/>
        </w:rPr>
        <w:t xml:space="preserve"> и </w:t>
      </w:r>
      <w:r>
        <w:rPr>
          <w:rFonts w:ascii="Arial" w:hAnsi="Arial" w:cs="Arial"/>
          <w:color w:val="auto"/>
          <w:sz w:val="28"/>
          <w:szCs w:val="28"/>
          <w:lang w:val="en-US"/>
        </w:rPr>
        <w:t>II</w:t>
      </w:r>
      <w:r>
        <w:rPr>
          <w:rFonts w:ascii="Arial" w:hAnsi="Arial" w:cs="Arial"/>
          <w:color w:val="auto"/>
          <w:sz w:val="28"/>
          <w:szCs w:val="28"/>
          <w:lang w:val="ru-RU"/>
        </w:rPr>
        <w:t xml:space="preserve"> транспортных категорий, производят организации-отправители, а выгрузку – организации-получатели.</w:t>
      </w:r>
    </w:p>
    <w:p w:rsidR="002039FD" w:rsidRDefault="002039FD">
      <w:pPr>
        <w:spacing w:line="360" w:lineRule="auto"/>
        <w:ind w:left="360"/>
        <w:rPr>
          <w:rFonts w:ascii="Arial" w:hAnsi="Arial" w:cs="Arial"/>
          <w:color w:val="auto"/>
          <w:sz w:val="28"/>
          <w:szCs w:val="28"/>
          <w:lang w:val="ru-RU"/>
        </w:rPr>
      </w:pPr>
      <w:r>
        <w:rPr>
          <w:rFonts w:ascii="Arial" w:hAnsi="Arial" w:cs="Arial"/>
          <w:color w:val="auto"/>
          <w:sz w:val="28"/>
          <w:szCs w:val="28"/>
          <w:lang w:val="ru-RU"/>
        </w:rPr>
        <w:t>По прибытии упаковок с радиоактивными веществами начальник соответствующего пункта назначения обязан немедленно известить об этом получателя. Упаковки с радиоактивными веществами выдаются получателю с пломбой отправителя без проверки их содержимого  и массы. Получатель имеет право производить контрольную проверку радиоактивности загрязненности внешней поверхности упаковок и соответствие их транспортным категориям. При обнаружении несоответствия получатель обязан поставить в известность организацию-отправителя.</w:t>
      </w:r>
    </w:p>
    <w:p w:rsidR="002039FD" w:rsidRDefault="002039FD">
      <w:pPr>
        <w:spacing w:line="360" w:lineRule="auto"/>
        <w:ind w:left="360"/>
        <w:rPr>
          <w:rFonts w:ascii="Arial" w:hAnsi="Arial" w:cs="Arial"/>
          <w:color w:val="auto"/>
          <w:sz w:val="28"/>
          <w:szCs w:val="28"/>
          <w:lang w:val="ru-RU"/>
        </w:rPr>
      </w:pPr>
      <w:r>
        <w:rPr>
          <w:rFonts w:ascii="Arial" w:hAnsi="Arial" w:cs="Arial"/>
          <w:color w:val="auto"/>
          <w:sz w:val="28"/>
          <w:szCs w:val="28"/>
          <w:lang w:val="ru-RU"/>
        </w:rPr>
        <w:t>При нарушении целостности наружной упаковки оформляется акт в установленном порядке, без вскрытия защитного контейнера и проверки его содержимого. Результаты проверки оформляются актом с участием местных органов санитарного надзора и Министерства внутренних дел. Если обнаружится частичная или полная утрата радиоактивного вещества, необходимо установить место нахождения утраченного вещества и места возможного радиоактивного загрязнения.</w:t>
      </w:r>
    </w:p>
    <w:p w:rsidR="002039FD" w:rsidRDefault="002039FD">
      <w:pPr>
        <w:spacing w:line="360" w:lineRule="auto"/>
        <w:ind w:left="360"/>
        <w:rPr>
          <w:rFonts w:ascii="Arial" w:hAnsi="Arial" w:cs="Arial"/>
          <w:color w:val="auto"/>
          <w:sz w:val="28"/>
          <w:szCs w:val="28"/>
          <w:lang w:val="ru-RU"/>
        </w:rPr>
      </w:pPr>
      <w:r>
        <w:rPr>
          <w:rFonts w:ascii="Arial" w:hAnsi="Arial" w:cs="Arial"/>
          <w:color w:val="auto"/>
          <w:sz w:val="28"/>
          <w:szCs w:val="28"/>
          <w:lang w:val="ru-RU"/>
        </w:rPr>
        <w:t xml:space="preserve">Упаковки </w:t>
      </w:r>
      <w:r>
        <w:rPr>
          <w:rFonts w:ascii="Arial" w:hAnsi="Arial" w:cs="Arial"/>
          <w:color w:val="auto"/>
          <w:sz w:val="28"/>
          <w:szCs w:val="28"/>
          <w:lang w:val="en-US"/>
        </w:rPr>
        <w:t>I</w:t>
      </w:r>
      <w:r>
        <w:rPr>
          <w:rFonts w:ascii="Arial" w:hAnsi="Arial" w:cs="Arial"/>
          <w:color w:val="auto"/>
          <w:sz w:val="28"/>
          <w:szCs w:val="28"/>
          <w:lang w:val="ru-RU"/>
        </w:rPr>
        <w:t xml:space="preserve"> – </w:t>
      </w:r>
      <w:r>
        <w:rPr>
          <w:rFonts w:ascii="Arial" w:hAnsi="Arial" w:cs="Arial"/>
          <w:color w:val="auto"/>
          <w:sz w:val="28"/>
          <w:szCs w:val="28"/>
          <w:lang w:val="en-US"/>
        </w:rPr>
        <w:t>III</w:t>
      </w:r>
      <w:r>
        <w:rPr>
          <w:rFonts w:ascii="Arial" w:hAnsi="Arial" w:cs="Arial"/>
          <w:color w:val="auto"/>
          <w:sz w:val="28"/>
          <w:szCs w:val="28"/>
          <w:lang w:val="ru-RU"/>
        </w:rPr>
        <w:t xml:space="preserve"> транспортных категорий могут временно храниться на грузовых складах пункта назначения в таком количестве, чтобы сумма транспортных индексов не превышала 50. Упаковки </w:t>
      </w:r>
      <w:r>
        <w:rPr>
          <w:rFonts w:ascii="Arial" w:hAnsi="Arial" w:cs="Arial"/>
          <w:color w:val="auto"/>
          <w:sz w:val="28"/>
          <w:szCs w:val="28"/>
          <w:lang w:val="en-US"/>
        </w:rPr>
        <w:t>IV</w:t>
      </w:r>
      <w:r>
        <w:rPr>
          <w:rFonts w:ascii="Arial" w:hAnsi="Arial" w:cs="Arial"/>
          <w:color w:val="auto"/>
          <w:sz w:val="28"/>
          <w:szCs w:val="28"/>
          <w:lang w:val="ru-RU"/>
        </w:rPr>
        <w:t xml:space="preserve"> категории не разрешается хранить на обычных складах.</w:t>
      </w:r>
    </w:p>
    <w:p w:rsidR="002039FD" w:rsidRDefault="002039FD">
      <w:pPr>
        <w:spacing w:line="360" w:lineRule="auto"/>
        <w:ind w:left="360"/>
        <w:rPr>
          <w:rFonts w:ascii="Arial" w:hAnsi="Arial" w:cs="Arial"/>
          <w:color w:val="auto"/>
          <w:sz w:val="28"/>
          <w:szCs w:val="28"/>
          <w:lang w:val="ru-RU"/>
        </w:rPr>
      </w:pPr>
    </w:p>
    <w:p w:rsidR="002039FD" w:rsidRDefault="002039FD">
      <w:pPr>
        <w:pStyle w:val="Web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VI</w:t>
      </w:r>
      <w:r>
        <w:rPr>
          <w:rFonts w:ascii="Arial" w:hAnsi="Arial" w:cs="Arial"/>
          <w:sz w:val="28"/>
          <w:szCs w:val="28"/>
        </w:rPr>
        <w:t>. ТРЕБОВАНИЯ К ТРАНСПОРТНЫМ УПАКОВОЧНЫМ КОМПЛЕКТАМ И МЕТОДЫ ИХ ИСПЫТАНИЯ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Требования к упаковкам и транспортным упаковочным комплектам (ТУК) устанавливаются правилами [4, 5, 13]. Наиболее полный объем требований содержится в правилах МАГАТЭ для всех видов упаковок. Правилами ОПБЗ-83 установлены требования только для ТУК типов А и В, которые практически совпадают с требованиями, содержащимися в правилах МАГАТЭ.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Упаковочный комплект А должен сохранять герметичность и защитные свойства в условиях малой аварии, не сопровождающихся температурным воздействием Упаковочный комплект В должен сохранять герметичность и защитные свойства от ионизирующих излучений в условиях малой и средней аварий, сопровождающихся температурным воздействием.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выполнения указанных требований упаковочные комплекты А и В должны в своем составе иметь следующие детали:</w:t>
      </w:r>
    </w:p>
    <w:p w:rsidR="002039FD" w:rsidRDefault="002039FD">
      <w:pPr>
        <w:pStyle w:val="Web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первичную емкость для непосредственного размещения в ней радиоактивных веществ (запаянные стеклянные или металлические ампулы или флаконы для жидкостей и газов, пеналы или ампулы с притертой пробкой для твердых радиоактивных веществ);</w:t>
      </w:r>
    </w:p>
    <w:p w:rsidR="002039FD" w:rsidRDefault="002039FD">
      <w:pPr>
        <w:pStyle w:val="Web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дополнительные материал и детали, предназначенные для предохранения первичной емкости от разрушения при толчках и ударах, а также для предотвращения проникновения радиоактивных веществ за пределы упаковок в случаях повреждения первичной емкости и для ослабления излучения. Дополнительными материалами служат специальные держатели, вкладыши, парафиновые сосуды, сорбирующие материалы и т.п.;</w:t>
      </w:r>
    </w:p>
    <w:p w:rsidR="002039FD" w:rsidRDefault="002039FD">
      <w:pPr>
        <w:pStyle w:val="Web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охранные емкости для повышения сохранности первичной емкости;</w:t>
      </w:r>
    </w:p>
    <w:p w:rsidR="002039FD" w:rsidRDefault="002039FD">
      <w:pPr>
        <w:pStyle w:val="Web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вторичные емкости для исключения распространения радиоактивных веществ в аварийных ситуациях;</w:t>
      </w:r>
    </w:p>
    <w:p w:rsidR="002039FD" w:rsidRDefault="002039FD">
      <w:pPr>
        <w:pStyle w:val="Web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защитный контейнер, предназначенный для ослабления излучения радиоактивных веществ. Материал и размеры защитных контейнеров выбирают в зависимости от группы перевозимых радиоактивных веществ, их активности и категории упаковок;</w:t>
      </w:r>
    </w:p>
    <w:p w:rsidR="002039FD" w:rsidRDefault="002039FD">
      <w:pPr>
        <w:pStyle w:val="Web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вкладыш, установленный в защитный контейнер для дополнительного ослабления излучения;</w:t>
      </w:r>
    </w:p>
    <w:p w:rsidR="002039FD" w:rsidRDefault="002039FD">
      <w:pPr>
        <w:pStyle w:val="Web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вспомогательные стаканы для удобства загрузки емкости в защитный контейнер;</w:t>
      </w:r>
    </w:p>
    <w:p w:rsidR="002039FD" w:rsidRDefault="002039FD">
      <w:pPr>
        <w:pStyle w:val="Web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наружные упаковки из картона или металла, предназначенные для предотвращения загрязнения радиоактивными веществами обслуживающего персонал, перевозимых совместно грузов, помещений и транспортных средств, для защиты контейнеров от поверхностных загрязнения и механических повреждений. 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Наружные упаковки должны иметь гладкую поверхность (легко дезактивируемую), знак радиационной опасности. Транспортировка контейнеров с радиоактивными веществами без наружных упаковок запрещается. Правилами ПБТРВ-73 установлены значения максимально допустимой активности для 260 радионуклидов при транспортировке или в упаковочном комплекте типа А.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 правилам МАГАТЭ для ТУК типа А установлена температура внешней среды от -50 С, до +38 С и, кроме того, после проведения испытаний не допускается увеличение МЭД на поверхности упаковки.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ТУК типа В после проведения испытаний на нормальные условия перевозки должны предотвращать утечку содержимого более (10-6) A2 в час и повышение мощности экспонирующей дозы (МЭД) на поверхности упаковки более, чем на 20% (по правилам ОПБЗ-83 повышение МЭД не допускается).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ТУК типа В после проведения испытаний на аварийные ситуации должен предотвращать потерю РВ более А2 за неделю и превышение МЭД величиной 1 бэр/ч на расстоянии 1 м от любой точки внешней поверхности ТУК. Для подтверждения ядерной безопасности эффективный коэффициент упаковки после проведения испытаний на нормальные условия перевозки и аварийные ситуации не должен превысить 0,95.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Испытания упаковочных комплектов на нормальные условия перевозки включают в себя:</w:t>
      </w:r>
    </w:p>
    <w:p w:rsidR="002039FD" w:rsidRDefault="002039FD">
      <w:pPr>
        <w:pStyle w:val="Web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испытание на свободное падение,</w:t>
      </w:r>
    </w:p>
    <w:p w:rsidR="002039FD" w:rsidRDefault="002039FD">
      <w:pPr>
        <w:pStyle w:val="Web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испытание на укладку штабелем (сжатие), </w:t>
      </w:r>
    </w:p>
    <w:p w:rsidR="002039FD" w:rsidRDefault="002039FD">
      <w:pPr>
        <w:pStyle w:val="Web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испытание на глубину разрушения.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Испытание на свободное падение заключается в сбрасывании образца на плоскую мишень с высоты от 0,3 до 1,2 м в зависимости от массы упаковки таким образом, чтобы причинить наибольшее повреждение элементам, обеспечивающим безопасность.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 испытаниях на сжатие образец в течение 24 ч подвергается сжатию с усилием, равным 5-ти кратной массе упаковки, или произведению 0,13 кгс/см на площадь вертикальной проекции упаковки.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 испытаниях на удар стержень массой 6 кг и диаметром 3,2 см сбрасывается с высоты 1 м на наименее прочную часть образца так, чтобы он задел систему герметизации.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ТУК типа А, предназначенные для перевозок жидких РВ (жидких и газообразных по правилам МАГАТЭ), подвергаются дополнительным испытаниям на свободное падение с высоты 9 м на мишень и на удар при падении груза с высоты 1,7 м. Допускается проведение одного дополнительного вида испытаний, если можно доказать, что такое испытание является более серьезным для данного образца.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Испытания упаковочных комплектов (ТУК типа В) на аварийные ситуации включают в себя:</w:t>
      </w:r>
    </w:p>
    <w:p w:rsidR="002039FD" w:rsidRDefault="002039FD">
      <w:pPr>
        <w:pStyle w:val="Web"/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испытания на механические повреждения,</w:t>
      </w:r>
    </w:p>
    <w:p w:rsidR="002039FD" w:rsidRDefault="002039FD">
      <w:pPr>
        <w:pStyle w:val="Web"/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тепловые испытания,</w:t>
      </w:r>
    </w:p>
    <w:p w:rsidR="002039FD" w:rsidRDefault="002039FD">
      <w:pPr>
        <w:pStyle w:val="Web"/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испытания погружением в воду.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Первые два вида испытаний проводятся на одном образце, испытания погружением в воду проводятся на отдельном образце.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Испытания на механические повреждения проводятся в два этапа. При первом испытании образец сбрасывается с высоты 9 м на мишень таким образом, чтобы он получал максимальные повреждения. При повторном испытании образец сбрасывается с высоты 1 м на штырь диаметром 15 см и высотой не менее 20 см при аналогичном условии. Указанным испытаниям могут предшествовать предварительные испытания на моделях ТУК с целью определения условий нанесения образцам максимальных повреждений при проведении основных испытаний.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 тепловых испытаниях поврежденный при механических испытаниях образец подвергается воздействию температуры 800 С° в течение 30 минут. После проведения испытаний в течение 3 ч не допускается искусственное охлаждение образца или тушение горящих конструкционных материалов.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 испытаниях погружением в воду образец должен находиться под водой на глубине не менее 15м (под давлением воды 1,5 кгс/см2) не менее 8 ч. При испытаниях по ядерной безопасности упаковок I и II класса, а также упаковок, при оценке безопасности которых не предполагалось втекание или вытекание воды, приводящее к наибольшей реактивности, поврежденные образцы после проведения механических и тепловых испытаний должны быть подвергнуты дополнительному испытанию путем погружения в воду на глубину не менее 0,3 м в течение не менее 8 ч при температуре воды 38 С° в таком положении, при котором происходит максимальная протечка (4.2). В настоящее время условия этих испытаний ужесточены: ТУК типа В должны выдерживать погружение в воду на глубину 200 м.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1996 г. МАГАТЕ опубликовано новое пересмотренное издание Правила безопасной перевозки радиоактивных веществ. 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Изменения, внесенные в Правила МАГАТЭ и касающиеся опасностей, связанных с изотопами стронция, включают:</w:t>
      </w:r>
    </w:p>
    <w:p w:rsidR="002039FD" w:rsidRDefault="002039FD">
      <w:pPr>
        <w:pStyle w:val="Web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введение правил для упаковок типа С для повышения уровня требований к испытаниям на удар и загорание для перевозок воздушным транспортом;</w:t>
      </w:r>
    </w:p>
    <w:p w:rsidR="002039FD" w:rsidRDefault="002039FD">
      <w:pPr>
        <w:pStyle w:val="Web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введение понятия "материал с очень низкой степенью диспергирования" (Very Low Dispersability Material - VLDM) (4.1).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настоящее время МАГАТЭ рассматривает необходимость введения повышенных требований к проведению испытаний на падение и загорание для упаковок типа С для воздушных перевозок значимых количеств ЯМ в порошкообразном виде. Для воздушной транспортировки теперь необходимо использовать упаковки, соответствующие этим требованиям, или прошедшие перепроектирование, или содержащие материал VLDM-типа (с очень низкой степенью диспергирования). </w:t>
      </w:r>
    </w:p>
    <w:p w:rsidR="002039FD" w:rsidRDefault="002039FD">
      <w:pPr>
        <w:pStyle w:val="Web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ВЫВОДЫ</w:t>
      </w:r>
    </w:p>
    <w:p w:rsidR="002039FD" w:rsidRDefault="002039FD">
      <w:pPr>
        <w:pStyle w:val="Web"/>
        <w:jc w:val="lef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Исходя из опасности, которую представляют изотопы стронция, в ходящие, в частности, в состав отработанного ядерного топлива для человека при их попадании в окружающую среду, международной организацией МАГАТЭ, а также российским Госатомнадзором постоянно совершенствуются правила и нормы, регламентирующие перевозку различными видами транспорта материалов, содержащих эти изотопы. 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При этом необходимо особо отметить, что подавляющая часть перевозок ядерных материалов на территории России осуществляется железнодорожным транспортом. 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Вот некоторые оценки его сегодняшнего состояния, приведенные в СМИ за последние несколько лет.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начале сентября 2000 года на конференции в рамках Общероссийского форума промышленников и предпринимателей в Нижнем Новгороде Илья Клебанов сообщил, что по состоянию на 2000 г до 70 % всего рельсового хозяйства страны находилось в неудовлетворительном, а то и предаварийном состоянии. (За последние четыре года износ путей увеличился с 51 до 69 %, что наглядно показывает негативную тенденцию).</w:t>
      </w:r>
    </w:p>
    <w:p w:rsidR="002039FD" w:rsidRDefault="002039F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Велика аварийность на Российских железных дорогах и особое беспокойство вызывают аварии с опасными грузами.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Ежедневно более 2 000 тонн тротилсодержащих взрывчатых веществ, высокочувствительных к механическим воздействиям, перевозится по территории России различными видами транспорта (значительная часть - железнодорожным). Это около 350 тысяч тонн взрывчатых веществ в год </w:t>
      </w:r>
      <w:r>
        <w:rPr>
          <w:rFonts w:ascii="Arial" w:hAnsi="Arial" w:cs="Arial"/>
          <w:sz w:val="28"/>
          <w:szCs w:val="28"/>
          <w:lang w:val="en-US"/>
        </w:rPr>
        <w:t>[20]</w:t>
      </w:r>
      <w:r>
        <w:rPr>
          <w:rFonts w:ascii="Arial" w:hAnsi="Arial" w:cs="Arial"/>
          <w:sz w:val="28"/>
          <w:szCs w:val="28"/>
        </w:rPr>
        <w:t xml:space="preserve">. Естественно, все это создает повышенную опасность для других грузов, перевозимых по железной дороге. </w:t>
      </w:r>
    </w:p>
    <w:p w:rsidR="002039FD" w:rsidRDefault="002039FD">
      <w:pPr>
        <w:pStyle w:val="Web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Угрозу безопасности перевозок представляет также наличие вблизи железнодорожных путей магистральных трубопроводов. Известны последствия аварии в июле 1989 г. на участке между Челябинском и Уфой, когда в результате взрыва конденсата газа на продуктопроводе вблизи железнодорожного полотна сгорели два пассажирских поездов. Погибли около 340 человек, госпитализированы более 800. 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Существенной угрозой безопасности движения остаются столкновения железнодорожного транспорта с автомобильным на нерегулируемых переездах. Как показывают расчеты, введение на некоторых участках только одного переезда повышает аварийную опасность на 10% [18]. Даже в Японии, где состояние железнодорожного хозяйства несравнимо надежнее российского, столкновения на переездах являются причиной 22% крушений и аварий поездов [19]. 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Не до конца исследованы вопросы влияния геодинамической опасности на безопасность железнодорожных перевозок, хотя опасные геодинамические явления при эксплуатации железных дорог в последнее время участились [20].</w:t>
      </w:r>
    </w:p>
    <w:p w:rsidR="002039FD" w:rsidRDefault="002039FD">
      <w:pPr>
        <w:pStyle w:val="Web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Очевидно, что степени безопасности специализированного подвижного состава и контейнеров Минатома и оборудования и инфраструктуры Российской железной дороги несопоставимы. </w:t>
      </w:r>
      <w:r>
        <w:rPr>
          <w:rFonts w:ascii="Arial" w:hAnsi="Arial" w:cs="Arial"/>
          <w:b/>
          <w:bCs/>
          <w:sz w:val="28"/>
          <w:szCs w:val="28"/>
        </w:rPr>
        <w:t>Именно железная дорога является "тонким звеном" в цепи системы безопасности перевозок ядерных материалов.</w:t>
      </w:r>
    </w:p>
    <w:p w:rsidR="002039FD" w:rsidRDefault="002039FD">
      <w:pPr>
        <w:pStyle w:val="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Не вызывает сомнений, и повышенная уязвимость железнодорожной инфраструктуры к проявлениям терроризма.</w:t>
      </w:r>
    </w:p>
    <w:p w:rsidR="002039FD" w:rsidRDefault="002039FD">
      <w:pPr>
        <w:pStyle w:val="Web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Таким образом, в современных условиях </w:t>
      </w:r>
    </w:p>
    <w:p w:rsidR="002039FD" w:rsidRDefault="002039FD">
      <w:pPr>
        <w:pStyle w:val="Web"/>
        <w:numPr>
          <w:ilvl w:val="0"/>
          <w:numId w:val="27"/>
        </w:numPr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активизации перевозок (для России - это прежде всего железнодорожным транспортом) самых разнообразных, в том числе и опасных грузов, и, как следствие, возникающих при этом аварий, а также </w:t>
      </w:r>
    </w:p>
    <w:p w:rsidR="002039FD" w:rsidRDefault="002039FD">
      <w:pPr>
        <w:pStyle w:val="Web"/>
        <w:numPr>
          <w:ilvl w:val="0"/>
          <w:numId w:val="27"/>
        </w:numPr>
        <w:jc w:val="lef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возрастания опасности международного терроризма, использующего в качестве предметов шантажа радиоактивные материалы, </w:t>
      </w:r>
      <w:r>
        <w:rPr>
          <w:rFonts w:ascii="Arial" w:hAnsi="Arial" w:cs="Arial"/>
          <w:b/>
          <w:bCs/>
          <w:sz w:val="28"/>
          <w:szCs w:val="28"/>
        </w:rPr>
        <w:t>постоянное совершенствование указанных документов является реальной необходимостью.</w:t>
      </w:r>
    </w:p>
    <w:p w:rsidR="002039FD" w:rsidRDefault="002039FD">
      <w:pPr>
        <w:pStyle w:val="Web"/>
        <w:ind w:left="72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Вместе с тем, достижения научно-технического прогресса в области новых материалов, создания специальных транспортных средств и химических материалов позволяют надеяться, что перевозки РМ станут в ближайшем будущем более безопасными для населения территорий, по которым осуществляется транспортировка.</w:t>
      </w:r>
    </w:p>
    <w:p w:rsidR="002039FD" w:rsidRDefault="002039FD">
      <w:pPr>
        <w:pStyle w:val="Web"/>
        <w:ind w:left="720"/>
        <w:jc w:val="left"/>
        <w:rPr>
          <w:rFonts w:ascii="Arial" w:hAnsi="Arial" w:cs="Arial"/>
          <w:sz w:val="28"/>
          <w:szCs w:val="28"/>
        </w:rPr>
      </w:pPr>
    </w:p>
    <w:p w:rsidR="002039FD" w:rsidRDefault="002039FD">
      <w:pPr>
        <w:pStyle w:val="Web"/>
        <w:ind w:left="720"/>
        <w:jc w:val="left"/>
        <w:rPr>
          <w:rFonts w:ascii="Arial" w:hAnsi="Arial" w:cs="Arial"/>
          <w:sz w:val="28"/>
          <w:szCs w:val="28"/>
        </w:rPr>
      </w:pPr>
    </w:p>
    <w:p w:rsidR="002039FD" w:rsidRDefault="002039FD">
      <w:pPr>
        <w:pStyle w:val="Web"/>
        <w:ind w:left="720"/>
        <w:jc w:val="left"/>
        <w:rPr>
          <w:rFonts w:ascii="Arial" w:hAnsi="Arial" w:cs="Arial"/>
          <w:sz w:val="28"/>
          <w:szCs w:val="28"/>
        </w:rPr>
      </w:pPr>
    </w:p>
    <w:p w:rsidR="002039FD" w:rsidRDefault="002039FD">
      <w:pPr>
        <w:pStyle w:val="Web"/>
        <w:ind w:left="720"/>
        <w:jc w:val="left"/>
        <w:rPr>
          <w:rFonts w:ascii="Arial" w:hAnsi="Arial" w:cs="Arial"/>
          <w:sz w:val="28"/>
          <w:szCs w:val="28"/>
        </w:rPr>
      </w:pPr>
    </w:p>
    <w:p w:rsidR="002039FD" w:rsidRDefault="002039FD">
      <w:pPr>
        <w:pStyle w:val="Web"/>
        <w:ind w:left="720"/>
        <w:jc w:val="left"/>
        <w:rPr>
          <w:rFonts w:ascii="Arial" w:hAnsi="Arial" w:cs="Arial"/>
          <w:sz w:val="28"/>
          <w:szCs w:val="28"/>
        </w:rPr>
      </w:pPr>
    </w:p>
    <w:p w:rsidR="002039FD" w:rsidRDefault="002039FD">
      <w:pPr>
        <w:pStyle w:val="Web"/>
        <w:ind w:left="720"/>
        <w:jc w:val="left"/>
        <w:rPr>
          <w:rFonts w:ascii="Arial" w:hAnsi="Arial" w:cs="Arial"/>
          <w:sz w:val="28"/>
          <w:szCs w:val="28"/>
        </w:rPr>
      </w:pPr>
    </w:p>
    <w:p w:rsidR="002039FD" w:rsidRDefault="002039FD">
      <w:pPr>
        <w:pStyle w:val="Web"/>
        <w:ind w:left="720"/>
        <w:jc w:val="left"/>
        <w:rPr>
          <w:rFonts w:ascii="Arial" w:hAnsi="Arial" w:cs="Arial"/>
          <w:sz w:val="28"/>
          <w:szCs w:val="28"/>
        </w:rPr>
      </w:pPr>
    </w:p>
    <w:p w:rsidR="002039FD" w:rsidRDefault="002039FD">
      <w:pPr>
        <w:pStyle w:val="Web"/>
        <w:ind w:left="720"/>
        <w:jc w:val="left"/>
        <w:rPr>
          <w:rFonts w:ascii="Arial" w:hAnsi="Arial" w:cs="Arial"/>
          <w:sz w:val="28"/>
          <w:szCs w:val="28"/>
        </w:rPr>
      </w:pPr>
    </w:p>
    <w:p w:rsidR="002039FD" w:rsidRDefault="002039FD">
      <w:pPr>
        <w:pStyle w:val="Web"/>
        <w:ind w:left="720"/>
        <w:jc w:val="left"/>
        <w:rPr>
          <w:rFonts w:ascii="Arial" w:hAnsi="Arial" w:cs="Arial"/>
          <w:sz w:val="28"/>
          <w:szCs w:val="28"/>
        </w:rPr>
      </w:pPr>
    </w:p>
    <w:p w:rsidR="002039FD" w:rsidRDefault="002039FD">
      <w:pPr>
        <w:pStyle w:val="Web"/>
        <w:ind w:left="720"/>
        <w:jc w:val="left"/>
        <w:rPr>
          <w:rFonts w:ascii="Arial" w:hAnsi="Arial" w:cs="Arial"/>
          <w:sz w:val="28"/>
          <w:szCs w:val="28"/>
        </w:rPr>
      </w:pPr>
    </w:p>
    <w:p w:rsidR="002039FD" w:rsidRDefault="002039FD">
      <w:pPr>
        <w:pStyle w:val="Web"/>
        <w:jc w:val="center"/>
        <w:rPr>
          <w:rFonts w:ascii="Arial" w:hAnsi="Arial" w:cs="Arial"/>
          <w:sz w:val="28"/>
          <w:szCs w:val="28"/>
        </w:rPr>
      </w:pPr>
    </w:p>
    <w:p w:rsidR="002039FD" w:rsidRDefault="002039FD">
      <w:pPr>
        <w:pStyle w:val="Web"/>
        <w:jc w:val="center"/>
        <w:rPr>
          <w:rFonts w:ascii="Arial" w:hAnsi="Arial" w:cs="Arial"/>
          <w:sz w:val="28"/>
          <w:szCs w:val="28"/>
        </w:rPr>
      </w:pPr>
    </w:p>
    <w:p w:rsidR="002039FD" w:rsidRDefault="002039FD">
      <w:pPr>
        <w:pStyle w:val="Web"/>
        <w:jc w:val="center"/>
        <w:rPr>
          <w:rFonts w:ascii="Arial" w:hAnsi="Arial" w:cs="Arial"/>
          <w:sz w:val="28"/>
          <w:szCs w:val="28"/>
        </w:rPr>
      </w:pPr>
    </w:p>
    <w:p w:rsidR="002039FD" w:rsidRDefault="002039FD">
      <w:pPr>
        <w:pStyle w:val="Web"/>
        <w:jc w:val="center"/>
        <w:rPr>
          <w:rFonts w:ascii="Arial" w:hAnsi="Arial" w:cs="Arial"/>
          <w:sz w:val="28"/>
          <w:szCs w:val="28"/>
        </w:rPr>
      </w:pPr>
    </w:p>
    <w:p w:rsidR="002039FD" w:rsidRDefault="002039FD">
      <w:pPr>
        <w:pStyle w:val="Web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СПИСОК ИСПОЛЬЗОВАННОЙ ЛИТЕРАТУРЫ</w:t>
      </w:r>
    </w:p>
    <w:p w:rsidR="002039FD" w:rsidRDefault="002039FD">
      <w:pPr>
        <w:numPr>
          <w:ilvl w:val="0"/>
          <w:numId w:val="8"/>
        </w:numPr>
        <w:spacing w:line="360" w:lineRule="auto"/>
        <w:rPr>
          <w:rFonts w:ascii="Arial" w:hAnsi="Arial" w:cs="Arial"/>
          <w:color w:val="auto"/>
          <w:sz w:val="28"/>
          <w:szCs w:val="28"/>
          <w:lang w:val="ru-RU"/>
        </w:rPr>
      </w:pPr>
      <w:r>
        <w:rPr>
          <w:rFonts w:ascii="Arial" w:hAnsi="Arial" w:cs="Arial"/>
          <w:color w:val="auto"/>
          <w:sz w:val="28"/>
          <w:szCs w:val="28"/>
          <w:lang w:val="ru-RU"/>
        </w:rPr>
        <w:t>Пивоваров Ю. П. Радиационная экология: Уч. пособие для студентов высших учебных заведений. /Ю. П. Пивоваров и др. – М.: Изд. Центр «Академия», 2004, -240 с.</w:t>
      </w:r>
    </w:p>
    <w:p w:rsidR="002039FD" w:rsidRDefault="002039FD">
      <w:pPr>
        <w:numPr>
          <w:ilvl w:val="0"/>
          <w:numId w:val="8"/>
        </w:numPr>
        <w:spacing w:line="360" w:lineRule="auto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  <w:lang w:val="ru-RU"/>
        </w:rPr>
        <w:t>Радиационная безопасность. – Б.м.: Международное агентство по атомной энергии, 1996, -20 с.</w:t>
      </w:r>
    </w:p>
    <w:p w:rsidR="002039FD" w:rsidRDefault="002039FD">
      <w:pPr>
        <w:numPr>
          <w:ilvl w:val="0"/>
          <w:numId w:val="8"/>
        </w:numPr>
        <w:spacing w:line="360" w:lineRule="auto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>Правила безопасной перевозки радиоактивных веществ, издание 1985 г. (исправленное в 1990 г.), МАГАТЕ, Вена.</w:t>
      </w:r>
    </w:p>
    <w:p w:rsidR="002039FD" w:rsidRDefault="002039FD">
      <w:pPr>
        <w:pStyle w:val="Web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Правила безопасности при транспортировании радиоактивных веществ (ПБТРВ-73). М., Атомиздат, 1974</w:t>
      </w:r>
    </w:p>
    <w:p w:rsidR="002039FD" w:rsidRDefault="002039FD">
      <w:pPr>
        <w:pStyle w:val="Web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Основные правила безопасности и физической защиты при перевозке ядерных материалов (ОПБЗ-83). М., ЦНИИатоминформ, 1984</w:t>
      </w:r>
    </w:p>
    <w:p w:rsidR="002039FD" w:rsidRDefault="002039FD">
      <w:pPr>
        <w:pStyle w:val="Web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Положение о порядке перевозок в Российской Федерации делящихся ядерных материалов воздушным транспортом» (ПВП ЯДМ-93) </w:t>
      </w:r>
    </w:p>
    <w:p w:rsidR="002039FD" w:rsidRDefault="002039FD">
      <w:pPr>
        <w:pStyle w:val="Web"/>
        <w:numPr>
          <w:ilvl w:val="0"/>
          <w:numId w:val="8"/>
        </w:numPr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Специальные требования на перевозку воздушным транспортом упаковок ТК-4С со свежим топливом реакторов ВВЭР-440:</w:t>
      </w:r>
      <w:r>
        <w:rPr>
          <w:rFonts w:ascii="Arial" w:hAnsi="Arial" w:cs="Arial"/>
          <w:sz w:val="28"/>
          <w:szCs w:val="28"/>
        </w:rPr>
        <w:br/>
        <w:t>- СТВП-02/93 - на Билибинскую АЭС,</w:t>
      </w:r>
      <w:r>
        <w:rPr>
          <w:rFonts w:ascii="Arial" w:hAnsi="Arial" w:cs="Arial"/>
          <w:sz w:val="28"/>
          <w:szCs w:val="28"/>
        </w:rPr>
        <w:br/>
        <w:t>- СТВП-03/94 – в Армению.</w:t>
      </w:r>
    </w:p>
    <w:p w:rsidR="002039FD" w:rsidRDefault="002039FD">
      <w:pPr>
        <w:pStyle w:val="Web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Правила ядерной безопасности при транспортировании отработавшего ядерного топлива (ПБЯ-06-08-77)</w:t>
      </w:r>
    </w:p>
    <w:p w:rsidR="002039FD" w:rsidRDefault="002039FD">
      <w:pPr>
        <w:pStyle w:val="Web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Правила обеспечения радиационной безопасности при транспортировании отработавшего ядерного топлива от атомных станций (ПРБ-88), 1990</w:t>
      </w:r>
    </w:p>
    <w:p w:rsidR="002039FD" w:rsidRDefault="002039FD">
      <w:pPr>
        <w:pStyle w:val="Web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Руководство по перевозке специальных грузов МСМ СССР железнодорожным и автомобильным транспортом (РСП-86)</w:t>
      </w:r>
    </w:p>
    <w:p w:rsidR="002039FD" w:rsidRDefault="002039FD">
      <w:pPr>
        <w:pStyle w:val="Web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Положение об организации работ по ликвидации последствий аварии при перевозке специальных грузов железнодорожным транспортом (ПЛА-86)</w:t>
      </w:r>
    </w:p>
    <w:p w:rsidR="002039FD" w:rsidRDefault="002039FD">
      <w:pPr>
        <w:pStyle w:val="Web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Руководство по ликвидации последствий аварии при перевозке спецпродуктов железнодорожным транспортом (РЛА-84)</w:t>
      </w:r>
    </w:p>
    <w:p w:rsidR="002039FD" w:rsidRDefault="002039FD">
      <w:pPr>
        <w:pStyle w:val="Web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Правила безопасной перевозки радиоактивных веществ, издание 1985 г. (исправленное в 1990 г.), МАГАТЕ, Вена.</w:t>
      </w:r>
    </w:p>
    <w:p w:rsidR="002039FD" w:rsidRDefault="002039FD">
      <w:pPr>
        <w:pStyle w:val="Web"/>
        <w:numPr>
          <w:ilvl w:val="0"/>
          <w:numId w:val="8"/>
        </w:num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Экологическая безопасность России, Вып. 1, с 46, Совет Безопасности РФ.</w:t>
      </w:r>
    </w:p>
    <w:p w:rsidR="002039FD" w:rsidRDefault="002039FD">
      <w:pPr>
        <w:pStyle w:val="Web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Нормы радиационной безопасности НРБ-2000.</w:t>
      </w:r>
    </w:p>
    <w:p w:rsidR="002039FD" w:rsidRDefault="002039FD">
      <w:pPr>
        <w:pStyle w:val="Web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Российская газета, 24.11.2000</w:t>
      </w:r>
    </w:p>
    <w:p w:rsidR="002039FD" w:rsidRDefault="002039FD">
      <w:pPr>
        <w:pStyle w:val="Web"/>
        <w:ind w:left="144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17.</w:t>
      </w:r>
      <w:r>
        <w:rPr>
          <w:rFonts w:ascii="Arial" w:hAnsi="Arial" w:cs="Arial"/>
          <w:sz w:val="28"/>
          <w:szCs w:val="28"/>
        </w:rPr>
        <w:tab/>
        <w:t xml:space="preserve">В.М.Кузнецов Российская атомная энергетика: вчера, сегодня, завтра. Взгляд независимого эксперта. М.: Голос-пресс, 2000 </w:t>
      </w:r>
    </w:p>
    <w:p w:rsidR="002039FD" w:rsidRDefault="002039FD">
      <w:pPr>
        <w:pStyle w:val="Web"/>
        <w:ind w:firstLine="6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18.</w:t>
      </w:r>
      <w:r>
        <w:rPr>
          <w:rFonts w:ascii="Arial" w:hAnsi="Arial" w:cs="Arial"/>
          <w:sz w:val="28"/>
          <w:szCs w:val="28"/>
        </w:rPr>
        <w:tab/>
        <w:t xml:space="preserve">Транспортное строительство, № 1, 1996 </w:t>
      </w:r>
    </w:p>
    <w:p w:rsidR="002039FD" w:rsidRDefault="002039FD">
      <w:pPr>
        <w:pStyle w:val="Web"/>
        <w:ind w:left="144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19.</w:t>
      </w:r>
      <w:r>
        <w:rPr>
          <w:rFonts w:ascii="Arial" w:hAnsi="Arial" w:cs="Arial"/>
          <w:sz w:val="28"/>
          <w:szCs w:val="28"/>
        </w:rPr>
        <w:tab/>
        <w:t>Железнодорожный транспорт за рубежом. ОИ ЦНИИТЭИ МПС, 1990</w:t>
      </w:r>
    </w:p>
    <w:p w:rsidR="002039FD" w:rsidRDefault="002039FD">
      <w:pPr>
        <w:pStyle w:val="Web"/>
        <w:ind w:left="144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20.</w:t>
      </w:r>
      <w:r>
        <w:rPr>
          <w:rFonts w:ascii="Arial" w:hAnsi="Arial" w:cs="Arial"/>
          <w:sz w:val="28"/>
          <w:szCs w:val="28"/>
        </w:rPr>
        <w:tab/>
        <w:t>Доклад начальника Госгортехнадзора России В. Д. Лозового на международной конференции Проблемы безопасности работ в горной промышленности на рубеже 21 века. Безопасность труда в промышленности, № 11, 1999</w:t>
      </w:r>
    </w:p>
    <w:p w:rsidR="002039FD" w:rsidRDefault="002039FD">
      <w:pPr>
        <w:pStyle w:val="Web"/>
        <w:ind w:left="1440" w:hanging="720"/>
        <w:rPr>
          <w:rFonts w:ascii="Arial" w:hAnsi="Arial" w:cs="Arial"/>
          <w:sz w:val="28"/>
          <w:szCs w:val="28"/>
        </w:rPr>
      </w:pPr>
    </w:p>
    <w:p w:rsidR="002039FD" w:rsidRDefault="002039FD">
      <w:pPr>
        <w:pStyle w:val="Web"/>
        <w:ind w:left="720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2039FD">
      <w:footerReference w:type="default" r:id="rId7"/>
      <w:pgSz w:w="11906" w:h="16838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6D5" w:rsidRDefault="001176D5">
      <w:r>
        <w:separator/>
      </w:r>
    </w:p>
  </w:endnote>
  <w:endnote w:type="continuationSeparator" w:id="0">
    <w:p w:rsidR="001176D5" w:rsidRDefault="00117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9FD" w:rsidRDefault="00D76680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3</w:t>
    </w:r>
  </w:p>
  <w:p w:rsidR="002039FD" w:rsidRDefault="002039F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6D5" w:rsidRDefault="001176D5">
      <w:r>
        <w:separator/>
      </w:r>
    </w:p>
  </w:footnote>
  <w:footnote w:type="continuationSeparator" w:id="0">
    <w:p w:rsidR="001176D5" w:rsidRDefault="001176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04D6F"/>
    <w:multiLevelType w:val="hybridMultilevel"/>
    <w:tmpl w:val="A1F252BE"/>
    <w:lvl w:ilvl="0" w:tplc="E354C144">
      <w:start w:val="1"/>
      <w:numFmt w:val="bullet"/>
      <w:lvlText w:val="-"/>
      <w:lvlJc w:val="left"/>
      <w:pPr>
        <w:tabs>
          <w:tab w:val="num" w:pos="2197"/>
        </w:tabs>
        <w:ind w:left="2197" w:hanging="3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6D95DD9"/>
    <w:multiLevelType w:val="hybridMultilevel"/>
    <w:tmpl w:val="6B865F12"/>
    <w:lvl w:ilvl="0" w:tplc="38CA1E44">
      <w:start w:val="1"/>
      <w:numFmt w:val="decimal"/>
      <w:lvlText w:val="%1)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</w:lvl>
  </w:abstractNum>
  <w:abstractNum w:abstractNumId="2">
    <w:nsid w:val="08597200"/>
    <w:multiLevelType w:val="hybridMultilevel"/>
    <w:tmpl w:val="A5122B8E"/>
    <w:lvl w:ilvl="0" w:tplc="FBF0F3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5F74D3"/>
    <w:multiLevelType w:val="hybridMultilevel"/>
    <w:tmpl w:val="3E1298B0"/>
    <w:lvl w:ilvl="0" w:tplc="7DC45BE2">
      <w:start w:val="1"/>
      <w:numFmt w:val="decimal"/>
      <w:lvlText w:val="%1)"/>
      <w:lvlJc w:val="left"/>
      <w:pPr>
        <w:tabs>
          <w:tab w:val="num" w:pos="1000"/>
        </w:tabs>
        <w:ind w:left="1000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CE21D5"/>
    <w:multiLevelType w:val="hybridMultilevel"/>
    <w:tmpl w:val="9A46F9D0"/>
    <w:lvl w:ilvl="0" w:tplc="66F42046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8A4376"/>
    <w:multiLevelType w:val="hybridMultilevel"/>
    <w:tmpl w:val="50CE6FE4"/>
    <w:lvl w:ilvl="0" w:tplc="7D7C686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6A0180"/>
    <w:multiLevelType w:val="multilevel"/>
    <w:tmpl w:val="7FCC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4CB53AF"/>
    <w:multiLevelType w:val="hybridMultilevel"/>
    <w:tmpl w:val="656A185A"/>
    <w:lvl w:ilvl="0" w:tplc="7DC45BE2">
      <w:start w:val="1"/>
      <w:numFmt w:val="decimal"/>
      <w:lvlText w:val="%1)"/>
      <w:lvlJc w:val="left"/>
      <w:pPr>
        <w:tabs>
          <w:tab w:val="num" w:pos="640"/>
        </w:tabs>
        <w:ind w:left="640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</w:lvl>
  </w:abstractNum>
  <w:abstractNum w:abstractNumId="8">
    <w:nsid w:val="1BF11014"/>
    <w:multiLevelType w:val="hybridMultilevel"/>
    <w:tmpl w:val="FD8A1C76"/>
    <w:lvl w:ilvl="0" w:tplc="E354C144">
      <w:start w:val="1"/>
      <w:numFmt w:val="bullet"/>
      <w:lvlText w:val="-"/>
      <w:lvlJc w:val="left"/>
      <w:pPr>
        <w:tabs>
          <w:tab w:val="num" w:pos="757"/>
        </w:tabs>
        <w:ind w:left="757" w:hanging="3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0"/>
        </w:tabs>
        <w:ind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</w:abstractNum>
  <w:abstractNum w:abstractNumId="9">
    <w:nsid w:val="215B553F"/>
    <w:multiLevelType w:val="hybridMultilevel"/>
    <w:tmpl w:val="2A42A2A4"/>
    <w:lvl w:ilvl="0" w:tplc="0419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2D0B92"/>
    <w:multiLevelType w:val="hybridMultilevel"/>
    <w:tmpl w:val="FD6483F8"/>
    <w:lvl w:ilvl="0" w:tplc="E354C144">
      <w:start w:val="1"/>
      <w:numFmt w:val="bullet"/>
      <w:lvlText w:val="-"/>
      <w:lvlJc w:val="left"/>
      <w:pPr>
        <w:tabs>
          <w:tab w:val="num" w:pos="137"/>
        </w:tabs>
        <w:ind w:left="137" w:hanging="3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-620"/>
        </w:tabs>
        <w:ind w:left="-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0"/>
        </w:tabs>
        <w:ind w:left="1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cs="Wingdings" w:hint="default"/>
      </w:rPr>
    </w:lvl>
  </w:abstractNum>
  <w:abstractNum w:abstractNumId="11">
    <w:nsid w:val="367E425D"/>
    <w:multiLevelType w:val="hybridMultilevel"/>
    <w:tmpl w:val="3CFACA2A"/>
    <w:lvl w:ilvl="0" w:tplc="E354C144">
      <w:start w:val="1"/>
      <w:numFmt w:val="bullet"/>
      <w:lvlText w:val="-"/>
      <w:lvlJc w:val="left"/>
      <w:pPr>
        <w:tabs>
          <w:tab w:val="num" w:pos="37"/>
        </w:tabs>
        <w:ind w:left="37" w:hanging="3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0"/>
        </w:tabs>
        <w:ind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</w:abstractNum>
  <w:abstractNum w:abstractNumId="12">
    <w:nsid w:val="36FF196E"/>
    <w:multiLevelType w:val="hybridMultilevel"/>
    <w:tmpl w:val="90B4DD9A"/>
    <w:lvl w:ilvl="0" w:tplc="E354C144">
      <w:start w:val="1"/>
      <w:numFmt w:val="bullet"/>
      <w:lvlText w:val="-"/>
      <w:lvlJc w:val="left"/>
      <w:pPr>
        <w:tabs>
          <w:tab w:val="num" w:pos="397"/>
        </w:tabs>
        <w:ind w:left="397" w:hanging="3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</w:abstractNum>
  <w:abstractNum w:abstractNumId="13">
    <w:nsid w:val="38764DC3"/>
    <w:multiLevelType w:val="hybridMultilevel"/>
    <w:tmpl w:val="0A12B22C"/>
    <w:lvl w:ilvl="0" w:tplc="E354C144">
      <w:start w:val="1"/>
      <w:numFmt w:val="bullet"/>
      <w:lvlText w:val="-"/>
      <w:lvlJc w:val="left"/>
      <w:pPr>
        <w:tabs>
          <w:tab w:val="num" w:pos="137"/>
        </w:tabs>
        <w:ind w:left="137" w:hanging="3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-620"/>
        </w:tabs>
        <w:ind w:left="-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0"/>
        </w:tabs>
        <w:ind w:left="1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cs="Wingdings" w:hint="default"/>
      </w:rPr>
    </w:lvl>
  </w:abstractNum>
  <w:abstractNum w:abstractNumId="14">
    <w:nsid w:val="3880549D"/>
    <w:multiLevelType w:val="hybridMultilevel"/>
    <w:tmpl w:val="984AE9D6"/>
    <w:lvl w:ilvl="0" w:tplc="E354C144">
      <w:start w:val="1"/>
      <w:numFmt w:val="bullet"/>
      <w:lvlText w:val="-"/>
      <w:lvlJc w:val="left"/>
      <w:pPr>
        <w:tabs>
          <w:tab w:val="num" w:pos="4717"/>
        </w:tabs>
        <w:ind w:left="4717" w:hanging="3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cs="Wingdings" w:hint="default"/>
      </w:rPr>
    </w:lvl>
  </w:abstractNum>
  <w:abstractNum w:abstractNumId="15">
    <w:nsid w:val="435C6EF2"/>
    <w:multiLevelType w:val="multilevel"/>
    <w:tmpl w:val="8AECF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ascii="Arial" w:hAnsi="Arial" w:cs="Arial" w:hint="default"/>
      </w:rPr>
    </w:lvl>
  </w:abstractNum>
  <w:abstractNum w:abstractNumId="16">
    <w:nsid w:val="43C04EF8"/>
    <w:multiLevelType w:val="hybridMultilevel"/>
    <w:tmpl w:val="8EB2BB92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67A06C6"/>
    <w:multiLevelType w:val="hybridMultilevel"/>
    <w:tmpl w:val="30F244D8"/>
    <w:lvl w:ilvl="0" w:tplc="7C1243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BAB2CE6"/>
    <w:multiLevelType w:val="hybridMultilevel"/>
    <w:tmpl w:val="4E269330"/>
    <w:lvl w:ilvl="0" w:tplc="E354C144">
      <w:start w:val="1"/>
      <w:numFmt w:val="bullet"/>
      <w:lvlText w:val="-"/>
      <w:lvlJc w:val="left"/>
      <w:pPr>
        <w:tabs>
          <w:tab w:val="num" w:pos="397"/>
        </w:tabs>
        <w:ind w:left="397" w:hanging="3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</w:abstractNum>
  <w:abstractNum w:abstractNumId="19">
    <w:nsid w:val="583A7954"/>
    <w:multiLevelType w:val="hybridMultilevel"/>
    <w:tmpl w:val="A3BA99F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D0149F"/>
    <w:multiLevelType w:val="hybridMultilevel"/>
    <w:tmpl w:val="A50C5F96"/>
    <w:lvl w:ilvl="0" w:tplc="E354C144">
      <w:start w:val="1"/>
      <w:numFmt w:val="bullet"/>
      <w:lvlText w:val="-"/>
      <w:lvlJc w:val="left"/>
      <w:pPr>
        <w:tabs>
          <w:tab w:val="num" w:pos="4357"/>
        </w:tabs>
        <w:ind w:left="4357" w:hanging="3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cs="Wingdings" w:hint="default"/>
      </w:rPr>
    </w:lvl>
  </w:abstractNum>
  <w:abstractNum w:abstractNumId="21">
    <w:nsid w:val="67295327"/>
    <w:multiLevelType w:val="hybridMultilevel"/>
    <w:tmpl w:val="9574EA00"/>
    <w:lvl w:ilvl="0" w:tplc="7C1243D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DB115D"/>
    <w:multiLevelType w:val="hybridMultilevel"/>
    <w:tmpl w:val="C164B69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FE27922"/>
    <w:multiLevelType w:val="hybridMultilevel"/>
    <w:tmpl w:val="CC24340E"/>
    <w:lvl w:ilvl="0" w:tplc="E354C144">
      <w:start w:val="1"/>
      <w:numFmt w:val="bullet"/>
      <w:lvlText w:val="-"/>
      <w:lvlJc w:val="left"/>
      <w:pPr>
        <w:tabs>
          <w:tab w:val="num" w:pos="137"/>
        </w:tabs>
        <w:ind w:left="137" w:hanging="3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-620"/>
        </w:tabs>
        <w:ind w:left="-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0"/>
        </w:tabs>
        <w:ind w:left="1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cs="Wingdings" w:hint="default"/>
      </w:rPr>
    </w:lvl>
  </w:abstractNum>
  <w:abstractNum w:abstractNumId="24">
    <w:nsid w:val="7020592F"/>
    <w:multiLevelType w:val="hybridMultilevel"/>
    <w:tmpl w:val="58A2A19A"/>
    <w:lvl w:ilvl="0" w:tplc="7C1243D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5F34002"/>
    <w:multiLevelType w:val="hybridMultilevel"/>
    <w:tmpl w:val="A06A7B8C"/>
    <w:lvl w:ilvl="0" w:tplc="E354C144">
      <w:start w:val="1"/>
      <w:numFmt w:val="bullet"/>
      <w:lvlText w:val="-"/>
      <w:lvlJc w:val="left"/>
      <w:pPr>
        <w:tabs>
          <w:tab w:val="num" w:pos="137"/>
        </w:tabs>
        <w:ind w:left="137" w:hanging="3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-620"/>
        </w:tabs>
        <w:ind w:left="-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0"/>
        </w:tabs>
        <w:ind w:left="1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cs="Wingdings" w:hint="default"/>
      </w:rPr>
    </w:lvl>
  </w:abstractNum>
  <w:abstractNum w:abstractNumId="26">
    <w:nsid w:val="75F75200"/>
    <w:multiLevelType w:val="hybridMultilevel"/>
    <w:tmpl w:val="47F6FC14"/>
    <w:lvl w:ilvl="0" w:tplc="7DC45BE2">
      <w:start w:val="1"/>
      <w:numFmt w:val="decimal"/>
      <w:lvlText w:val="%1)"/>
      <w:lvlJc w:val="left"/>
      <w:pPr>
        <w:tabs>
          <w:tab w:val="num" w:pos="1000"/>
        </w:tabs>
        <w:ind w:left="1000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5"/>
  </w:num>
  <w:num w:numId="2">
    <w:abstractNumId w:val="4"/>
  </w:num>
  <w:num w:numId="3">
    <w:abstractNumId w:val="2"/>
  </w:num>
  <w:num w:numId="4">
    <w:abstractNumId w:val="24"/>
  </w:num>
  <w:num w:numId="5">
    <w:abstractNumId w:val="1"/>
  </w:num>
  <w:num w:numId="6">
    <w:abstractNumId w:val="6"/>
  </w:num>
  <w:num w:numId="7">
    <w:abstractNumId w:val="21"/>
  </w:num>
  <w:num w:numId="8">
    <w:abstractNumId w:val="17"/>
  </w:num>
  <w:num w:numId="9">
    <w:abstractNumId w:val="10"/>
  </w:num>
  <w:num w:numId="10">
    <w:abstractNumId w:val="25"/>
  </w:num>
  <w:num w:numId="11">
    <w:abstractNumId w:val="23"/>
  </w:num>
  <w:num w:numId="12">
    <w:abstractNumId w:val="18"/>
  </w:num>
  <w:num w:numId="13">
    <w:abstractNumId w:val="0"/>
  </w:num>
  <w:num w:numId="14">
    <w:abstractNumId w:val="20"/>
  </w:num>
  <w:num w:numId="15">
    <w:abstractNumId w:val="14"/>
  </w:num>
  <w:num w:numId="16">
    <w:abstractNumId w:val="13"/>
  </w:num>
  <w:num w:numId="17">
    <w:abstractNumId w:val="7"/>
  </w:num>
  <w:num w:numId="18">
    <w:abstractNumId w:val="26"/>
  </w:num>
  <w:num w:numId="19">
    <w:abstractNumId w:val="3"/>
  </w:num>
  <w:num w:numId="20">
    <w:abstractNumId w:val="9"/>
  </w:num>
  <w:num w:numId="21">
    <w:abstractNumId w:val="5"/>
  </w:num>
  <w:num w:numId="22">
    <w:abstractNumId w:val="11"/>
  </w:num>
  <w:num w:numId="23">
    <w:abstractNumId w:val="12"/>
  </w:num>
  <w:num w:numId="24">
    <w:abstractNumId w:val="22"/>
  </w:num>
  <w:num w:numId="25">
    <w:abstractNumId w:val="16"/>
  </w:num>
  <w:num w:numId="26">
    <w:abstractNumId w:val="19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39FD"/>
    <w:rsid w:val="001176D5"/>
    <w:rsid w:val="002039FD"/>
    <w:rsid w:val="00287CD1"/>
    <w:rsid w:val="00D76680"/>
    <w:rsid w:val="00E5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E358BAA-AF21-4BB2-A710-A7D399665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4"/>
      <w:szCs w:val="24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дрес 1"/>
    <w:basedOn w:val="a"/>
    <w:uiPriority w:val="99"/>
    <w:pPr>
      <w:framePr w:w="8640" w:h="1066" w:hRule="exact" w:wrap="notBeside" w:vAnchor="page" w:hAnchor="page" w:xAlign="center" w:yAlign="bottom" w:anchorLock="1"/>
      <w:spacing w:line="160" w:lineRule="atLeast"/>
      <w:jc w:val="center"/>
    </w:pPr>
    <w:rPr>
      <w:rFonts w:ascii="Garamond" w:hAnsi="Garamond" w:cs="Garamond"/>
      <w:caps/>
      <w:spacing w:val="30"/>
      <w:sz w:val="15"/>
      <w:szCs w:val="15"/>
    </w:rPr>
  </w:style>
  <w:style w:type="paragraph" w:styleId="a3">
    <w:name w:val="envelope address"/>
    <w:basedOn w:val="a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customStyle="1" w:styleId="Web">
    <w:name w:val="Обычный (Web)"/>
    <w:basedOn w:val="a"/>
    <w:uiPriority w:val="99"/>
    <w:pPr>
      <w:spacing w:before="100" w:after="200" w:line="360" w:lineRule="auto"/>
      <w:ind w:left="100" w:right="100"/>
      <w:jc w:val="both"/>
    </w:pPr>
    <w:rPr>
      <w:color w:val="auto"/>
      <w:lang w:val="ru-RU"/>
    </w:rPr>
  </w:style>
  <w:style w:type="paragraph" w:styleId="a4">
    <w:name w:val="footer"/>
    <w:basedOn w:val="a"/>
    <w:link w:val="a5"/>
    <w:uiPriority w:val="9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color w:val="000000"/>
      <w:sz w:val="24"/>
      <w:szCs w:val="24"/>
      <w:lang w:val="de-DE"/>
    </w:rPr>
  </w:style>
  <w:style w:type="character" w:styleId="a6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4603</Words>
  <Characters>26239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САНКТ-ПЕТЕРБУРГСКИЙ ГОСУДАРСТВЕННЫЙ УНИВЕРСТИТЕТ</vt:lpstr>
    </vt:vector>
  </TitlesOfParts>
  <Company>Home</Company>
  <LinksUpToDate>false</LinksUpToDate>
  <CharactersWithSpaces>30781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ГОСУДАРСТВЕННЫЙ УНИВЕРСТИТЕТ</dc:title>
  <dc:subject/>
  <dc:creator>Чепенко</dc:creator>
  <cp:keywords/>
  <dc:description/>
  <cp:lastModifiedBy>admin</cp:lastModifiedBy>
  <cp:revision>2</cp:revision>
  <dcterms:created xsi:type="dcterms:W3CDTF">2014-03-13T17:11:00Z</dcterms:created>
  <dcterms:modified xsi:type="dcterms:W3CDTF">2014-03-13T17:11:00Z</dcterms:modified>
</cp:coreProperties>
</file>