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98" w:rsidRPr="00D84FCC" w:rsidRDefault="00DC1D98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84FCC">
        <w:rPr>
          <w:b/>
          <w:sz w:val="28"/>
          <w:szCs w:val="28"/>
        </w:rPr>
        <w:t>ПЛАН</w:t>
      </w:r>
    </w:p>
    <w:p w:rsidR="00DC1D98" w:rsidRPr="00D84FCC" w:rsidRDefault="00DC1D98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DC1D98" w:rsidRPr="00D84FCC" w:rsidRDefault="00DC1D98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34650" w:rsidRPr="00D84FCC" w:rsidRDefault="00D84FCC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Теоретические вопросы</w:t>
      </w:r>
    </w:p>
    <w:p w:rsidR="00B34650" w:rsidRPr="00D84FCC" w:rsidRDefault="00B3465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1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Подведомственность, е</w:t>
      </w:r>
      <w:r w:rsidR="00D84FCC">
        <w:rPr>
          <w:sz w:val="28"/>
          <w:szCs w:val="28"/>
        </w:rPr>
        <w:t>е виды и критерии разграничения</w:t>
      </w:r>
    </w:p>
    <w:p w:rsidR="00B34650" w:rsidRPr="00D84FCC" w:rsidRDefault="00B3465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2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 xml:space="preserve">Порядок и сроки рассмотрения </w:t>
      </w:r>
      <w:r w:rsidR="00D84FCC">
        <w:rPr>
          <w:sz w:val="28"/>
          <w:szCs w:val="28"/>
        </w:rPr>
        <w:t>дела в суде надзорной инстанции</w:t>
      </w:r>
    </w:p>
    <w:p w:rsidR="00B34650" w:rsidRPr="00D84FCC" w:rsidRDefault="00B3465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3</w:t>
      </w:r>
      <w:r w:rsidR="00D84FCC">
        <w:rPr>
          <w:sz w:val="28"/>
          <w:szCs w:val="28"/>
        </w:rPr>
        <w:t xml:space="preserve"> Задача</w:t>
      </w:r>
    </w:p>
    <w:p w:rsidR="00B34650" w:rsidRPr="00D84FCC" w:rsidRDefault="00B3465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Зеленцова обратилась к мировому судье с иском к организации «Гидропроект» о взыскании начисленной, но не выплаченной заработной платы за 2 месяца. Судья принял исковое заявление и в порядке подготовки дела к судебному разбирательству пригласил стороны для собеседования. Поскольку представитель администрации иск признал, в целях процессуальной экономии судья вынес судебный приказ и немедленно направил е</w:t>
      </w:r>
      <w:r w:rsidR="00D84FCC">
        <w:rPr>
          <w:sz w:val="28"/>
          <w:szCs w:val="28"/>
        </w:rPr>
        <w:t>го на принудительное исполнение</w:t>
      </w:r>
      <w:r w:rsidR="000374FF">
        <w:rPr>
          <w:sz w:val="28"/>
          <w:szCs w:val="28"/>
        </w:rPr>
        <w:t>.</w:t>
      </w:r>
    </w:p>
    <w:p w:rsidR="00B34650" w:rsidRPr="00D84FCC" w:rsidRDefault="00B3465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Проанализируйте ситуацию с точки зрения процессуального законодательства. Как следовало поступить судье?</w:t>
      </w:r>
    </w:p>
    <w:p w:rsidR="00FA5686" w:rsidRPr="00D84FCC" w:rsidRDefault="00FA5686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Список использованных источников и литературы</w:t>
      </w:r>
    </w:p>
    <w:p w:rsidR="00FA5686" w:rsidRPr="00D84FCC" w:rsidRDefault="00FA5686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475AEA" w:rsidRPr="00D84FCC" w:rsidRDefault="00D84FCC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75AEA" w:rsidRPr="00D84FC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75AEA" w:rsidRPr="00D84FCC">
        <w:rPr>
          <w:b/>
          <w:sz w:val="28"/>
          <w:szCs w:val="28"/>
        </w:rPr>
        <w:t>Подведомственность, ее виды и критерии разграничения</w:t>
      </w:r>
    </w:p>
    <w:p w:rsidR="00D84FCC" w:rsidRDefault="00D84FCC" w:rsidP="00D84FCC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D84FCC">
        <w:rPr>
          <w:b/>
          <w:bCs/>
          <w:sz w:val="28"/>
          <w:szCs w:val="28"/>
        </w:rPr>
        <w:t xml:space="preserve">Подведомственность </w:t>
      </w:r>
      <w:r w:rsidRPr="00D84FCC">
        <w:rPr>
          <w:bCs/>
          <w:sz w:val="28"/>
          <w:szCs w:val="28"/>
        </w:rPr>
        <w:t>- это свойство дел, в силу которого их рассмотрение и разрешение отнесено законом к ведению определенного юрисдикционного органа.</w:t>
      </w:r>
    </w:p>
    <w:p w:rsidR="006F5A68" w:rsidRPr="00D84FCC" w:rsidRDefault="006F5A68" w:rsidP="00D84FCC">
      <w:pPr>
        <w:pStyle w:val="2"/>
        <w:shd w:val="clear" w:color="000000" w:fill="auto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Термин «подведомственность» имеет исконно русское происхождение и означает «подвести под ведомство», ввести какой-либо юридический вопрос (дело) в систему учреждений, обслуживающих какую-либо государственную отрасль. То есть подведомственность означает, что решение какого-либо вопроса находится в чьем-либо ведении</w:t>
      </w:r>
      <w:r w:rsidRPr="00D84FCC">
        <w:rPr>
          <w:rStyle w:val="ab"/>
          <w:sz w:val="28"/>
          <w:szCs w:val="28"/>
          <w:vertAlign w:val="baseline"/>
        </w:rPr>
        <w:footnoteReference w:id="1"/>
      </w:r>
      <w:r w:rsidRPr="00D84FCC">
        <w:rPr>
          <w:sz w:val="28"/>
          <w:szCs w:val="28"/>
        </w:rPr>
        <w:t>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Подведомственность в юридическом понимании представляет собой самостоятельный гражданско-процессуальный институт, содержание которого составляет совокупность гражданских процессуальных норм независимо от того, в каком законе помещены нормы.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основном нормы подведомственности включаются в процессуальные законы, однако в ряде случаев они помещаются и в материальных законах. Например, в ст. 30 СК РФ определена судебная подведомственность признания брака недействительным, а в ст. 23 СК РФ установлен судебный порядок расторжения брака. Нормы института подведомственности имеются и в Гражданском кодексе (ст. 148, 843, п. 6 ст. 1055) и других кодексах.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Институт подведомственности объективно необходим в праве. В соответствии со ст. 11 ГК РФ защиту нарушенных или оспариваемых гражданских прав осуществляют главным образом различные суды: суды общей юрисдикции, арбитражные и третейские суды. В ГК РФ не названы военные суды и Конституционный Суд, однако они также участвуют в защите субъективных прав граждан и организаций.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Возможны также самозащита гражданских прав (ст. 14 ГК) и административный порядок защиты. Поскольку судам закон отводит роль контроля за решениями, принятыми в административном порядке (ст. 11 ГК), то при таком юридическом регулировании института защиты субъективных прав без подведомственности сложно обойтись.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При определении подведомственности юридическое значение будут иметь характеристика заинтересованных лиц, природа правоотношений, в которых возник и развивается спор о праве, и др. С помощью подведомственности устанавливаются правомочия судов осуществлять правосудие по тем или иным гражданским делам.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гражданском процессе все судебные дела принято традиционно подразделять на две группы -</w:t>
      </w:r>
      <w:r w:rsidRPr="00D84FCC">
        <w:rPr>
          <w:i/>
          <w:iCs/>
          <w:sz w:val="28"/>
          <w:szCs w:val="28"/>
        </w:rPr>
        <w:t xml:space="preserve"> </w:t>
      </w:r>
      <w:r w:rsidRPr="00D84FCC">
        <w:rPr>
          <w:sz w:val="28"/>
          <w:szCs w:val="28"/>
        </w:rPr>
        <w:t>исковые и неисковые. Первую группу характеризуют споры о праве, вторые - все иные юридические вопросы самых различных правоотношений.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Основными принципами данного института необходимо признать следующие:</w:t>
      </w:r>
    </w:p>
    <w:p w:rsidR="006F5A68" w:rsidRPr="00D84FCC" w:rsidRDefault="006F5A68" w:rsidP="00D84FCC">
      <w:pPr>
        <w:shd w:val="clear" w:color="000000" w:fill="auto"/>
        <w:tabs>
          <w:tab w:val="left" w:pos="70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-судебная юрисдикция будет законна только в отношении подведомственных дел.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В противном случае судебная деятельность и судебные постановления будут ничтожны в правовом отношении. Так, судья обязан отказать в принятии неподведомственного заявления (п. 1 ч. 1 ст. 134 ГПК); если неподведомственность выявлена в ходе разбирательства по делу, то судопроизводство подлежит прекращению (ст. 220 ГПК). Вышестоящие суды обязаны в ходе пересмотра отменить решения, вынесенные по неподведомственным делам, и прекратить их производства (ст. 328, 361, п. 3 ч. 1 ст. 390 ГПК);</w:t>
      </w:r>
    </w:p>
    <w:p w:rsidR="006F5A68" w:rsidRPr="00D84FCC" w:rsidRDefault="006F5A68" w:rsidP="00D84FCC">
      <w:pPr>
        <w:shd w:val="clear" w:color="000000" w:fill="auto"/>
        <w:tabs>
          <w:tab w:val="left" w:pos="70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-стороны вправе в соответствии с диспозитивными началами изъять свой спор из гражданского процесса и передать его на разрешение третейского суда.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Исключение составляют споры, вытекающие из трудовых и семейных правоотношений, поскольку они подлежат рассмотрению только судами обшей юрисдикции;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-при объединении нескольких связанных между собой требований, из которых одни подведомственны суду, а другие - арбитражному суду, все требования подлежат рассмотрению и разрешению в суде общей юрисдикции (ч. 4 ст. 22 ГПК). В случае, если возможно разделение требований, судья должен вынести определение о принятии требований, подведомственных суду общей юрисдикции, и об отказе в принятии требований, подведомственных арбитражному суду.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Следовательно, институт подведомственности является обязательным условием законности правосудия, так как обеспечивает четкое функционирование судебной власти и правильность рассмотрения и разрешения гражданских дел.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гражданском судопроизводстве основную массу гражданских дел, подведомственных судам обшей юрисдикции, составляют так называемые исковые дела, поскольку они возникают из споров о праве.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Так, в соответствии со ст. 22 ГПК РФ суды рассматривают и разрешают исковые дела с участием граждан и организаций, органов государственной власти и местного самоуправления о защите нарушенных или оспариваемых прав, свобод и законных интересов, по спорам, возникающим из гражданских, трудовых, семейных, жилищных, земельных, экологических и иных правоотношений</w:t>
      </w:r>
      <w:r w:rsidRPr="00D84FCC">
        <w:rPr>
          <w:rStyle w:val="ab"/>
          <w:sz w:val="28"/>
          <w:szCs w:val="28"/>
          <w:vertAlign w:val="baseline"/>
        </w:rPr>
        <w:footnoteReference w:id="2"/>
      </w:r>
      <w:r w:rsidRPr="00D84FCC">
        <w:rPr>
          <w:sz w:val="28"/>
          <w:szCs w:val="28"/>
        </w:rPr>
        <w:t>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Подобные споры могут быть связаны как с нарушением субъективного права (когда действиями одного участника либо в результате его действий умаляются чьи-либо права - имущественные, личные), так и с его оспариванием (когда в результате поведения участника спора становятся неясными содержание правоотношения, а также взаимные права и обязанности), о чем сообщает заинтересованное лицо, обращаясь в суд с исковым заявлением о защите нарушенного или оспариваемого субъективного права.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Судам общей юрисдикции подведомственны следующие категории гражданских дел</w:t>
      </w:r>
      <w:r w:rsidR="00A46B34" w:rsidRPr="00D84FCC">
        <w:rPr>
          <w:sz w:val="28"/>
          <w:szCs w:val="28"/>
        </w:rPr>
        <w:t>:</w:t>
      </w:r>
    </w:p>
    <w:p w:rsidR="006F5A68" w:rsidRPr="00D84FCC" w:rsidRDefault="006F5A68" w:rsidP="00D84FCC">
      <w:pPr>
        <w:numPr>
          <w:ilvl w:val="0"/>
          <w:numId w:val="17"/>
        </w:numPr>
        <w:shd w:val="clear" w:color="000000" w:fill="auto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исковые дела с участием граждан, организаций, органов государственной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власти,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органов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местного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самоуправления о защите нарушенных или оспариваемых прав, свобод и законных интересов, по спорам, возникающим из гражданских, семейных,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трудовых,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жилишных,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земельных,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экологических иных правоотношений;</w:t>
      </w:r>
    </w:p>
    <w:p w:rsidR="006F5A68" w:rsidRPr="00D84FCC" w:rsidRDefault="006F5A68" w:rsidP="00D84FCC">
      <w:pPr>
        <w:numPr>
          <w:ilvl w:val="0"/>
          <w:numId w:val="17"/>
        </w:numPr>
        <w:shd w:val="clear" w:color="000000" w:fill="auto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дела, по которым выдается судебный приказ. Это дела о требованиям, основанным на: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нотариально удостоверенной сделке; сделке, совершенной в простой письменной форме; совершенном нотариусом протесте векселя в неплатеже, неакцепте и недатировании акцепта,</w:t>
      </w:r>
      <w:r w:rsidR="00D65A5E" w:rsidRP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и другим требованиям, указанным в ст. 122 ГПК;</w:t>
      </w:r>
    </w:p>
    <w:p w:rsidR="006F5A68" w:rsidRPr="00D84FCC" w:rsidRDefault="006F5A68" w:rsidP="00D84FCC">
      <w:pPr>
        <w:shd w:val="clear" w:color="000000" w:fill="auto"/>
        <w:tabs>
          <w:tab w:val="left" w:pos="75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3)дела,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возникающие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из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публичных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правоотношений (ст. 245 ГПК):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 заявлениям граждан, организаций, прокурора об оспаривании нормативных правовых актов полностью или в части, если рассмотрение этих заявлений не отнесено федеральным законом к компетенции иных судов;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 заявлениям об оспаривании решений и действий (бездействия) органов государственной власти, органов местного самоуправления, должностных лиц, государственных и муниципальных служащих;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 заявлениям о защите избирательных прав или права на участие в референдуме граждан Российской Федерации;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иные дела, возникающие из публичных правоотношений и отнесенные федеральным законом к ведению суда;</w:t>
      </w:r>
    </w:p>
    <w:p w:rsidR="006F5A68" w:rsidRPr="00D84FCC" w:rsidRDefault="006F5A68" w:rsidP="00D84FCC">
      <w:pPr>
        <w:shd w:val="clear" w:color="000000" w:fill="auto"/>
        <w:tabs>
          <w:tab w:val="left" w:pos="64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4)дела особого производства (ст. 262 ГПК):</w:t>
      </w:r>
      <w:r w:rsidR="00D65A5E" w:rsidRP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об установлении фактов, имеющих юридическое значение;</w:t>
      </w:r>
      <w:r w:rsidR="00D65A5E" w:rsidRP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об объявлении несовершеннолетнего полностью дееспособным (эмансипация);</w:t>
      </w:r>
      <w:r w:rsidR="00D65A5E" w:rsidRP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о принудительной госпитализации гражданина в психиатрический стационар и принудительном психиатрическом освидетельствовании и др.;</w:t>
      </w:r>
    </w:p>
    <w:p w:rsidR="006F5A68" w:rsidRPr="00D84FCC" w:rsidRDefault="006F5A68" w:rsidP="00D84FCC">
      <w:pPr>
        <w:numPr>
          <w:ilvl w:val="0"/>
          <w:numId w:val="18"/>
        </w:numPr>
        <w:shd w:val="clear" w:color="000000" w:fill="auto"/>
        <w:tabs>
          <w:tab w:val="left" w:pos="64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дела об оспаривании решений третейских судов и о выдаче исполнительных листов на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принудительное</w:t>
      </w:r>
      <w:r w:rsid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исполнение решений третейских судов;</w:t>
      </w:r>
    </w:p>
    <w:p w:rsidR="006F5A68" w:rsidRPr="00D84FCC" w:rsidRDefault="006F5A68" w:rsidP="00D84FCC">
      <w:pPr>
        <w:numPr>
          <w:ilvl w:val="0"/>
          <w:numId w:val="18"/>
        </w:numPr>
        <w:shd w:val="clear" w:color="000000" w:fill="auto"/>
        <w:tabs>
          <w:tab w:val="left" w:pos="64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дела о признании и приведении в исполнение решений иностранных судов и иностранных арбитражных решений</w:t>
      </w:r>
      <w:r w:rsidRPr="00D84FCC">
        <w:rPr>
          <w:rStyle w:val="ab"/>
          <w:sz w:val="28"/>
          <w:szCs w:val="28"/>
          <w:vertAlign w:val="baseline"/>
        </w:rPr>
        <w:footnoteReference w:id="3"/>
      </w:r>
      <w:r w:rsidRPr="00D84FCC">
        <w:rPr>
          <w:sz w:val="28"/>
          <w:szCs w:val="28"/>
        </w:rPr>
        <w:t>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Кроме того, суды общей юрисдикции рассматривают и разрешают дела с участием иностранных граждан, лиц без гражданства, иностранных организаций, организаций с иностранными инвестициями, международных организаций.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При наличии в заявлении нескольких требований различной подведомственности судья принимает к рассмотрению требование, подведомственное суду общей юрисдикции, и отказывает в принятии требований, не подведомственных суду общей юрисдикции.</w:t>
      </w:r>
      <w:r w:rsidR="009102AF" w:rsidRPr="00D84FCC">
        <w:rPr>
          <w:sz w:val="28"/>
          <w:szCs w:val="28"/>
        </w:rPr>
        <w:t xml:space="preserve"> </w:t>
      </w:r>
      <w:r w:rsidRPr="00D84FCC">
        <w:rPr>
          <w:sz w:val="28"/>
          <w:szCs w:val="28"/>
        </w:rPr>
        <w:t>Если же разделение нескольких требований различной подведомственности невозможно, судья суда общей юрисдикции принимает все требования к своему производству.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84FCC">
        <w:rPr>
          <w:sz w:val="28"/>
          <w:szCs w:val="28"/>
        </w:rPr>
        <w:t xml:space="preserve">Гражданское процессуальное право подразделяет судебную подведомственность </w:t>
      </w:r>
      <w:r w:rsidRPr="00D84FCC">
        <w:rPr>
          <w:b/>
          <w:bCs/>
          <w:sz w:val="28"/>
          <w:szCs w:val="28"/>
        </w:rPr>
        <w:t>на четыре вида.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b/>
          <w:bCs/>
          <w:sz w:val="28"/>
          <w:szCs w:val="28"/>
        </w:rPr>
        <w:t>Исключительная подведомственность.</w:t>
      </w:r>
      <w:r w:rsidRPr="00D84FCC">
        <w:rPr>
          <w:sz w:val="28"/>
          <w:szCs w:val="28"/>
        </w:rPr>
        <w:t xml:space="preserve"> К этому виду относят категории гражданских дел, которые подлежат рассмотрению только (исключительно) в судах (например, ограничение дееспособности, лишение родительских прав и др.). Эта категория дел самая большая.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b/>
          <w:bCs/>
          <w:sz w:val="28"/>
          <w:szCs w:val="28"/>
        </w:rPr>
        <w:t>Альтернативная подведомственность</w:t>
      </w:r>
      <w:r w:rsidRPr="00D84FCC">
        <w:rPr>
          <w:sz w:val="28"/>
          <w:szCs w:val="28"/>
        </w:rPr>
        <w:t xml:space="preserve"> предоставляет право заявителю обратиться за защитой нарушенного права либо в суд, либо в иной орган. Например, обжалование неправомерных действий должностного лица помимо суда возможно вышестоящему должностному лицу (органу).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b/>
          <w:bCs/>
          <w:sz w:val="28"/>
          <w:szCs w:val="28"/>
        </w:rPr>
        <w:t>Условная подведомственность</w:t>
      </w:r>
      <w:r w:rsidRPr="00D84FCC">
        <w:rPr>
          <w:sz w:val="28"/>
          <w:szCs w:val="28"/>
        </w:rPr>
        <w:t xml:space="preserve"> предполагает, что перед обращением в суд необходимо пройти внесудебную процедуру рассмотрения (например, по трудовым спорам).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b/>
          <w:bCs/>
          <w:sz w:val="28"/>
          <w:szCs w:val="28"/>
        </w:rPr>
        <w:t>Подведомственность по связи исковых требований -</w:t>
      </w:r>
      <w:r w:rsidRPr="00D84FCC">
        <w:rPr>
          <w:sz w:val="28"/>
          <w:szCs w:val="28"/>
        </w:rPr>
        <w:t xml:space="preserve"> когда гражданское дело имеет несколько неразъединимых требований разной подведомственности, одно из которых подведомственно суду общей юрисдикции, а другое - арбитражному суду.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02AF" w:rsidRPr="00D84FCC" w:rsidRDefault="009102AF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  <w:r w:rsidRPr="00D84FCC">
        <w:rPr>
          <w:b/>
          <w:sz w:val="28"/>
          <w:szCs w:val="28"/>
        </w:rPr>
        <w:t>2</w:t>
      </w:r>
      <w:r w:rsidR="00D84FCC">
        <w:rPr>
          <w:b/>
          <w:sz w:val="28"/>
          <w:szCs w:val="28"/>
        </w:rPr>
        <w:t xml:space="preserve"> </w:t>
      </w:r>
      <w:r w:rsidRPr="00D84FCC">
        <w:rPr>
          <w:b/>
          <w:sz w:val="28"/>
          <w:szCs w:val="28"/>
        </w:rPr>
        <w:t>Порядок и сроки рассмотрения дела в суде надзорной инстанции</w:t>
      </w:r>
    </w:p>
    <w:p w:rsidR="00D84FCC" w:rsidRDefault="00D84FCC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При самой совершенной правовой регламентации судопроизводства полностью исключить ошибки при рассмотрении и разрешении конкретных дел судом первой инстанции практически невозможно. Кассационное производство, призванное устранить такие ошибки в судебных постановлениях, не вступивших в законную силу, до конца исключить любые нарушения закона в работе судов не в состоянии. ГПК предусмотрен короткий срок кассационного обжалования, в течение которого лица, участвующие в деле, обычно не успевают выявить ошибочность решения, составить жалобу и подать ее в установленном порядке.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Эти обстоятельства предопределили наличие в гражданском процессуальном законодательстве института пересмотра судебных постановлений в порядке надзора. В порядке надзора проверяется законность судебных решений и определений, вступивших в законную силу</w:t>
      </w:r>
      <w:r w:rsidRPr="00D84FCC">
        <w:rPr>
          <w:rStyle w:val="ab"/>
          <w:sz w:val="28"/>
          <w:szCs w:val="28"/>
          <w:vertAlign w:val="baseline"/>
        </w:rPr>
        <w:footnoteReference w:id="4"/>
      </w:r>
      <w:r w:rsidRPr="00D84FCC">
        <w:rPr>
          <w:sz w:val="28"/>
          <w:szCs w:val="28"/>
        </w:rPr>
        <w:t>.</w:t>
      </w:r>
    </w:p>
    <w:p w:rsid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Порядок рассмотрения дела в суде надзорной инстанции установлен ст. 386 ГПК РФ.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Дела рассматриваются судом надзорной инстанции в судебном заседании не более чем месяц, а в Верховном Суде Российской Федерации не более чем два месяца со дня вынесения судьей определения.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Общее правило о месячном сроке рассмотрения дела должно применяться в тех случаях, когда определение о передаче дела для рассмотрения в президиум краевого, областного и равного им суда вынесено судьей или председателем соответствующего суда. В случае же поступления в президиум краевого, областного и равного им суда дела с определением судьи Верховного Суда РФ месячный срок рассмотрения дела президиумом соответствующего суда должен исчисляться со дня поступления дела с определением судьи в соответствующий суд.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Судебной коллегии по гражданским делам Верховного Суда РФ, Военной коллегии Верховного Суда РФ и Президиуме Верховного Суда РФ дело должно рассматриваться в течение двух месяцев со дня вынесения судьей, Председателем Верховного Суда РФ или его заместителем определения о передаче дела для рассмотрения в суд надзорной инстанции.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Дело, рассматриваемое в порядке надзора в президиуме соответствующего суда, докладывается председателем суда, его заместителем или по их поручению иным членом президиума либо ранее не участвовавшим в рассмотрении дела другим судьей этого суда.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Судебной коллегии по гражданским делам Верховного Суда Российской Федерации, Военной коллегии Верховного Суда Российской Федерации дело докладывается одним из судей коллегии.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Недопустимость повторного участия в рассмотрении дела (ст. 17 ГПК) ч. 2 ст. 386 ГПК распространяет также на судью-докладчика, который членом президиума не является. Он не может быть также назначен докладчиком по делу при наличии обстоятельств, перечисленных в ст. 16 ГПК в качестве оснований для отвода судьи. В этих случаях могут возникнуть сомнения в объективности и беспристрастности суда надзорной инстанции, которому докладчиком излагаются обстоятельства дела, содержание судебных постановлений, принятых по делу, мотивы надзорной жалобы или представления прокурора и определения суда о возбуждении надзорного производства, доводы возражений на надзорную жалобу или представление.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Заседание президиума соответствующего суда правомочно при наличии большинства членов президиума. В Судебной коллегии по гражданским делам Верховного Суда РФ, Военной коллегии Верховного Суда РФ дело докладывается одним из трех судей, принимающих участие в рассмотрении данного дела.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ГПК не содержит норм, запрещающих судье, вынесшему определение о передаче дела для рассмотрения по существу в суд надзорной инстанции, входить в состав суда, рассматривающего дело в порядке надзора, а также быть докладчиком по этому делу.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судебном заседании принимают участие лица, участвующие в деле, их представители, иные лица, подавшие надзорную жалобу или представление прокурора, если их права и законные интересы непосредственно затрагиваются обжалуемым судебным постановлением.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случае, если прокурор является лицом, участвующим в рассмотрении дела, в судебном заседании принимает участие: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прокурор республики, края, области, города федерального значения, автономной области, автономного округа, военного округа (флота) или его заместитель в президиуме верховного суда республики, краевого, областного суда, суда города федерального значения, суда автономной области, суда автономного округа, окружного (флотского) военного суда;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Генеральный прокурор Российской Федерации или его заместитель в Президиуме Верховного Суда Российской Федерации;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должностное лицо органов прокуратуры по поручению Генерального прокурора Российской Федерации в Судебной коллегии по гражданским делам Верховного Суда Российской Федерации и Военной коллегии Верховного Суда Российской Федерации.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заседании президиума соответствующего суда, рассматривающего дело в порядке надзора, председательствует его председатель, а в заседании Судебной коллегии по гражданским делам Верховного Суда РФ, Военной коллегии Верховного Суда РФ председательствует один из судей этих коллегий.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Лица, участвующие в деле, и их представители, иные лица, по жалобам которых возбуждено надзорное производство, вправе принять участие в судебном заседании суда надзорной инстанции.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Неявка прокурора, извещенного о времени и месте рассмотрения дела, не является препятствием к разбирательству дела (ч. 3 ст. 45 ГПК РФ). Он принимает участие в заседании суда надзорной инстанции, если является лицом, участвующим в деле.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Докладчик излагает обстоятельства дела, содержание судебных постановлений, принятых по делу, мотивы надзорной жалобы или представления прокурора и определения суда о возбуждении надзорного производства. Судьи могут задать вопросы докладчику. Материалы дела должны быть заблаговременно изучены не только судьей-докладчиком, но и иными судьями, входящими в состав суда надзорной инстанции.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Лица, явившиеся в судебное заседание, вправе дать объяснения по делу. Первым дает объяснение лицо, подавшее надзорную жалобу или представление прокурора.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Таким образом, установив, что первым дает объяснение лицо, подавшее жалобу или представление, дальнейшую очередность выступления явившихся в судебное заседание лиц статья 386 ГПК РФ не оговаривает. Однако применительно к порядку, установленному в ст. 174 и 357 ГПК РФ, можно сделать вывод, что после выступления лица, подавшего надзорную жалобу (его представителя), объяснения дает третье лицо, участвовавшее в деле на его стороне, а затем другие лица, принимающие участие в судебном заседании суда надзорной инстанции</w:t>
      </w:r>
      <w:r w:rsidRPr="00D84FCC">
        <w:rPr>
          <w:rStyle w:val="ab"/>
          <w:sz w:val="28"/>
          <w:szCs w:val="28"/>
          <w:vertAlign w:val="baseline"/>
        </w:rPr>
        <w:footnoteReference w:id="5"/>
      </w:r>
      <w:r w:rsidRPr="00D84FCC">
        <w:rPr>
          <w:sz w:val="28"/>
          <w:szCs w:val="28"/>
        </w:rPr>
        <w:t>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Если надзорное производство возбуждено по жалобам обеих сторон, то первым выступает истец.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Глава 41 ГПК РФ не содержит нормы о даче прокурором, участвующим в рассмотрении дела в суде надзорной инстанции, заключения по делу. Однако в соответствии с ч. 3 ст. 45 ГПК РФ по делам, где закон предусматривает вступление прокурора в процесс и дачу им заключения (например, по делам о выселении, о восстановлении на работе), соответствующий прокурор в целях осуществления возложенных на него полномочий дает заключение по делу и в суде надзорной инстанции.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Участвующие в деле лица в своих жалобах, письменных и устных объяснениях могут ссылаться на доказательства, которые не исследовались судом первой и второй инстанций. К жалобе или представлению они вправе приложить документы, подтверждающие незаконный отказ нижестоящего суда в удовлетворении ходатайства об оказании содействия в истребовании необходимых доказательств, которые подлежат исследованию и оценке судом надзорной инстанции.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 подтверждение доводов о существенном нарушении норм процессуального права в надзорной жалобе или представлении прокурора, определении судьи о возбуждении надзорного производства могут содержаться также ссылки на то, что суд нижестоящей инстанции незаконно отказал в приобщении к материалам дела и исследовании доказательств, которые имеют значение для его правильного разрешения.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Поскольку в гл. 41 ГПК ничего не говорится о пределах рассмотрения дела судом надзорной инстанции, представляется, что применительно к ст. 347 ГПК при рассмотрении дела по существу суд надзорной инстанции должен проверить обжалуемые судебные постановления в пределах надзорной жалобы (представления прокурора).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Вместе с тем в интересах законности суд вправе выйти за пределы жалобы (представления прокурора), проверив обжалуемые судебные постановления в полном объеме, т.е. в необжалованной части и в отношении лиц, не указанных в надзорной жалобе (представлении прокурора), и вынести при пересмотре судебных постановлений иное, чем предлагается в надзорной жалобе (представлении прокурора), постановление в порядке надзора.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По результатам рассмотрения дела президиум суда надзорной инстанции принимает постановление, которое подписывается одним лицом, председательствовавшим в заседании президиума. Судебная коллегия по гражданским делам и Военная коллегия Верховного Суда Российской Федерации выносят определения, которое подписывается всеми судьями, принимавшими участие в рассмотрении дела в надзорном порядке.</w:t>
      </w:r>
    </w:p>
    <w:p w:rsidR="006F5A68" w:rsidRPr="00D84FCC" w:rsidRDefault="006F5A68" w:rsidP="00D84FC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Принятие судом надзорной инстанции определения по делу должно происходить в совещательной комнате в условиях, исключающих возможность оказания на судей какого-либо воздействия</w:t>
      </w:r>
      <w:r w:rsidRPr="00D84FCC">
        <w:rPr>
          <w:rStyle w:val="ab"/>
          <w:sz w:val="28"/>
          <w:szCs w:val="28"/>
          <w:vertAlign w:val="baseline"/>
        </w:rPr>
        <w:footnoteReference w:id="6"/>
      </w:r>
      <w:r w:rsidRPr="00D84FCC">
        <w:rPr>
          <w:sz w:val="28"/>
          <w:szCs w:val="28"/>
        </w:rPr>
        <w:t>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При рассмотрении дела в порядке надзора все вопросы решаются большинством голосов. При равном количестве голосов, поданных за пересмотр дела в порядке надзора и против его пересмотра, надзорная жалоба или представление прокурора считаются отклоненными.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О принятых судом надзорной инстанции определении или постановлении сообщается лицам, участвующим в деле.</w:t>
      </w:r>
    </w:p>
    <w:p w:rsidR="006F5A68" w:rsidRPr="00D84FCC" w:rsidRDefault="006F5A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A5686" w:rsidRPr="00D84FCC" w:rsidRDefault="008D3EA7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  <w:r w:rsidRPr="00D84FCC">
        <w:rPr>
          <w:b/>
          <w:sz w:val="28"/>
          <w:szCs w:val="28"/>
        </w:rPr>
        <w:t>3</w:t>
      </w:r>
      <w:r w:rsidR="00D84FCC">
        <w:rPr>
          <w:b/>
          <w:sz w:val="28"/>
          <w:szCs w:val="28"/>
        </w:rPr>
        <w:t xml:space="preserve"> Задача</w:t>
      </w:r>
    </w:p>
    <w:p w:rsidR="00D84FCC" w:rsidRDefault="00D84FCC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bookmarkStart w:id="0" w:name="par830"/>
      <w:bookmarkStart w:id="1" w:name="par3064"/>
      <w:bookmarkEnd w:id="0"/>
      <w:bookmarkEnd w:id="1"/>
    </w:p>
    <w:p w:rsidR="00F40B9F" w:rsidRPr="00D84FCC" w:rsidRDefault="00E2099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Глава 11 ГПК РФ посвящена вынесению судебного приказа. Вынесение судебного приказа - упрощенная процедура, применяемая в случаях, когда есть в наличии факт нарушения права одной из сторон правоотношения и этот факт другой стороной не оспаривается. Ст. 122 ГПК РФ содержит закрытый перечень случаев, в которых может быть выдан судебный приказ. Одним из требований, по которым выдается судебный приказ, является, согласно ст. 122 ГПК РФ, требование о взыскании начисленной, но не выплаченной заработной платы. В этом случае право работника на своевременное получение заработной платы нарушено и спор между работником и работодателем об этом праве отсутствует, но при этом работодатель не выполняет своей обязанности по выплате зарплаты.</w:t>
      </w:r>
    </w:p>
    <w:p w:rsidR="00FA5686" w:rsidRPr="00D84FCC" w:rsidRDefault="00E2099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rStyle w:val="text-10"/>
          <w:sz w:val="28"/>
          <w:szCs w:val="28"/>
        </w:rPr>
      </w:pPr>
      <w:r w:rsidRPr="00D84FCC">
        <w:rPr>
          <w:sz w:val="28"/>
          <w:szCs w:val="28"/>
        </w:rPr>
        <w:t>Следует иметь в виду, что работник вправе выбирать, обращаться ли в суд с заявлением о вынесении судебного приказа о взыскании начисленной, но не выплаченной заработной платы либо с исковым заявлением с этим же требованием.</w:t>
      </w:r>
    </w:p>
    <w:p w:rsidR="00E20990" w:rsidRPr="00D84FCC" w:rsidRDefault="00EF001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D84FCC">
        <w:rPr>
          <w:sz w:val="28"/>
          <w:szCs w:val="28"/>
        </w:rPr>
        <w:t>Кроме того, с</w:t>
      </w:r>
      <w:r w:rsidR="00F40B9F" w:rsidRPr="00D84FCC">
        <w:rPr>
          <w:sz w:val="28"/>
          <w:szCs w:val="28"/>
        </w:rPr>
        <w:t>огласно ст. 333.36 Главы 25.</w:t>
      </w:r>
      <w:r w:rsidR="001F6B85" w:rsidRPr="00D84FCC">
        <w:rPr>
          <w:sz w:val="28"/>
          <w:szCs w:val="28"/>
        </w:rPr>
        <w:t>3 «Государственная пошлина» Налогового кодекса РФ, истцы по искам о взыскании заработной платы (денежного содержания) и иным требованиям, вытекающим из трудовых правоотношений, а также по искам о взыскании пособий, вытекающим из трудовых отношений, освобождаются от уплаты государственной пошлины, - соответственно, и заявление о вынесении судебного приказа оплачиваться госпошлиной не должны.</w:t>
      </w:r>
    </w:p>
    <w:p w:rsidR="00F40B9F" w:rsidRPr="00D84FCC" w:rsidRDefault="00EF0010" w:rsidP="00D84FCC">
      <w:pPr>
        <w:shd w:val="clear" w:color="000000" w:fill="auto"/>
        <w:tabs>
          <w:tab w:val="left" w:pos="284"/>
        </w:tabs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4FCC">
        <w:rPr>
          <w:sz w:val="28"/>
          <w:szCs w:val="28"/>
        </w:rPr>
        <w:t>Таким образом, мировой судья должен рассмотреть иск в порядке искового производства</w:t>
      </w:r>
      <w:r w:rsidR="00F40B9F" w:rsidRPr="00D84FCC">
        <w:rPr>
          <w:sz w:val="28"/>
          <w:szCs w:val="28"/>
        </w:rPr>
        <w:t xml:space="preserve">. Для этого согласно ст. 152 ГПК РФ необходимо провести предварительное судебное заседание, а затем согласно нормам ст. 153 ГПК РФ, </w:t>
      </w:r>
      <w:r w:rsidR="00F40B9F" w:rsidRPr="00D84FCC">
        <w:rPr>
          <w:color w:val="000000"/>
          <w:sz w:val="28"/>
          <w:szCs w:val="28"/>
        </w:rPr>
        <w:t>признав дело подготовленным, вынести определение о назначении его к разбирательству в судебном заседании, известить стороны, других лиц, участвующих в деле, о времени и месте рассмотрения дела, вызвать других участников процесса.</w:t>
      </w:r>
    </w:p>
    <w:p w:rsidR="00D84FCC" w:rsidRDefault="00D84FCC" w:rsidP="00D84FCC">
      <w:pPr>
        <w:pStyle w:val="1"/>
        <w:keepNext w:val="0"/>
        <w:shd w:val="clear" w:color="000000" w:fill="auto"/>
        <w:suppressAutoHyphens/>
        <w:ind w:firstLine="709"/>
        <w:rPr>
          <w:b/>
          <w:szCs w:val="28"/>
        </w:rPr>
      </w:pPr>
    </w:p>
    <w:p w:rsidR="004F1568" w:rsidRPr="00D84FCC" w:rsidRDefault="00D84FCC" w:rsidP="00D84FCC">
      <w:pPr>
        <w:pStyle w:val="1"/>
        <w:keepNext w:val="0"/>
        <w:shd w:val="clear" w:color="000000" w:fill="auto"/>
        <w:suppressAutoHyphens/>
        <w:rPr>
          <w:b/>
          <w:szCs w:val="28"/>
        </w:rPr>
      </w:pPr>
      <w:r>
        <w:rPr>
          <w:b/>
          <w:szCs w:val="28"/>
        </w:rPr>
        <w:br w:type="page"/>
      </w:r>
      <w:r w:rsidR="004F1568" w:rsidRPr="00D84FCC">
        <w:rPr>
          <w:b/>
          <w:szCs w:val="28"/>
        </w:rPr>
        <w:t>Список использованной литературы</w:t>
      </w:r>
    </w:p>
    <w:p w:rsidR="004F1568" w:rsidRPr="00D84FCC" w:rsidRDefault="004F1568" w:rsidP="00D84FCC">
      <w:pPr>
        <w:shd w:val="clear" w:color="000000" w:fill="auto"/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F1568" w:rsidRPr="00D84FCC" w:rsidRDefault="004F1568" w:rsidP="00D84FCC">
      <w:pPr>
        <w:shd w:val="clear" w:color="000000" w:fill="auto"/>
        <w:suppressAutoHyphens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1.Гражданский процессуальный кодекс РФ. Федеральный закон от 14 ноября 2002 г. №138-ФЗ // Российская газета. №220. 20.11.2002г.</w:t>
      </w:r>
    </w:p>
    <w:p w:rsidR="004F1568" w:rsidRPr="00D84FCC" w:rsidRDefault="00D84FCC" w:rsidP="00D84FCC">
      <w:pPr>
        <w:pStyle w:val="3"/>
        <w:shd w:val="clear" w:color="000000" w:fill="auto"/>
        <w:suppressAutoHyphens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2.Власов А.А., Власова М.Г., Черкашин В.А</w:t>
      </w:r>
      <w:r w:rsidR="004F1568" w:rsidRPr="00D84FCC">
        <w:rPr>
          <w:sz w:val="28"/>
          <w:szCs w:val="28"/>
        </w:rPr>
        <w:t>. Гражданский процесс в вопросах и ответ</w:t>
      </w:r>
      <w:r>
        <w:rPr>
          <w:sz w:val="28"/>
          <w:szCs w:val="28"/>
        </w:rPr>
        <w:t>ах: Учеб. пособие / Под ред. А.</w:t>
      </w:r>
      <w:r w:rsidR="004F1568" w:rsidRPr="00D84FCC">
        <w:rPr>
          <w:sz w:val="28"/>
          <w:szCs w:val="28"/>
        </w:rPr>
        <w:t>А. Власова. – М.: ТК Велби, Изд-во Проспект, 2003. – 368 с.</w:t>
      </w:r>
    </w:p>
    <w:p w:rsidR="004F1568" w:rsidRPr="00D84FCC" w:rsidRDefault="004F1568" w:rsidP="00D84FCC">
      <w:pPr>
        <w:pStyle w:val="ac"/>
        <w:shd w:val="clear" w:color="000000" w:fill="auto"/>
        <w:suppressAutoHyphens/>
        <w:spacing w:after="0" w:line="360" w:lineRule="auto"/>
        <w:ind w:left="0"/>
        <w:rPr>
          <w:sz w:val="28"/>
          <w:szCs w:val="28"/>
        </w:rPr>
      </w:pPr>
      <w:r w:rsidRPr="00D84FCC">
        <w:rPr>
          <w:sz w:val="28"/>
          <w:szCs w:val="28"/>
        </w:rPr>
        <w:t>3.Гражданский процесс. Учебник. Издание третье, переработан</w:t>
      </w:r>
      <w:r w:rsidR="00D84FCC">
        <w:rPr>
          <w:sz w:val="28"/>
          <w:szCs w:val="28"/>
        </w:rPr>
        <w:t>ное и дополненное / Под ред. В.А. Мусина, Н.</w:t>
      </w:r>
      <w:r w:rsidRPr="00D84FCC">
        <w:rPr>
          <w:sz w:val="28"/>
          <w:szCs w:val="28"/>
        </w:rPr>
        <w:t xml:space="preserve">А. Чечиной, Д.М. </w:t>
      </w:r>
      <w:r w:rsidR="00D84FCC">
        <w:rPr>
          <w:sz w:val="28"/>
          <w:szCs w:val="28"/>
        </w:rPr>
        <w:t>Чечота. – М.: ПБОЮЛ Гриженко Е.</w:t>
      </w:r>
      <w:r w:rsidRPr="00D84FCC">
        <w:rPr>
          <w:sz w:val="28"/>
          <w:szCs w:val="28"/>
        </w:rPr>
        <w:t>М., 2001. – 544 с.</w:t>
      </w:r>
    </w:p>
    <w:p w:rsidR="004F1568" w:rsidRPr="00D84FCC" w:rsidRDefault="00D84FCC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4.Ефимов А.</w:t>
      </w:r>
      <w:r w:rsidR="004F1568" w:rsidRPr="00D84FCC">
        <w:rPr>
          <w:sz w:val="28"/>
          <w:szCs w:val="28"/>
        </w:rPr>
        <w:t>Е. Рассмотрение дела в порядке надзорного производства // Право и экономика. 2005. № 9.</w:t>
      </w:r>
    </w:p>
    <w:p w:rsidR="004F1568" w:rsidRPr="00D84FCC" w:rsidRDefault="004F1568" w:rsidP="00D84FCC">
      <w:pPr>
        <w:shd w:val="clear" w:color="000000" w:fill="auto"/>
        <w:suppressAutoHyphens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5.Комментарий к Трудовому кодексу Российской Федерации / Ответственный редактор доктор юридических наук, профессор Ю. П. Орловский – М.: Юридическая фирма «КОНТРАКТ», «ИНФРА-М», 2002. – 959 с.</w:t>
      </w:r>
    </w:p>
    <w:p w:rsidR="004F1568" w:rsidRPr="00D84FCC" w:rsidRDefault="004F1568" w:rsidP="00D84FCC">
      <w:pPr>
        <w:shd w:val="clear" w:color="000000" w:fill="auto"/>
        <w:suppressAutoHyphens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6.Комментарий к ГПК РФ / Под общ. ред. Первого заместителя Пре</w:t>
      </w:r>
      <w:r w:rsidR="00D84FCC">
        <w:rPr>
          <w:sz w:val="28"/>
          <w:szCs w:val="28"/>
        </w:rPr>
        <w:t>дседателя Верховного Суда РФ В.</w:t>
      </w:r>
      <w:r w:rsidRPr="00D84FCC">
        <w:rPr>
          <w:sz w:val="28"/>
          <w:szCs w:val="28"/>
        </w:rPr>
        <w:t>И. Радченко. – М.: Норма, 2004. – 752 с.</w:t>
      </w:r>
    </w:p>
    <w:p w:rsidR="004F1568" w:rsidRPr="00D84FCC" w:rsidRDefault="004F1568" w:rsidP="00D84FCC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84FCC">
        <w:rPr>
          <w:sz w:val="28"/>
          <w:szCs w:val="28"/>
        </w:rPr>
        <w:t>7.Комментарий к Гражданскому процессуальному кодексу Российской Федерации (постатейный) (под ред. Г.А. Жилина). – «ТК Велби», 2004 г.</w:t>
      </w:r>
    </w:p>
    <w:p w:rsidR="004F1568" w:rsidRPr="00D84FCC" w:rsidRDefault="00D84FCC" w:rsidP="00D84FCC">
      <w:pPr>
        <w:pStyle w:val="ac"/>
        <w:shd w:val="clear" w:color="000000" w:fill="auto"/>
        <w:suppressAutoHyphens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8.Лебедев М.</w:t>
      </w:r>
      <w:r w:rsidR="004F1568" w:rsidRPr="00D84FCC">
        <w:rPr>
          <w:sz w:val="28"/>
          <w:szCs w:val="28"/>
        </w:rPr>
        <w:t xml:space="preserve">Ю., </w:t>
      </w:r>
      <w:r>
        <w:rPr>
          <w:sz w:val="28"/>
          <w:szCs w:val="28"/>
        </w:rPr>
        <w:t>Чепцов Д.</w:t>
      </w:r>
      <w:r w:rsidR="004F1568" w:rsidRPr="00D84FCC">
        <w:rPr>
          <w:sz w:val="28"/>
          <w:szCs w:val="28"/>
        </w:rPr>
        <w:t>Е., Францифоров А. Ю. Гражданский процесс: Краткий курс лекций. – М.: Юрайт-Издат, 2003. – 247 с.</w:t>
      </w:r>
      <w:bookmarkStart w:id="2" w:name="_GoBack"/>
      <w:bookmarkEnd w:id="2"/>
    </w:p>
    <w:sectPr w:rsidR="004F1568" w:rsidRPr="00D84FCC" w:rsidSect="00D84FCC">
      <w:headerReference w:type="even" r:id="rId7"/>
      <w:footnotePr>
        <w:numRestart w:val="eachPage"/>
      </w:footnotePr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E2A" w:rsidRDefault="00E67E2A">
      <w:r>
        <w:separator/>
      </w:r>
    </w:p>
  </w:endnote>
  <w:endnote w:type="continuationSeparator" w:id="0">
    <w:p w:rsidR="00E67E2A" w:rsidRDefault="00E6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E2A" w:rsidRDefault="00E67E2A">
      <w:r>
        <w:separator/>
      </w:r>
    </w:p>
  </w:footnote>
  <w:footnote w:type="continuationSeparator" w:id="0">
    <w:p w:rsidR="00E67E2A" w:rsidRDefault="00E67E2A">
      <w:r>
        <w:continuationSeparator/>
      </w:r>
    </w:p>
  </w:footnote>
  <w:footnote w:id="1">
    <w:p w:rsidR="00E67E2A" w:rsidRDefault="00482E70" w:rsidP="006F5A68">
      <w:pPr>
        <w:pStyle w:val="a9"/>
        <w:jc w:val="both"/>
      </w:pPr>
      <w:r>
        <w:rPr>
          <w:rStyle w:val="ab"/>
        </w:rPr>
        <w:footnoteRef/>
      </w:r>
      <w:r>
        <w:t xml:space="preserve">Власов В. А. и др. Гражданский процесс в вопросах и ответах: Учеб. пособие / Под ред. А. А. Власова. – М.: ТК Велби, Изд-во Проспект, 2003. С.55. </w:t>
      </w:r>
    </w:p>
  </w:footnote>
  <w:footnote w:id="2">
    <w:p w:rsidR="00E67E2A" w:rsidRDefault="00482E70" w:rsidP="006F5A68">
      <w:pPr>
        <w:pStyle w:val="a9"/>
      </w:pPr>
      <w:r>
        <w:rPr>
          <w:rStyle w:val="ab"/>
        </w:rPr>
        <w:footnoteRef/>
      </w:r>
      <w:r>
        <w:t>ГПК РФ. ФЗ от 14 ноября 2002г. №138-ФЗ. // Российская газета. №220. 20.11.2002.</w:t>
      </w:r>
    </w:p>
  </w:footnote>
  <w:footnote w:id="3">
    <w:p w:rsidR="00E67E2A" w:rsidRDefault="00482E70" w:rsidP="006F5A68">
      <w:pPr>
        <w:pStyle w:val="a9"/>
      </w:pPr>
      <w:r>
        <w:rPr>
          <w:rStyle w:val="ab"/>
        </w:rPr>
        <w:footnoteRef/>
      </w:r>
      <w:r>
        <w:t xml:space="preserve">ГПК РФ. ФЗ от 14 ноября 2002г. №138-ФЗ. // Российская газета. №220. 20.11.2002. </w:t>
      </w:r>
    </w:p>
  </w:footnote>
  <w:footnote w:id="4">
    <w:p w:rsidR="00E67E2A" w:rsidRDefault="00482E70" w:rsidP="006F5A68">
      <w:pPr>
        <w:pStyle w:val="a9"/>
        <w:jc w:val="both"/>
      </w:pPr>
      <w:r>
        <w:rPr>
          <w:rStyle w:val="ab"/>
        </w:rPr>
        <w:footnoteRef/>
      </w:r>
      <w:r>
        <w:t>Комментарий к ГПК РФ / Под общ. ред. Первого заместителя Председателя Верховного Суда РФ В. И. Радченко. – М.: Норма, 2004. С. 543.</w:t>
      </w:r>
    </w:p>
  </w:footnote>
  <w:footnote w:id="5">
    <w:p w:rsidR="00E67E2A" w:rsidRDefault="00482E70" w:rsidP="00D84FCC">
      <w:pPr>
        <w:autoSpaceDE w:val="0"/>
        <w:autoSpaceDN w:val="0"/>
        <w:adjustRightInd w:val="0"/>
        <w:jc w:val="both"/>
      </w:pPr>
      <w:r>
        <w:rPr>
          <w:rStyle w:val="ab"/>
          <w:sz w:val="20"/>
        </w:rPr>
        <w:footnoteRef/>
      </w:r>
      <w:r>
        <w:rPr>
          <w:sz w:val="20"/>
        </w:rPr>
        <w:t xml:space="preserve">Комментарий к Гражданскому процессуальному кодексу Российской Федерации (постатейный) (под ред. Г.А. Жилина). – «ТК Велби», </w:t>
      </w:r>
      <w:smartTag w:uri="urn:schemas-microsoft-com:office:smarttags" w:element="metricconverter">
        <w:smartTagPr>
          <w:attr w:name="ProductID" w:val="2004 г"/>
        </w:smartTagPr>
        <w:r>
          <w:rPr>
            <w:sz w:val="20"/>
          </w:rPr>
          <w:t>2004 г</w:t>
        </w:r>
      </w:smartTag>
      <w:r w:rsidR="00D84FCC">
        <w:rPr>
          <w:sz w:val="20"/>
        </w:rPr>
        <w:t>. С. 346.</w:t>
      </w:r>
    </w:p>
  </w:footnote>
  <w:footnote w:id="6">
    <w:p w:rsidR="00E67E2A" w:rsidRDefault="00482E70" w:rsidP="00D84FCC">
      <w:pPr>
        <w:autoSpaceDE w:val="0"/>
        <w:autoSpaceDN w:val="0"/>
        <w:adjustRightInd w:val="0"/>
        <w:spacing w:line="360" w:lineRule="auto"/>
        <w:jc w:val="both"/>
      </w:pPr>
      <w:r>
        <w:rPr>
          <w:rStyle w:val="ab"/>
          <w:sz w:val="20"/>
        </w:rPr>
        <w:footnoteRef/>
      </w:r>
      <w:r>
        <w:rPr>
          <w:sz w:val="20"/>
        </w:rPr>
        <w:t>Ефимов А. Е. Рассмотрение дела в порядке надзорного производства // Право</w:t>
      </w:r>
      <w:r w:rsidR="00D84FCC">
        <w:rPr>
          <w:sz w:val="20"/>
        </w:rPr>
        <w:t xml:space="preserve"> и экономика. 2005. № 9. С. 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E70" w:rsidRDefault="00482E70" w:rsidP="004C12E2">
    <w:pPr>
      <w:pStyle w:val="a5"/>
      <w:framePr w:wrap="around" w:vAnchor="text" w:hAnchor="margin" w:xAlign="right" w:y="1"/>
      <w:rPr>
        <w:rStyle w:val="a7"/>
      </w:rPr>
    </w:pPr>
  </w:p>
  <w:p w:rsidR="00482E70" w:rsidRDefault="00482E70" w:rsidP="00E81D8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474D6"/>
    <w:multiLevelType w:val="hybridMultilevel"/>
    <w:tmpl w:val="0148A13A"/>
    <w:lvl w:ilvl="0" w:tplc="5AEEB9F4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550991"/>
    <w:multiLevelType w:val="multilevel"/>
    <w:tmpl w:val="BEC2A79A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">
    <w:nsid w:val="1C0774F4"/>
    <w:multiLevelType w:val="singleLevel"/>
    <w:tmpl w:val="17CEBED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1D922B37"/>
    <w:multiLevelType w:val="hybridMultilevel"/>
    <w:tmpl w:val="2C18E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2A7031"/>
    <w:multiLevelType w:val="hybridMultilevel"/>
    <w:tmpl w:val="9752BDEE"/>
    <w:lvl w:ilvl="0" w:tplc="88FCB47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F41CBF"/>
    <w:multiLevelType w:val="multilevel"/>
    <w:tmpl w:val="EF7039E0"/>
    <w:lvl w:ilvl="0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972687"/>
    <w:multiLevelType w:val="singleLevel"/>
    <w:tmpl w:val="FD54322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E274777"/>
    <w:multiLevelType w:val="hybridMultilevel"/>
    <w:tmpl w:val="AE80DBA2"/>
    <w:lvl w:ilvl="0" w:tplc="37342798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2471DD"/>
    <w:multiLevelType w:val="hybridMultilevel"/>
    <w:tmpl w:val="D578E654"/>
    <w:lvl w:ilvl="0" w:tplc="0308B8FC">
      <w:start w:val="1"/>
      <w:numFmt w:val="decimal"/>
      <w:lvlText w:val="%1)"/>
      <w:lvlJc w:val="left"/>
      <w:pPr>
        <w:tabs>
          <w:tab w:val="num" w:pos="645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2C2AFE"/>
    <w:multiLevelType w:val="hybridMultilevel"/>
    <w:tmpl w:val="22FC6FDE"/>
    <w:lvl w:ilvl="0" w:tplc="5A76F9AC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3E710B"/>
    <w:multiLevelType w:val="hybridMultilevel"/>
    <w:tmpl w:val="EF7039E0"/>
    <w:lvl w:ilvl="0" w:tplc="82267A4A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8E7A7CD4">
      <w:start w:val="1"/>
      <w:numFmt w:val="decimal"/>
      <w:lvlText w:val="%2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 w:tplc="E17E545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1358EE"/>
    <w:multiLevelType w:val="singleLevel"/>
    <w:tmpl w:val="BBC4E80A"/>
    <w:lvl w:ilvl="0">
      <w:start w:val="5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64FE1F0D"/>
    <w:multiLevelType w:val="hybridMultilevel"/>
    <w:tmpl w:val="FD7E4E64"/>
    <w:lvl w:ilvl="0" w:tplc="F894D916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066B84"/>
    <w:multiLevelType w:val="hybridMultilevel"/>
    <w:tmpl w:val="BEC2A79A"/>
    <w:lvl w:ilvl="0" w:tplc="3BC4597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4">
    <w:nsid w:val="745B29E7"/>
    <w:multiLevelType w:val="hybridMultilevel"/>
    <w:tmpl w:val="D64CBE84"/>
    <w:lvl w:ilvl="0" w:tplc="CDB4FB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566E6C"/>
    <w:multiLevelType w:val="multilevel"/>
    <w:tmpl w:val="55562518"/>
    <w:lvl w:ilvl="0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5D69D4"/>
    <w:multiLevelType w:val="multilevel"/>
    <w:tmpl w:val="17906A64"/>
    <w:lvl w:ilvl="0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3A37FB"/>
    <w:multiLevelType w:val="hybridMultilevel"/>
    <w:tmpl w:val="08BC6184"/>
    <w:lvl w:ilvl="0" w:tplc="DC149266">
      <w:start w:val="1"/>
      <w:numFmt w:val="decimal"/>
      <w:lvlText w:val="%1)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15"/>
  </w:num>
  <w:num w:numId="14">
    <w:abstractNumId w:val="5"/>
  </w:num>
  <w:num w:numId="15">
    <w:abstractNumId w:val="0"/>
  </w:num>
  <w:num w:numId="16">
    <w:abstractNumId w:val="17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402"/>
    <w:rsid w:val="000374FF"/>
    <w:rsid w:val="000B198C"/>
    <w:rsid w:val="000C465B"/>
    <w:rsid w:val="00104BFF"/>
    <w:rsid w:val="001979D3"/>
    <w:rsid w:val="001C7B73"/>
    <w:rsid w:val="001F2991"/>
    <w:rsid w:val="001F6B85"/>
    <w:rsid w:val="0020477B"/>
    <w:rsid w:val="00205AFB"/>
    <w:rsid w:val="00276CFC"/>
    <w:rsid w:val="002D249C"/>
    <w:rsid w:val="0030330B"/>
    <w:rsid w:val="00327871"/>
    <w:rsid w:val="00352A61"/>
    <w:rsid w:val="003A4E9E"/>
    <w:rsid w:val="003A6EE2"/>
    <w:rsid w:val="003B6DDA"/>
    <w:rsid w:val="003D3296"/>
    <w:rsid w:val="00460B80"/>
    <w:rsid w:val="00475AEA"/>
    <w:rsid w:val="00482E70"/>
    <w:rsid w:val="004C12E2"/>
    <w:rsid w:val="004E581C"/>
    <w:rsid w:val="004F1568"/>
    <w:rsid w:val="004F3FCF"/>
    <w:rsid w:val="004F6697"/>
    <w:rsid w:val="00506C01"/>
    <w:rsid w:val="00513D10"/>
    <w:rsid w:val="005270C2"/>
    <w:rsid w:val="00530996"/>
    <w:rsid w:val="00535C20"/>
    <w:rsid w:val="00541402"/>
    <w:rsid w:val="005C32E9"/>
    <w:rsid w:val="005E2501"/>
    <w:rsid w:val="005E4EDD"/>
    <w:rsid w:val="00610D4D"/>
    <w:rsid w:val="006742D3"/>
    <w:rsid w:val="006A2F02"/>
    <w:rsid w:val="006F5A68"/>
    <w:rsid w:val="0073172D"/>
    <w:rsid w:val="00797C98"/>
    <w:rsid w:val="007B0347"/>
    <w:rsid w:val="007D0590"/>
    <w:rsid w:val="007E186D"/>
    <w:rsid w:val="00806E83"/>
    <w:rsid w:val="00820945"/>
    <w:rsid w:val="00855376"/>
    <w:rsid w:val="0089122F"/>
    <w:rsid w:val="008D0346"/>
    <w:rsid w:val="008D3EA7"/>
    <w:rsid w:val="009102AF"/>
    <w:rsid w:val="00932AB1"/>
    <w:rsid w:val="009A5B54"/>
    <w:rsid w:val="009E21D5"/>
    <w:rsid w:val="00A40372"/>
    <w:rsid w:val="00A46B34"/>
    <w:rsid w:val="00A62EE0"/>
    <w:rsid w:val="00A7670E"/>
    <w:rsid w:val="00A8345D"/>
    <w:rsid w:val="00A91718"/>
    <w:rsid w:val="00AB0C52"/>
    <w:rsid w:val="00B311B1"/>
    <w:rsid w:val="00B34650"/>
    <w:rsid w:val="00B36420"/>
    <w:rsid w:val="00BA1CAF"/>
    <w:rsid w:val="00BD3975"/>
    <w:rsid w:val="00BF0F0F"/>
    <w:rsid w:val="00BF28A6"/>
    <w:rsid w:val="00C22F01"/>
    <w:rsid w:val="00C34546"/>
    <w:rsid w:val="00C76F38"/>
    <w:rsid w:val="00CB79E2"/>
    <w:rsid w:val="00CD5234"/>
    <w:rsid w:val="00D03C24"/>
    <w:rsid w:val="00D46AE2"/>
    <w:rsid w:val="00D65A5E"/>
    <w:rsid w:val="00D747B1"/>
    <w:rsid w:val="00D84FCC"/>
    <w:rsid w:val="00DC1D98"/>
    <w:rsid w:val="00DD684D"/>
    <w:rsid w:val="00DD7B69"/>
    <w:rsid w:val="00E20990"/>
    <w:rsid w:val="00E67E2A"/>
    <w:rsid w:val="00E81D84"/>
    <w:rsid w:val="00ED0770"/>
    <w:rsid w:val="00EF0010"/>
    <w:rsid w:val="00EF0DD8"/>
    <w:rsid w:val="00F339CC"/>
    <w:rsid w:val="00F40B9F"/>
    <w:rsid w:val="00F74699"/>
    <w:rsid w:val="00F84555"/>
    <w:rsid w:val="00FA5686"/>
    <w:rsid w:val="00FE3B7B"/>
    <w:rsid w:val="00FF2B95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39C6C8-4AAE-4639-A44F-9345D309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39CC"/>
    <w:pPr>
      <w:keepNext/>
      <w:spacing w:line="360" w:lineRule="auto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B6DDA"/>
    <w:pPr>
      <w:jc w:val="center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E81D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81D84"/>
    <w:rPr>
      <w:rFonts w:cs="Times New Roman"/>
    </w:rPr>
  </w:style>
  <w:style w:type="paragraph" w:customStyle="1" w:styleId="ConsNonformat">
    <w:name w:val="ConsNonformat"/>
    <w:rsid w:val="00F339C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Таблицы (моноширинный)"/>
    <w:basedOn w:val="a"/>
    <w:next w:val="a"/>
    <w:rsid w:val="00F339C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F339C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F339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text-10">
    <w:name w:val="text-10"/>
    <w:rsid w:val="008D3EA7"/>
    <w:rPr>
      <w:rFonts w:cs="Times New Roman"/>
    </w:rPr>
  </w:style>
  <w:style w:type="paragraph" w:styleId="2">
    <w:name w:val="Body Text Indent 2"/>
    <w:basedOn w:val="a"/>
    <w:link w:val="20"/>
    <w:uiPriority w:val="99"/>
    <w:rsid w:val="006F5A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6F5A68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6F5A68"/>
    <w:rPr>
      <w:rFonts w:cs="Times New Roman"/>
      <w:vertAlign w:val="superscript"/>
    </w:rPr>
  </w:style>
  <w:style w:type="paragraph" w:styleId="ac">
    <w:name w:val="Body Text Indent"/>
    <w:basedOn w:val="a"/>
    <w:link w:val="ad"/>
    <w:uiPriority w:val="99"/>
    <w:rsid w:val="004F1568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4F15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e">
    <w:name w:val="footer"/>
    <w:basedOn w:val="a"/>
    <w:link w:val="af"/>
    <w:uiPriority w:val="99"/>
    <w:rsid w:val="00D84F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D84FC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55977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55978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работы по дисциплине «Гражданский процесс»</vt:lpstr>
    </vt:vector>
  </TitlesOfParts>
  <Company>Home</Company>
  <LinksUpToDate>false</LinksUpToDate>
  <CharactersWithSpaces>21656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работы по дисциплине «Гражданский процесс»</dc:title>
  <dc:subject/>
  <dc:creator>Лена</dc:creator>
  <cp:keywords/>
  <dc:description/>
  <cp:lastModifiedBy>admin</cp:lastModifiedBy>
  <cp:revision>2</cp:revision>
  <cp:lastPrinted>2010-05-30T09:49:00Z</cp:lastPrinted>
  <dcterms:created xsi:type="dcterms:W3CDTF">2014-03-06T17:31:00Z</dcterms:created>
  <dcterms:modified xsi:type="dcterms:W3CDTF">2014-03-06T17:31:00Z</dcterms:modified>
</cp:coreProperties>
</file>