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004" w:rsidRPr="004A0D65" w:rsidRDefault="00982004" w:rsidP="00982004">
      <w:pPr>
        <w:spacing w:before="120"/>
        <w:jc w:val="center"/>
        <w:rPr>
          <w:b/>
          <w:bCs/>
          <w:sz w:val="32"/>
          <w:szCs w:val="32"/>
        </w:rPr>
      </w:pPr>
      <w:r w:rsidRPr="004A0D65">
        <w:rPr>
          <w:b/>
          <w:bCs/>
          <w:sz w:val="32"/>
          <w:szCs w:val="32"/>
        </w:rPr>
        <w:t xml:space="preserve">Безопасность и защита от терроризма – основа качественного и надежного функционирования сложных техногенных систем транспорта </w:t>
      </w:r>
    </w:p>
    <w:p w:rsidR="00982004" w:rsidRPr="004A0D65" w:rsidRDefault="00982004" w:rsidP="00982004">
      <w:pPr>
        <w:spacing w:before="120"/>
        <w:jc w:val="center"/>
        <w:rPr>
          <w:sz w:val="28"/>
          <w:szCs w:val="28"/>
        </w:rPr>
      </w:pPr>
      <w:r w:rsidRPr="004A0D65">
        <w:rPr>
          <w:sz w:val="28"/>
          <w:szCs w:val="28"/>
        </w:rPr>
        <w:t xml:space="preserve">Н.А. Махутов, В.А. Досенко, Г.И. Тараненко.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Анализ безопасности функционирования сложных техногенных систем транспорта практически полностью определяется безопасностью широко известной обобщенной многокомплексной системой «человек–машина–среда» (ЧМС). Наличие человеческого фактора в сочетании с особенностями взаимодействия всех факторов вносит в процесс научного анализа и разработки рекомендаций по обеспечению безопасности и предотвращению терроризма значительные трудности.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Все созданные и практически реализованные человечеством виды транспорта – автомобильный, железнодорожный, городской наземный и подземный (метрополитен) транспорт, авиация, аэропорты, посадочные и взлетные полосы, морской и речной транспорт, морские и речные вокзалы, космические системы и транспортные системы трубопроводов различного назначения, системы электропередач и т. д. – по своему целевому, структурному, промышленному, административному, экономическому, социальному и географическому определению безусловно относятся к категории одних из самых сложных техногенных систем (Тр-СТГС), которые функционируют в мировом пространстве.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Повысить определенности предсказуемость функционирования подобных многомерных систем с целью повышения их безопасности и сопротивлению терроризму за счет установления эмпирических функциональных зависимостей не представляется возможным. Аналитический подход показывает, что между указанными сложными техногенными системами и составляющими их подсистемами существуют синергетические связи, которые образуются в открытых системах при их взаимном влиянии, обмене энергией, информацией и т. д., т. е. при взаимодействии с окружающей средой и друг с другом в неравновесных вариабельных условиях. Кроме того, взаимная связь между большим количеством переменных факторов характеризуется не только сложной многофункциональностью, но и взаимным влиянием на изменение вероятностных законов распределения каждой из случайных величин.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Решение подобных задач предопределяет необходимость использования математических вероятностных методик, применяемых для анализа стохастических связей. Последнее в значительной степени осложняет анализ многофакторных техногенных систем, который должен быть основан на применении математических вероятностных законов случайных процессов. Комплексность решения по вероятностно-стохастической оценке должна предусматривать в первую очередь анализ наиболее значимых параметров в ранге их влияния на эффективность организации безопасности функционирования и сопротивляемость систем возможному террористическому воздействию.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Важнейшая цель задачи расчета подобных многомерных систем должна предусматривать ответ на самые важные вопросы – какова величина риска принятия того или иного решения, какова вероятность получения положительного результата, а именно увеличения безопасности и сопротивляемости системы возможному террористическому воздействию.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К сожалению, инженерные методы анализа, расчета и оптимизации сложных техногенных систем с привлечением теории случайных процессов не получили широкого практического развития, что в значительной степени снижает управляемость и эффективность функционирования подобных систем.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Организацию и менеджмент эффективного функционирования сложной техногенной системы транспорта, как одной из составляющих частей глобальной техногенной системы, каковой является практически любое государство, в условиях комплексных многофункциональных решений при взаимодействии порой принципиально отличных общественно-социальных систем, с точки зрения авторов, целесообразно производить с учетом следующих основных направлений: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– обеспечение безопасности в соответствии с создаваемой единой международной и национальной нормативной базой по проблемам безопасности [1, 2, 3];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– обеспечение полной защиты и эффективной сопротивляемости от возможного воздействия террористических актов;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– обеспечение надежности в соответствии с научно обоснованными нормативными требованиями к надежности, которая является многофункциональным свойством подобных систем и предусматривает их аналитическую прогнозируемость, оптимизацию и т. д. [3, 4];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– обеспечение разработки и внедрения систем управления качеством в соответствии с требованиями международных и национальных стандартов [5–7].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Следует отметить, что в настоящее время практическая реализация надежности и управление качеством сложных техногенных систем производится с помощью отраслевых и коммерческих структур сертификации – соответствующих регистров. При этом в качестве нормативных баз используются официально признанные международные стандарты: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– системы менеджмента качества серии ISO 9001:2000 (Systems Management Quality SMQ ISO 9001:2000);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– системы управления окружающей средой серии ISO 14000 (Environmental management systems, ISO 14001:1996);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– системы менеджмента профессиональной безопасности и здоровья серии OHSAS 18000 (Occupational Health and Safety Assessment, Series OHSAS 18001:1999);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– Социальная ответственность 8000 (Social Accountability 8000, SA8000: 2001);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– Социальная и этическая ответственность (ACCOUNTABILITY 1000, AA 1000, ISEA).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Однако решение важнейших проблем, связанных с обязательной сертификацией систем различного иерархического уровня и сложности, в рамках их ответственности комплексным требованиям безопасности и антитерроризма на международном, государственном, региональном и отраслевом уровнях практически не подкреплено соответствующими нормативными документами.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При этом, безусловно, следует самым положительным образом оценить действия профессиональных ведомств и организаций, работающих в границах существующих межведомоственных нормативных документов, которые требуют от соответствующих производств и транспортных систем выполнение химической, радиационной, экологической и иных условий безопасности.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В течение 2003 г. Исполком КТС СНГ совместно с НИИ Генпрокуратуры России и Антитеррористическим центром государств – участников СНГ была разработана Декларация по вопросам обеспечения безопасности на транспорте в государствах – участниках Содружества Независимых Государств.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Декларация была рассмотрена Советом глав правительств СНГ 18 сентября 2003 г. в г. Ялте.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По результатам рассмотрения СГП СНГ поручил КТС СНГ совместно с Антитеррористическим центром СНГ, Исполкомом СНГ, компетентными ведомствами государств СНГ разработать перечень мероприятий по комплексному обеспечению безопасности на транспорте в государствах – участниках СНГ.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Указанными структурами перечень мероприятий был подготовлен, утвержден на XXIV заседании КТС СНГ 17 июня 2004 г. в Астане и представлен в Исполком СНГ для направления в правительства стран СНГ с целью реализации.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Но сведения о реализации мероприятий от транспортных министерств и ведомств в Исполком КТС СНГ не поступают и соответствующим образом не систематизируются. Не существует комплексной информации о безопасности на транспорте и в Комитете по статистике СНГ.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Ежегодно решения различных совещаний, протоколы конференций, рекомендации с выставок отмечают отсутствие официальной правовой базы, концепции и закона «О транспортной безопасности», который бы обязательно содержал самостоятельные разделы, посвященные требованиям к решению антитеррористических проблем.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Отмечая самым положительным образом ту огромную и полезную практическую и научно-техническую работу, которую проводят государственные, коммерческие, общественные и иные организации всего прогрессивного человечества по обеспечению безопасности и борьбе с терроризмом, оперативная разработка комплексного Международного стандарта «Менеджмент безопасности и антитерроризма» представляется Международной академии транспорта весьма актуальной и назревшей проблемой.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Указанный стандарт должен пройти все официальные инстанции утверждения в соответствии с требованиями международных стандартов и стать базовым документом для обязательной сертификации при организации функционирования промышленных производств и сложных техногенных транспортных систем всех видов – автомобильных, железнодорожных, городского наземного и подземного (метрополитена) транспорта, авиации, аэропортов, посадочных и взлетных полос, морского и речного транспорта, морских и речных вокзалов, космических систем и транспортных систем трубопроводов различного назначения, систем электропередач и т. д.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Для последующего практического внедрения предлагаемого стандарта и организации соответствующих систем сертификации потребуется функциональное расширение существующих или организация принципиально новых Регистров, обеспечивающих обязательную сертификацию на «Менеджмент безопасности и антитерроризм» сложных техногенных систем транспорта с соответствующим оформлением и выдачей сертификатов.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 xml:space="preserve">Указанное комплексное предложение требует высокопрофессиональной, сложной и объемной работы. Учитывая актуальность и оперативную необходимость создания Международного стандарта «Менеджмент безопасности и антитерроризма», Международная академия транспорта обращается к настоящему совещанию с предложением о создании Международной рабочей группы «Менеджмент безопасности и антитерроризма», предусмотрев обращения в правительства стран России, США, ЕС, СЭВ, ООН и т. д. о финансировании работ по созданию указанного выше Международного стандарта. </w:t>
      </w:r>
    </w:p>
    <w:p w:rsidR="00982004" w:rsidRPr="007D7816" w:rsidRDefault="00982004" w:rsidP="00982004">
      <w:pPr>
        <w:spacing w:before="120"/>
        <w:ind w:firstLine="567"/>
        <w:jc w:val="both"/>
      </w:pPr>
      <w:r w:rsidRPr="007D7816">
        <w:t>Разработка и внедрение в практику функционирования Тр-СТГС Международного стандарта «Менеджмент безопасности и антитерроризма» позволит существенным образом систематизировать совместные усилия различных ведомств и стран в противодействии терроризму, а также способствовать развертыванию европейской программы умных транспортных систем.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004"/>
    <w:rsid w:val="001739EA"/>
    <w:rsid w:val="003E2EE0"/>
    <w:rsid w:val="004A0D65"/>
    <w:rsid w:val="0050390D"/>
    <w:rsid w:val="007D7816"/>
    <w:rsid w:val="00982004"/>
    <w:rsid w:val="00F6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548725-3865-448A-A4D6-FA67E4D4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00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82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1442</Words>
  <Characters>8221</Characters>
  <Application>Microsoft Office Word</Application>
  <DocSecurity>0</DocSecurity>
  <Lines>68</Lines>
  <Paragraphs>19</Paragraphs>
  <ScaleCrop>false</ScaleCrop>
  <Company>Home</Company>
  <LinksUpToDate>false</LinksUpToDate>
  <CharactersWithSpaces>9644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Безопасность и защита от терроризма – основа качественного и надежного функционирования сложных техногенных систем транспорта </dc:title>
  <dc:subject/>
  <dc:creator>Alena</dc:creator>
  <cp:keywords/>
  <dc:description/>
  <cp:lastModifiedBy>admin</cp:lastModifiedBy>
  <cp:revision>2</cp:revision>
  <dcterms:created xsi:type="dcterms:W3CDTF">2014-02-19T17:36:00Z</dcterms:created>
  <dcterms:modified xsi:type="dcterms:W3CDTF">2014-02-19T17:36:00Z</dcterms:modified>
</cp:coreProperties>
</file>