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3E" w:rsidRDefault="002C24C9">
      <w:pPr>
        <w:pStyle w:val="a3"/>
        <w:spacing w:after="0" w:line="360" w:lineRule="auto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Чернівецький Коперативний Економіко-Правовий Коледж</w:t>
      </w: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2C24C9">
      <w:pPr>
        <w:pStyle w:val="a3"/>
        <w:spacing w:after="0" w:line="360" w:lineRule="auto"/>
        <w:ind w:firstLine="709"/>
        <w:jc w:val="center"/>
        <w:rPr>
          <w:noProof/>
          <w:sz w:val="52"/>
          <w:szCs w:val="52"/>
          <w:lang w:val="uk-UA"/>
        </w:rPr>
      </w:pPr>
      <w:r>
        <w:rPr>
          <w:noProof/>
          <w:sz w:val="52"/>
          <w:szCs w:val="52"/>
          <w:lang w:val="uk-UA"/>
        </w:rPr>
        <w:t>Реферат</w:t>
      </w:r>
    </w:p>
    <w:p w:rsidR="00F7573E" w:rsidRDefault="002C24C9">
      <w:pPr>
        <w:pStyle w:val="a3"/>
        <w:spacing w:after="0" w:line="360" w:lineRule="auto"/>
        <w:ind w:firstLine="709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на тему:</w:t>
      </w:r>
    </w:p>
    <w:p w:rsidR="00F7573E" w:rsidRDefault="002C24C9">
      <w:pPr>
        <w:pStyle w:val="a3"/>
        <w:spacing w:after="0" w:line="360" w:lineRule="auto"/>
        <w:ind w:firstLine="709"/>
        <w:jc w:val="center"/>
        <w:rPr>
          <w:noProof/>
          <w:sz w:val="56"/>
          <w:szCs w:val="56"/>
          <w:lang w:val="uk-UA"/>
        </w:rPr>
      </w:pPr>
      <w:r>
        <w:rPr>
          <w:noProof/>
          <w:sz w:val="56"/>
          <w:szCs w:val="56"/>
          <w:lang w:val="uk-UA"/>
        </w:rPr>
        <w:t>«Здоровя населення»</w:t>
      </w:r>
    </w:p>
    <w:p w:rsidR="00F7573E" w:rsidRDefault="00F7573E">
      <w:pPr>
        <w:pStyle w:val="a3"/>
        <w:spacing w:after="0" w:line="360" w:lineRule="auto"/>
        <w:ind w:firstLine="709"/>
        <w:jc w:val="center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center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center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framePr w:w="2369" w:h="1873" w:hSpace="180" w:wrap="around" w:vAnchor="text" w:hAnchor="page" w:x="2777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line="360" w:lineRule="auto"/>
        <w:ind w:firstLine="709"/>
        <w:jc w:val="both"/>
        <w:rPr>
          <w:noProof/>
          <w:lang w:val="uk-UA"/>
        </w:rPr>
      </w:pPr>
    </w:p>
    <w:p w:rsidR="00F7573E" w:rsidRDefault="00F7573E">
      <w:pPr>
        <w:framePr w:w="2369" w:h="1873" w:hSpace="180" w:wrap="around" w:vAnchor="text" w:hAnchor="page" w:x="2777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line="360" w:lineRule="auto"/>
        <w:ind w:firstLine="709"/>
        <w:jc w:val="both"/>
        <w:rPr>
          <w:noProof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F7573E">
      <w:pPr>
        <w:pStyle w:val="a3"/>
        <w:spacing w:after="0"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7573E" w:rsidRDefault="002C24C9">
      <w:pPr>
        <w:pStyle w:val="a3"/>
        <w:spacing w:after="0" w:line="360" w:lineRule="auto"/>
        <w:ind w:firstLine="709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Чернівці 2005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В останній час екологічна ситуація на Україні визначається як наслідками аварії на Чернобильській АЕС, так і інтенсифікацією взагалі індустріальних процесів, які обумовлюють підвищення вмісту токсичних речовин в повітряній зоні міст та продуктах харчування.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Все більш значним виявляється негативний вплив на стан здоров я населення широкого примінення гербицидів, пестицидів та мінеральних добрив. Значним фактором у погіршені обставин є також застосування у народному господарстві солей важких металів.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Відомо, що, окрім прямої токсикологічної дії , вказані вище фактори грають головну роль в імунній відповіді організму. Так, зокрема, встановлено, що при контакті з кадмієм та свинцем порушується природна резистентність організму, фагоцитарна активність та змєньшується кількість Т- лімфоцитів \ Е - РУК \. Кадмій викликає вираженний імунодефіцитний стан, ушкоджуючи циклозні системи лімфоцитів. При інтоксикації свинцем знижується активність Т- лімфоцитів, Т- хелперів та Т- супресорів з одночасним компенсаторним підвищенням кількості В- лімфоцитів. Імуносупресорна дія свинцю впливає на зменшння функційної активності клітинної ланки імунітету. Кадмій також виявляє імунодепресивну дію на Т- ланку імунітету та пригнічує активність макрофагів. </w:t>
      </w:r>
    </w:p>
    <w:p w:rsidR="00F7573E" w:rsidRDefault="00F7573E">
      <w:pPr>
        <w:spacing w:line="360" w:lineRule="auto"/>
        <w:ind w:firstLine="540"/>
        <w:jc w:val="both"/>
      </w:pP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Актуальним залишається питання впливу малих доз опромінення при інкорпоруванні радіонуклідів на стан здоровя населення. Дані літератури засвідчують про значну радіочутливість імунокомпетентної системи організму людини. Одним з основних ефектів опромінення є поширення імунної відповіді, що, в свою чергу, веде до зниження опору організму до патогенних факторів, розвитку аутоімунних порушень та збільшення кількості новоутворень.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Наслідком таких несприятливих екологічних обставин є масовий прояв у населення " набутого імунодефіцитного стану " та зростання соматичних захворювань взагалі.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Вищенаведені обставини обумовлюють малоефективність або непередбаченість лікування таких хворих традиційними лікарськими засобами, що доведено одним з авторів при клінічних дослідженнях на прикладі хворих із захворюваннями органів травлення та часто хворіючих дітей \ ЧХД \.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Для підвищення ефективності лікування таких хворих та коррекції відхилень в імунній системі у відносно здорових людей з являється необхідність масового обстеження стану імунної системи населення.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З метою вирішування цієї актуальної проблеми авторами розроблена проба, чутлива та обєктивна методика імунологічного обстеження. Вона дозволяє в умовах клінічної лабораторії з одного аналізу крові мати дані про загальний аналіз крові, а також повну інформацію про імунологічний статус: абсолютну кількість лімфоцитів, їх популяції \ Т,В,О\, субпопуляції \ Тх, Тс,Та \, їх функціональну активність: Т- клітин по реакції бласттрансформації с ФГА, В- клітин по продукції сироваткових імуноглобулінів, а також функцію макрофагів - фагоцитарний індекс.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</w:pPr>
      <w:r>
        <w:t xml:space="preserve">Розробляється можливість корекції імунного статусу людини через визначення чутливості субєкта до тих чи інших імуномодуляторів за допомогою вищезазначеної методики. 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outlineLvl w:val="1"/>
        <w:rPr>
          <w:bCs/>
          <w:lang w:val="uk-UA"/>
        </w:rPr>
      </w:pPr>
      <w:r>
        <w:rPr>
          <w:bCs/>
          <w:lang w:val="uk-UA"/>
        </w:rPr>
        <w:t>Стан здоров'я населення України і рівень приступності послуг охорони здоров'я, лік і медичних приладів у 2001-2002 р.</w:t>
      </w: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bCs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bCs/>
          <w:lang w:val="uk-UA"/>
        </w:rPr>
      </w:pP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lang w:val="uk-UA"/>
        </w:rPr>
      </w:pPr>
      <w:r>
        <w:rPr>
          <w:bCs/>
          <w:lang w:val="uk-UA"/>
        </w:rPr>
        <w:t>Самооцінка стану  здоров'я населення</w:t>
      </w:r>
    </w:p>
    <w:tbl>
      <w:tblPr>
        <w:tblW w:w="2891" w:type="pct"/>
        <w:tblCellSpacing w:w="0" w:type="dxa"/>
        <w:tblCellMar>
          <w:left w:w="140" w:type="dxa"/>
          <w:right w:w="0" w:type="dxa"/>
        </w:tblCellMar>
        <w:tblLook w:val="0000" w:firstRow="0" w:lastRow="0" w:firstColumn="0" w:lastColumn="0" w:noHBand="0" w:noVBand="0"/>
      </w:tblPr>
      <w:tblGrid>
        <w:gridCol w:w="8052"/>
      </w:tblGrid>
      <w:tr w:rsidR="00F7573E">
        <w:trPr>
          <w:trHeight w:val="2844"/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3537" w:type="dxa"/>
              <w:jc w:val="center"/>
              <w:tblCellSpacing w:w="7" w:type="dxa"/>
              <w:shd w:val="clear" w:color="auto" w:fill="B1B1B1"/>
              <w:tblCellMar>
                <w:top w:w="210" w:type="dxa"/>
                <w:left w:w="210" w:type="dxa"/>
                <w:bottom w:w="210" w:type="dxa"/>
                <w:right w:w="210" w:type="dxa"/>
              </w:tblCellMar>
              <w:tblLook w:val="0000" w:firstRow="0" w:lastRow="0" w:firstColumn="0" w:lastColumn="0" w:noHBand="0" w:noVBand="0"/>
            </w:tblPr>
            <w:tblGrid>
              <w:gridCol w:w="8006"/>
            </w:tblGrid>
            <w:tr w:rsidR="00F7573E">
              <w:trPr>
                <w:trHeight w:val="2401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F7573E" w:rsidRDefault="003F5B45">
                  <w:pPr>
                    <w:spacing w:line="360" w:lineRule="auto"/>
                    <w:ind w:firstLine="54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349.5pt;height:160.5pt">
                        <v:imagedata r:id="rId6" o:title=""/>
                      </v:shape>
                    </w:pict>
                  </w:r>
                </w:p>
              </w:tc>
            </w:tr>
          </w:tbl>
          <w:p w:rsidR="00F7573E" w:rsidRDefault="00F7573E">
            <w:pPr>
              <w:spacing w:line="360" w:lineRule="auto"/>
              <w:ind w:firstLine="540"/>
              <w:jc w:val="both"/>
              <w:rPr>
                <w:lang w:val="uk-UA"/>
              </w:rPr>
            </w:pPr>
          </w:p>
        </w:tc>
      </w:tr>
    </w:tbl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lang w:val="uk-UA"/>
        </w:rPr>
      </w:pPr>
      <w:r>
        <w:rPr>
          <w:bCs/>
          <w:lang w:val="uk-UA"/>
        </w:rPr>
        <w:t>Зміна рівня приступності послуг охорони здоров'я і можливості придбання лік і медичних приладів для домогосподарств за місцем проживання</w:t>
      </w:r>
    </w:p>
    <w:tbl>
      <w:tblPr>
        <w:tblW w:w="4335" w:type="pct"/>
        <w:tblCellSpacing w:w="0" w:type="dxa"/>
        <w:tblCellMar>
          <w:left w:w="140" w:type="dxa"/>
          <w:right w:w="0" w:type="dxa"/>
        </w:tblCellMar>
        <w:tblLook w:val="0000" w:firstRow="0" w:lastRow="0" w:firstColumn="0" w:lastColumn="0" w:noHBand="0" w:noVBand="0"/>
      </w:tblPr>
      <w:tblGrid>
        <w:gridCol w:w="8277"/>
      </w:tblGrid>
      <w:tr w:rsidR="00F7573E">
        <w:trPr>
          <w:trHeight w:val="4156"/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7111" w:type="dxa"/>
              <w:tblCellSpacing w:w="7" w:type="dxa"/>
              <w:shd w:val="clear" w:color="auto" w:fill="B1B1B1"/>
              <w:tblCellMar>
                <w:top w:w="210" w:type="dxa"/>
                <w:left w:w="210" w:type="dxa"/>
                <w:bottom w:w="210" w:type="dxa"/>
                <w:right w:w="210" w:type="dxa"/>
              </w:tblCellMar>
              <w:tblLook w:val="0000" w:firstRow="0" w:lastRow="0" w:firstColumn="0" w:lastColumn="0" w:noHBand="0" w:noVBand="0"/>
            </w:tblPr>
            <w:tblGrid>
              <w:gridCol w:w="8231"/>
            </w:tblGrid>
            <w:tr w:rsidR="00F7573E">
              <w:trPr>
                <w:trHeight w:val="3729"/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F7573E" w:rsidRDefault="003F5B45">
                  <w:pPr>
                    <w:spacing w:line="360" w:lineRule="auto"/>
                    <w:ind w:firstLine="54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pict>
                      <v:shape id="_x0000_i1031" type="#_x0000_t75" style="width:360.75pt;height:190.5pt">
                        <v:imagedata r:id="rId7" o:title=""/>
                      </v:shape>
                    </w:pict>
                  </w:r>
                </w:p>
              </w:tc>
            </w:tr>
          </w:tbl>
          <w:p w:rsidR="00F7573E" w:rsidRDefault="00F7573E">
            <w:pPr>
              <w:spacing w:line="360" w:lineRule="auto"/>
              <w:ind w:firstLine="540"/>
              <w:jc w:val="both"/>
              <w:rPr>
                <w:lang w:val="uk-UA"/>
              </w:rPr>
            </w:pPr>
          </w:p>
        </w:tc>
      </w:tr>
    </w:tbl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  <w:r>
        <w:rPr>
          <w:spacing w:val="20"/>
          <w:lang w:val="uk-UA"/>
        </w:rPr>
        <w:t>Таблиця 1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lang w:val="uk-UA"/>
        </w:rPr>
      </w:pPr>
      <w:r>
        <w:rPr>
          <w:bCs/>
          <w:lang w:val="uk-UA"/>
        </w:rPr>
        <w:t>Самооцінка стану здоров'я міським і сільським населенням</w:t>
      </w:r>
    </w:p>
    <w:tbl>
      <w:tblPr>
        <w:tblW w:w="4532" w:type="pct"/>
        <w:tblCellSpacing w:w="7" w:type="dxa"/>
        <w:shd w:val="clear" w:color="auto" w:fill="B1B1B1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67"/>
        <w:gridCol w:w="1284"/>
        <w:gridCol w:w="1530"/>
        <w:gridCol w:w="1287"/>
        <w:gridCol w:w="720"/>
        <w:gridCol w:w="903"/>
        <w:gridCol w:w="1350"/>
      </w:tblGrid>
      <w:tr w:rsidR="00F7573E">
        <w:trPr>
          <w:cantSplit/>
          <w:tblCellSpacing w:w="7" w:type="dxa"/>
        </w:trPr>
        <w:tc>
          <w:tcPr>
            <w:tcW w:w="899" w:type="pct"/>
            <w:vMerge w:val="restar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620" w:type="pct"/>
            <w:gridSpan w:val="2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2001 р.</w:t>
            </w:r>
          </w:p>
        </w:tc>
        <w:tc>
          <w:tcPr>
            <w:tcW w:w="1151" w:type="pct"/>
            <w:gridSpan w:val="2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2002 г.</w:t>
            </w:r>
          </w:p>
        </w:tc>
        <w:tc>
          <w:tcPr>
            <w:tcW w:w="1290" w:type="pct"/>
            <w:gridSpan w:val="2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Зміни (+/-)</w:t>
            </w:r>
            <w:r>
              <w:rPr>
                <w:lang w:val="uk-UA"/>
              </w:rPr>
              <w:br/>
              <w:t xml:space="preserve"> 2002 до 2001 р.</w:t>
            </w:r>
          </w:p>
        </w:tc>
      </w:tr>
      <w:tr w:rsidR="00F7573E">
        <w:trPr>
          <w:cantSplit/>
          <w:tblCellSpacing w:w="7" w:type="dxa"/>
        </w:trPr>
        <w:tc>
          <w:tcPr>
            <w:tcW w:w="899" w:type="pct"/>
            <w:vMerge/>
            <w:vAlign w:val="center"/>
          </w:tcPr>
          <w:p w:rsidR="00F7573E" w:rsidRDefault="00F7573E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38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місто</w:t>
            </w:r>
          </w:p>
        </w:tc>
        <w:tc>
          <w:tcPr>
            <w:tcW w:w="874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село</w:t>
            </w:r>
          </w:p>
        </w:tc>
        <w:tc>
          <w:tcPr>
            <w:tcW w:w="740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місто</w:t>
            </w:r>
          </w:p>
        </w:tc>
        <w:tc>
          <w:tcPr>
            <w:tcW w:w="403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село</w:t>
            </w:r>
          </w:p>
        </w:tc>
        <w:tc>
          <w:tcPr>
            <w:tcW w:w="517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місто</w:t>
            </w:r>
          </w:p>
        </w:tc>
        <w:tc>
          <w:tcPr>
            <w:tcW w:w="765" w:type="pct"/>
            <w:shd w:val="clear" w:color="auto" w:fill="FDF5E7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сіло</w:t>
            </w:r>
          </w:p>
        </w:tc>
      </w:tr>
      <w:tr w:rsidR="00F7573E">
        <w:trPr>
          <w:tblCellSpacing w:w="7" w:type="dxa"/>
        </w:trPr>
        <w:tc>
          <w:tcPr>
            <w:tcW w:w="899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гарне </w:t>
            </w:r>
          </w:p>
        </w:tc>
        <w:tc>
          <w:tcPr>
            <w:tcW w:w="738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20,3%</w:t>
            </w:r>
          </w:p>
        </w:tc>
        <w:tc>
          <w:tcPr>
            <w:tcW w:w="874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31,8%</w:t>
            </w:r>
          </w:p>
        </w:tc>
        <w:tc>
          <w:tcPr>
            <w:tcW w:w="740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22,3%</w:t>
            </w:r>
          </w:p>
        </w:tc>
        <w:tc>
          <w:tcPr>
            <w:tcW w:w="403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29,6%</w:t>
            </w:r>
          </w:p>
        </w:tc>
        <w:tc>
          <w:tcPr>
            <w:tcW w:w="517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+2%</w:t>
            </w:r>
          </w:p>
        </w:tc>
        <w:tc>
          <w:tcPr>
            <w:tcW w:w="765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-2,2%</w:t>
            </w:r>
          </w:p>
        </w:tc>
      </w:tr>
      <w:tr w:rsidR="00F7573E">
        <w:trPr>
          <w:tblCellSpacing w:w="7" w:type="dxa"/>
        </w:trPr>
        <w:tc>
          <w:tcPr>
            <w:tcW w:w="899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задовільне</w:t>
            </w:r>
          </w:p>
        </w:tc>
        <w:tc>
          <w:tcPr>
            <w:tcW w:w="738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63,7%</w:t>
            </w:r>
          </w:p>
        </w:tc>
        <w:tc>
          <w:tcPr>
            <w:tcW w:w="874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50,6%</w:t>
            </w:r>
          </w:p>
        </w:tc>
        <w:tc>
          <w:tcPr>
            <w:tcW w:w="740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63,3%</w:t>
            </w:r>
          </w:p>
        </w:tc>
        <w:tc>
          <w:tcPr>
            <w:tcW w:w="403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53,3%</w:t>
            </w:r>
          </w:p>
        </w:tc>
        <w:tc>
          <w:tcPr>
            <w:tcW w:w="517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-0,4%</w:t>
            </w:r>
          </w:p>
        </w:tc>
        <w:tc>
          <w:tcPr>
            <w:tcW w:w="765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+2,7%</w:t>
            </w:r>
          </w:p>
        </w:tc>
      </w:tr>
      <w:tr w:rsidR="00F7573E">
        <w:trPr>
          <w:tblCellSpacing w:w="7" w:type="dxa"/>
        </w:trPr>
        <w:tc>
          <w:tcPr>
            <w:tcW w:w="899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погане</w:t>
            </w:r>
          </w:p>
        </w:tc>
        <w:tc>
          <w:tcPr>
            <w:tcW w:w="738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16,0%</w:t>
            </w:r>
          </w:p>
        </w:tc>
        <w:tc>
          <w:tcPr>
            <w:tcW w:w="874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17,6%</w:t>
            </w:r>
          </w:p>
        </w:tc>
        <w:tc>
          <w:tcPr>
            <w:tcW w:w="740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14,4%</w:t>
            </w:r>
          </w:p>
        </w:tc>
        <w:tc>
          <w:tcPr>
            <w:tcW w:w="403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17,1%</w:t>
            </w:r>
          </w:p>
        </w:tc>
        <w:tc>
          <w:tcPr>
            <w:tcW w:w="517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-1,6%</w:t>
            </w:r>
          </w:p>
        </w:tc>
        <w:tc>
          <w:tcPr>
            <w:tcW w:w="765" w:type="pct"/>
            <w:shd w:val="clear" w:color="auto" w:fill="FFFFFF"/>
          </w:tcPr>
          <w:p w:rsidR="00F7573E" w:rsidRDefault="002C24C9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-0,5%</w:t>
            </w:r>
          </w:p>
        </w:tc>
      </w:tr>
    </w:tbl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F7573E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spacing w:val="20"/>
          <w:lang w:val="uk-UA"/>
        </w:rPr>
      </w:pPr>
      <w:r>
        <w:rPr>
          <w:spacing w:val="20"/>
          <w:lang w:val="uk-UA"/>
        </w:rPr>
        <w:t>Таблиця 2</w:t>
      </w:r>
    </w:p>
    <w:p w:rsidR="00F7573E" w:rsidRDefault="002C24C9">
      <w:pPr>
        <w:spacing w:before="100" w:beforeAutospacing="1" w:after="100" w:afterAutospacing="1" w:line="360" w:lineRule="auto"/>
        <w:ind w:firstLine="540"/>
        <w:jc w:val="both"/>
        <w:rPr>
          <w:lang w:val="uk-UA"/>
        </w:rPr>
      </w:pPr>
      <w:r>
        <w:rPr>
          <w:bCs/>
          <w:lang w:val="uk-UA"/>
        </w:rPr>
        <w:t>Рівень приступності послуг охорони здоров'я і можливості придбання лік і медичних приладів для домогосподарств за місцем проживання</w:t>
      </w:r>
    </w:p>
    <w:tbl>
      <w:tblPr>
        <w:tblW w:w="4823" w:type="pct"/>
        <w:tblCellSpacing w:w="7" w:type="dxa"/>
        <w:tblInd w:w="14" w:type="dxa"/>
        <w:shd w:val="clear" w:color="auto" w:fill="B1B1B1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89"/>
        <w:gridCol w:w="843"/>
        <w:gridCol w:w="716"/>
        <w:gridCol w:w="935"/>
        <w:gridCol w:w="940"/>
        <w:gridCol w:w="717"/>
        <w:gridCol w:w="896"/>
        <w:gridCol w:w="896"/>
        <w:gridCol w:w="964"/>
      </w:tblGrid>
      <w:tr w:rsidR="00F7573E">
        <w:trPr>
          <w:cantSplit/>
          <w:trHeight w:val="219"/>
          <w:tblCellSpacing w:w="7" w:type="dxa"/>
        </w:trPr>
        <w:tc>
          <w:tcPr>
            <w:tcW w:w="2261" w:type="dxa"/>
            <w:vMerge w:val="restart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3409" w:type="dxa"/>
            <w:gridSpan w:val="4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3441" w:type="dxa"/>
            <w:gridSpan w:val="4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</w:tr>
      <w:tr w:rsidR="00F7573E">
        <w:trPr>
          <w:cantSplit/>
          <w:trHeight w:val="88"/>
          <w:tblCellSpacing w:w="7" w:type="dxa"/>
        </w:trPr>
        <w:tc>
          <w:tcPr>
            <w:tcW w:w="2261" w:type="dxa"/>
            <w:vMerge/>
            <w:vAlign w:val="center"/>
          </w:tcPr>
          <w:p w:rsidR="00F7573E" w:rsidRDefault="00F7573E">
            <w:pPr>
              <w:ind w:firstLine="14"/>
              <w:jc w:val="both"/>
              <w:rPr>
                <w:lang w:val="uk-UA"/>
              </w:rPr>
            </w:pPr>
          </w:p>
        </w:tc>
        <w:tc>
          <w:tcPr>
            <w:tcW w:w="826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Україна</w:t>
            </w:r>
          </w:p>
        </w:tc>
        <w:tc>
          <w:tcPr>
            <w:tcW w:w="700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Великі міста</w:t>
            </w:r>
          </w:p>
        </w:tc>
        <w:tc>
          <w:tcPr>
            <w:tcW w:w="918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Малі міста</w:t>
            </w:r>
          </w:p>
        </w:tc>
        <w:tc>
          <w:tcPr>
            <w:tcW w:w="923" w:type="dxa"/>
            <w:shd w:val="clear" w:color="auto" w:fill="FDF5E7"/>
          </w:tcPr>
          <w:p w:rsidR="00F7573E" w:rsidRDefault="002C24C9">
            <w:pPr>
              <w:ind w:left="-30"/>
              <w:jc w:val="both"/>
              <w:rPr>
                <w:lang w:val="uk-UA"/>
              </w:rPr>
            </w:pPr>
            <w:r>
              <w:rPr>
                <w:lang w:val="uk-UA"/>
              </w:rPr>
              <w:t>Сільська місцевість</w:t>
            </w:r>
          </w:p>
        </w:tc>
        <w:tc>
          <w:tcPr>
            <w:tcW w:w="701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Україна</w:t>
            </w:r>
          </w:p>
        </w:tc>
        <w:tc>
          <w:tcPr>
            <w:tcW w:w="879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Великі міста</w:t>
            </w:r>
          </w:p>
        </w:tc>
        <w:tc>
          <w:tcPr>
            <w:tcW w:w="879" w:type="dxa"/>
            <w:shd w:val="clear" w:color="auto" w:fill="FDF5E7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Малі міста</w:t>
            </w:r>
          </w:p>
        </w:tc>
        <w:tc>
          <w:tcPr>
            <w:tcW w:w="940" w:type="dxa"/>
            <w:shd w:val="clear" w:color="auto" w:fill="FDF5E7"/>
          </w:tcPr>
          <w:p w:rsidR="00F7573E" w:rsidRDefault="002C24C9">
            <w:pPr>
              <w:ind w:hanging="6"/>
              <w:jc w:val="both"/>
              <w:rPr>
                <w:lang w:val="uk-UA"/>
              </w:rPr>
            </w:pPr>
            <w:r>
              <w:rPr>
                <w:lang w:val="uk-UA"/>
              </w:rPr>
              <w:t>Сільська місцевість</w:t>
            </w:r>
          </w:p>
        </w:tc>
      </w:tr>
      <w:tr w:rsidR="00F7573E">
        <w:trPr>
          <w:cantSplit/>
          <w:trHeight w:val="1134"/>
          <w:tblCellSpacing w:w="7" w:type="dxa"/>
        </w:trPr>
        <w:tc>
          <w:tcPr>
            <w:tcW w:w="2261" w:type="dxa"/>
            <w:shd w:val="clear" w:color="auto" w:fill="FFFFFF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Загальна чисельність домогосподарств</w:t>
            </w:r>
          </w:p>
        </w:tc>
        <w:tc>
          <w:tcPr>
            <w:tcW w:w="826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17637,5</w:t>
            </w:r>
          </w:p>
        </w:tc>
        <w:tc>
          <w:tcPr>
            <w:tcW w:w="700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6772,0</w:t>
            </w:r>
          </w:p>
        </w:tc>
        <w:tc>
          <w:tcPr>
            <w:tcW w:w="918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5397,1</w:t>
            </w:r>
          </w:p>
        </w:tc>
        <w:tc>
          <w:tcPr>
            <w:tcW w:w="923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5468,4</w:t>
            </w:r>
          </w:p>
        </w:tc>
        <w:tc>
          <w:tcPr>
            <w:tcW w:w="701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17609,2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7024,9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5078,2</w:t>
            </w:r>
          </w:p>
        </w:tc>
        <w:tc>
          <w:tcPr>
            <w:tcW w:w="940" w:type="dxa"/>
            <w:shd w:val="clear" w:color="auto" w:fill="FFFFFF"/>
            <w:textDirection w:val="tbRl"/>
          </w:tcPr>
          <w:p w:rsidR="00F7573E" w:rsidRDefault="002C24C9">
            <w:pPr>
              <w:ind w:right="113" w:firstLine="540"/>
              <w:jc w:val="both"/>
              <w:rPr>
                <w:lang w:val="uk-UA"/>
              </w:rPr>
            </w:pPr>
            <w:r>
              <w:rPr>
                <w:lang w:val="uk-UA"/>
              </w:rPr>
              <w:t>5506,1</w:t>
            </w:r>
          </w:p>
        </w:tc>
      </w:tr>
      <w:tr w:rsidR="00F7573E">
        <w:trPr>
          <w:cantSplit/>
          <w:trHeight w:val="2140"/>
          <w:tblCellSpacing w:w="7" w:type="dxa"/>
        </w:trPr>
        <w:tc>
          <w:tcPr>
            <w:tcW w:w="2261" w:type="dxa"/>
            <w:shd w:val="clear" w:color="auto" w:fill="FFFFFF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Чисельність домогосподарств, у яких хто-небудь із членів потребував медичної допомоги, придбанні лік і медичних приладів</w:t>
            </w:r>
          </w:p>
        </w:tc>
        <w:tc>
          <w:tcPr>
            <w:tcW w:w="826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15105,5</w:t>
            </w:r>
          </w:p>
        </w:tc>
        <w:tc>
          <w:tcPr>
            <w:tcW w:w="700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6086,6</w:t>
            </w:r>
          </w:p>
        </w:tc>
        <w:tc>
          <w:tcPr>
            <w:tcW w:w="918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4562,9</w:t>
            </w:r>
          </w:p>
        </w:tc>
        <w:tc>
          <w:tcPr>
            <w:tcW w:w="923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4456,0</w:t>
            </w:r>
          </w:p>
        </w:tc>
        <w:tc>
          <w:tcPr>
            <w:tcW w:w="701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16110,0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6615,2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4642,2</w:t>
            </w:r>
          </w:p>
        </w:tc>
        <w:tc>
          <w:tcPr>
            <w:tcW w:w="940" w:type="dxa"/>
            <w:shd w:val="clear" w:color="auto" w:fill="FFFFFF"/>
            <w:textDirection w:val="tbRl"/>
          </w:tcPr>
          <w:p w:rsidR="00F7573E" w:rsidRDefault="002C24C9">
            <w:pPr>
              <w:ind w:right="113" w:firstLine="540"/>
              <w:jc w:val="both"/>
              <w:rPr>
                <w:lang w:val="uk-UA"/>
              </w:rPr>
            </w:pPr>
            <w:r>
              <w:rPr>
                <w:lang w:val="uk-UA"/>
              </w:rPr>
              <w:t>4852,6</w:t>
            </w:r>
          </w:p>
        </w:tc>
      </w:tr>
      <w:tr w:rsidR="00F7573E">
        <w:trPr>
          <w:cantSplit/>
          <w:trHeight w:val="2492"/>
          <w:tblCellSpacing w:w="7" w:type="dxa"/>
        </w:trPr>
        <w:tc>
          <w:tcPr>
            <w:tcW w:w="2261" w:type="dxa"/>
            <w:shd w:val="clear" w:color="auto" w:fill="FFFFFF"/>
          </w:tcPr>
          <w:p w:rsidR="00F7573E" w:rsidRDefault="002C24C9">
            <w:pPr>
              <w:ind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Чисельність домогосподарств, у яких хто-небудь із членів потребував медичної допомоги, придбанні лік і медичних приладів, але не міг них придбати</w:t>
            </w:r>
          </w:p>
        </w:tc>
        <w:tc>
          <w:tcPr>
            <w:tcW w:w="826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4335,2</w:t>
            </w:r>
          </w:p>
        </w:tc>
        <w:tc>
          <w:tcPr>
            <w:tcW w:w="700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2190,7</w:t>
            </w:r>
          </w:p>
        </w:tc>
        <w:tc>
          <w:tcPr>
            <w:tcW w:w="918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1228,5</w:t>
            </w:r>
          </w:p>
        </w:tc>
        <w:tc>
          <w:tcPr>
            <w:tcW w:w="923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916,0</w:t>
            </w:r>
          </w:p>
        </w:tc>
        <w:tc>
          <w:tcPr>
            <w:tcW w:w="701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4426,9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1978,3</w:t>
            </w:r>
          </w:p>
        </w:tc>
        <w:tc>
          <w:tcPr>
            <w:tcW w:w="879" w:type="dxa"/>
            <w:shd w:val="clear" w:color="auto" w:fill="FFFFFF"/>
            <w:textDirection w:val="tbRl"/>
          </w:tcPr>
          <w:p w:rsidR="00F7573E" w:rsidRDefault="002C24C9">
            <w:pPr>
              <w:ind w:right="113" w:firstLine="14"/>
              <w:jc w:val="both"/>
              <w:rPr>
                <w:lang w:val="uk-UA"/>
              </w:rPr>
            </w:pPr>
            <w:r>
              <w:rPr>
                <w:lang w:val="uk-UA"/>
              </w:rPr>
              <w:t>1226,8</w:t>
            </w:r>
          </w:p>
        </w:tc>
        <w:tc>
          <w:tcPr>
            <w:tcW w:w="940" w:type="dxa"/>
            <w:shd w:val="clear" w:color="auto" w:fill="FFFFFF"/>
            <w:textDirection w:val="tbRl"/>
          </w:tcPr>
          <w:p w:rsidR="00F7573E" w:rsidRDefault="002C24C9">
            <w:pPr>
              <w:ind w:right="113" w:firstLine="540"/>
              <w:jc w:val="both"/>
              <w:rPr>
                <w:lang w:val="uk-UA"/>
              </w:rPr>
            </w:pPr>
            <w:r>
              <w:rPr>
                <w:lang w:val="uk-UA"/>
              </w:rPr>
              <w:t>1221,8</w:t>
            </w:r>
          </w:p>
        </w:tc>
      </w:tr>
    </w:tbl>
    <w:p w:rsidR="00F7573E" w:rsidRDefault="00F7573E">
      <w:pPr>
        <w:spacing w:line="360" w:lineRule="auto"/>
        <w:ind w:firstLine="540"/>
        <w:jc w:val="both"/>
      </w:pPr>
      <w:bookmarkStart w:id="0" w:name="_GoBack"/>
      <w:bookmarkEnd w:id="0"/>
    </w:p>
    <w:sectPr w:rsidR="00F7573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73E" w:rsidRDefault="002C24C9">
      <w:r>
        <w:separator/>
      </w:r>
    </w:p>
  </w:endnote>
  <w:endnote w:type="continuationSeparator" w:id="0">
    <w:p w:rsidR="00F7573E" w:rsidRDefault="002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73E" w:rsidRDefault="002C24C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573E" w:rsidRDefault="00F7573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73E" w:rsidRDefault="002C24C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F7573E" w:rsidRDefault="00F7573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73E" w:rsidRDefault="002C24C9">
      <w:r>
        <w:separator/>
      </w:r>
    </w:p>
  </w:footnote>
  <w:footnote w:type="continuationSeparator" w:id="0">
    <w:p w:rsidR="00F7573E" w:rsidRDefault="002C2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4C9"/>
    <w:rsid w:val="002C24C9"/>
    <w:rsid w:val="003F5B45"/>
    <w:rsid w:val="00F7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04600D1D-2B99-4DEF-8C9A-D06F1EC0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  <w:rPr>
      <w:sz w:val="20"/>
      <w:szCs w:val="20"/>
    </w:rPr>
  </w:style>
  <w:style w:type="paragraph" w:styleId="2">
    <w:name w:val="Body Text 2"/>
    <w:basedOn w:val="a"/>
    <w:semiHidden/>
    <w:pPr>
      <w:framePr w:w="2369" w:h="1873" w:hSpace="180" w:wrap="around" w:vAnchor="text" w:hAnchor="page" w:x="8125" w:y="33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</w:pPr>
    <w:rPr>
      <w:noProof/>
      <w:szCs w:val="20"/>
      <w:lang w:val="uk-UA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Чернівецький Коперативний Економіко-Правовий Коледж</vt:lpstr>
    </vt:vector>
  </TitlesOfParts>
  <Manager>Природничі науки</Manager>
  <Company>Природничі науки</Company>
  <LinksUpToDate>false</LinksUpToDate>
  <CharactersWithSpaces>4497</CharactersWithSpaces>
  <SharedDoc>false</SharedDoc>
  <HyperlinkBase>Природничі науки</HyperlinkBase>
  <HLinks>
    <vt:vector size="12" baseType="variant">
      <vt:variant>
        <vt:i4>5701644</vt:i4>
      </vt:variant>
      <vt:variant>
        <vt:i4>7856</vt:i4>
      </vt:variant>
      <vt:variant>
        <vt:i4>1025</vt:i4>
      </vt:variant>
      <vt:variant>
        <vt:i4>1</vt:i4>
      </vt:variant>
      <vt:variant>
        <vt:lpwstr>a_29_1</vt:lpwstr>
      </vt:variant>
      <vt:variant>
        <vt:lpwstr/>
      </vt:variant>
      <vt:variant>
        <vt:i4>5505036</vt:i4>
      </vt:variant>
      <vt:variant>
        <vt:i4>8336</vt:i4>
      </vt:variant>
      <vt:variant>
        <vt:i4>1026</vt:i4>
      </vt:variant>
      <vt:variant>
        <vt:i4>1</vt:i4>
      </vt:variant>
      <vt:variant>
        <vt:lpwstr>a_29_2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Чернівецький Коперативний Економіко-Правовий Коледж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2005-01-29T12:36:00Z</cp:lastPrinted>
  <dcterms:created xsi:type="dcterms:W3CDTF">2014-07-10T12:16:00Z</dcterms:created>
  <dcterms:modified xsi:type="dcterms:W3CDTF">2014-07-10T12:16:00Z</dcterms:modified>
  <cp:category>Природничі науки</cp:category>
</cp:coreProperties>
</file>