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29"/>
        <w:gridCol w:w="131"/>
        <w:gridCol w:w="380"/>
        <w:gridCol w:w="9"/>
        <w:gridCol w:w="284"/>
        <w:gridCol w:w="142"/>
        <w:gridCol w:w="141"/>
        <w:gridCol w:w="27"/>
        <w:gridCol w:w="38"/>
        <w:gridCol w:w="101"/>
        <w:gridCol w:w="5"/>
        <w:gridCol w:w="365"/>
        <w:gridCol w:w="284"/>
        <w:gridCol w:w="151"/>
        <w:gridCol w:w="1014"/>
        <w:gridCol w:w="151"/>
        <w:gridCol w:w="121"/>
        <w:gridCol w:w="25"/>
        <w:gridCol w:w="65"/>
        <w:gridCol w:w="172"/>
        <w:gridCol w:w="28"/>
        <w:gridCol w:w="18"/>
        <w:gridCol w:w="260"/>
        <w:gridCol w:w="165"/>
        <w:gridCol w:w="286"/>
        <w:gridCol w:w="281"/>
        <w:gridCol w:w="54"/>
        <w:gridCol w:w="246"/>
        <w:gridCol w:w="79"/>
        <w:gridCol w:w="172"/>
        <w:gridCol w:w="158"/>
        <w:gridCol w:w="129"/>
        <w:gridCol w:w="399"/>
        <w:gridCol w:w="88"/>
        <w:gridCol w:w="79"/>
        <w:gridCol w:w="69"/>
        <w:gridCol w:w="38"/>
        <w:gridCol w:w="173"/>
        <w:gridCol w:w="15"/>
        <w:gridCol w:w="73"/>
        <w:gridCol w:w="13"/>
        <w:gridCol w:w="250"/>
        <w:gridCol w:w="39"/>
        <w:gridCol w:w="327"/>
        <w:gridCol w:w="4"/>
        <w:gridCol w:w="48"/>
        <w:gridCol w:w="69"/>
        <w:gridCol w:w="29"/>
        <w:gridCol w:w="35"/>
        <w:gridCol w:w="51"/>
        <w:gridCol w:w="109"/>
        <w:gridCol w:w="141"/>
        <w:gridCol w:w="154"/>
        <w:gridCol w:w="702"/>
        <w:gridCol w:w="71"/>
        <w:gridCol w:w="91"/>
        <w:gridCol w:w="477"/>
        <w:gridCol w:w="278"/>
        <w:gridCol w:w="858"/>
      </w:tblGrid>
      <w:tr w:rsidR="001007EF">
        <w:trPr>
          <w:gridBefore w:val="5"/>
          <w:gridAfter w:val="1"/>
          <w:wBefore w:w="709" w:type="dxa"/>
          <w:wAfter w:w="858" w:type="dxa"/>
        </w:trPr>
        <w:tc>
          <w:tcPr>
            <w:tcW w:w="8784" w:type="dxa"/>
            <w:gridSpan w:val="5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Облік, реєстрація та розслідування нещасних випадків, професійних захворювань і професійних отруєнь на підприємствах, в установах і організаціях</w:t>
            </w:r>
          </w:p>
        </w:tc>
      </w:tr>
      <w:tr w:rsidR="001007EF">
        <w:trPr>
          <w:gridAfter w:val="27"/>
          <w:wAfter w:w="4680" w:type="dxa"/>
        </w:trPr>
        <w:tc>
          <w:tcPr>
            <w:tcW w:w="5384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rPr>
          <w:gridBefore w:val="4"/>
          <w:wBefore w:w="700" w:type="dxa"/>
        </w:trPr>
        <w:tc>
          <w:tcPr>
            <w:tcW w:w="4133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Гострі професійні захворювання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i/>
                <w:sz w:val="24"/>
              </w:rPr>
            </w:pPr>
          </w:p>
        </w:tc>
        <w:tc>
          <w:tcPr>
            <w:tcW w:w="4809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Хронічні професійні захворювання</w:t>
            </w:r>
          </w:p>
        </w:tc>
      </w:tr>
      <w:tr w:rsidR="001007EF">
        <w:tc>
          <w:tcPr>
            <w:tcW w:w="355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349" w:type="dxa"/>
            <w:gridSpan w:val="2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44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c>
          <w:tcPr>
            <w:tcW w:w="12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07EF" w:rsidRDefault="00E34F8C">
            <w:pPr>
              <w:widowControl w:val="0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Повідом-лення</w:t>
            </w:r>
          </w:p>
        </w:tc>
        <w:tc>
          <w:tcPr>
            <w:tcW w:w="1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386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43"/>
              <w:jc w:val="center"/>
              <w:rPr>
                <w:sz w:val="24"/>
              </w:rPr>
            </w:pPr>
            <w:r>
              <w:rPr>
                <w:sz w:val="24"/>
              </w:rPr>
              <w:t>“Екстрене повідомлення про гостре отруєння (захворювання на виробництві)”</w:t>
            </w:r>
          </w:p>
          <w:p w:rsidR="001007EF" w:rsidRDefault="00E34F8C">
            <w:pPr>
              <w:widowControl w:val="0"/>
              <w:ind w:firstLine="709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5139" w:type="dxa"/>
            <w:gridSpan w:val="3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ind w:firstLine="71"/>
              <w:jc w:val="both"/>
              <w:rPr>
                <w:sz w:val="24"/>
              </w:rPr>
            </w:pPr>
            <w:r>
              <w:rPr>
                <w:sz w:val="24"/>
              </w:rPr>
              <w:t>Остаточний діагноз і зв’язок профзахворювання з впливом виробничих факторів  мають право встановлювати спеціалізовані лікувально-профілактичні заклади за спеціальним переліком Кабінету Міністрів України (затверджується через кожні 5 років)</w:t>
            </w:r>
          </w:p>
        </w:tc>
      </w:tr>
      <w:tr w:rsidR="001007EF">
        <w:trPr>
          <w:gridBefore w:val="21"/>
          <w:gridAfter w:val="5"/>
          <w:wBefore w:w="3795" w:type="dxa"/>
          <w:wAfter w:w="1775" w:type="dxa"/>
        </w:trPr>
        <w:tc>
          <w:tcPr>
            <w:tcW w:w="757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4024" w:type="dxa"/>
            <w:gridSpan w:val="2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c>
          <w:tcPr>
            <w:tcW w:w="1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0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— гостре професійне захворювання (отруєння);</w:t>
            </w:r>
          </w:p>
          <w:p w:rsidR="001007EF" w:rsidRDefault="00E34F8C">
            <w:pPr>
              <w:widowControl w:val="0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— професійне захворювання інфекційного характеру (зв’язок з професійною діяльністю уточнюється спеціалізо-ванними відділеннями після обов’язкової кон-сультації з лікарем з гігі-єни праці та епідеміо-логом СЕС).</w:t>
            </w:r>
          </w:p>
        </w:tc>
        <w:tc>
          <w:tcPr>
            <w:tcW w:w="27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705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Лікар,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який вперше поставив діагноз, направляє в рай СЕС міськ СЕС та власникові підприємства протягом доби після встановлення діагнозу.</w:t>
            </w:r>
          </w:p>
          <w:p w:rsidR="001007EF" w:rsidRDefault="00E34F8C">
            <w:pPr>
              <w:widowControl w:val="0"/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Лікувально-профілактич-ний заклад, який уточнив діагноз, направляє нове екстренне повідомлення протягом 10 годин до СЕС.</w:t>
            </w:r>
          </w:p>
        </w:tc>
        <w:tc>
          <w:tcPr>
            <w:tcW w:w="2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2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20"/>
              <w:jc w:val="both"/>
              <w:rPr>
                <w:sz w:val="24"/>
              </w:rPr>
            </w:pPr>
            <w:r>
              <w:rPr>
                <w:sz w:val="24"/>
              </w:rPr>
              <w:t>“Повідомлення про хронічне  професійне захворювання (отруєн-ня)”направляється протягом 3 днів після встановлення діагнозу, підпри-ємству, де працював хво-рий, СЕС та лікувально-профілактичному закладу, якi обслуговують це під-приємство</w:t>
            </w:r>
          </w:p>
        </w:tc>
      </w:tr>
      <w:tr w:rsidR="001007EF">
        <w:trPr>
          <w:gridBefore w:val="7"/>
          <w:wBefore w:w="1135" w:type="dxa"/>
        </w:trPr>
        <w:tc>
          <w:tcPr>
            <w:tcW w:w="6099" w:type="dxa"/>
            <w:gridSpan w:val="38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117" w:type="dxa"/>
            <w:gridSpan w:val="1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815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16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21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— професійні за-хворювання (от-руєння), які за-кінчились смер-тю;</w:t>
            </w:r>
          </w:p>
          <w:p w:rsidR="001007EF" w:rsidRDefault="00E34F8C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— групові професійні захворювання ( 2 і більше працівників).</w:t>
            </w:r>
          </w:p>
        </w:tc>
        <w:tc>
          <w:tcPr>
            <w:tcW w:w="21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5592" w:type="dxa"/>
            <w:gridSpan w:val="3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left="-6" w:firstLine="720"/>
              <w:jc w:val="both"/>
              <w:rPr>
                <w:sz w:val="24"/>
              </w:rPr>
            </w:pPr>
            <w:r>
              <w:rPr>
                <w:sz w:val="24"/>
              </w:rPr>
              <w:t>Власник підприємства негайно повідомляє по телефону або телефаксу відповідний місцевий орган державного нагляду за охороною праці; СЕС  (у разі гострих  професійних отруєнь чи захворювань); місцевий орган державної виконавчої влади;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профспілкову організацію свого підприємства; вищестоящий профспілко-вий орган; прокуратуру.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rPr>
          <w:gridBefore w:val="7"/>
          <w:wBefore w:w="1135" w:type="dxa"/>
        </w:trPr>
        <w:tc>
          <w:tcPr>
            <w:tcW w:w="677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075" w:type="dxa"/>
            <w:gridSpan w:val="15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1419" w:type="dxa"/>
            <w:gridSpan w:val="9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834" w:type="dxa"/>
            <w:gridSpan w:val="21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c>
          <w:tcPr>
            <w:tcW w:w="1135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jc w:val="center"/>
              <w:rPr>
                <w:b/>
                <w:i/>
                <w:sz w:val="24"/>
              </w:rPr>
            </w:pPr>
          </w:p>
          <w:p w:rsidR="001007EF" w:rsidRDefault="00E34F8C">
            <w:pPr>
              <w:widowControl w:val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Реєстра-ція</w:t>
            </w:r>
          </w:p>
        </w:tc>
        <w:tc>
          <w:tcPr>
            <w:tcW w:w="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472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“Журнал реєстрації нещасних випадків (виробничих травм, гострих отруєнь та захворювань)</w:t>
            </w:r>
          </w:p>
          <w:p w:rsidR="001007EF" w:rsidRDefault="001007EF">
            <w:pPr>
              <w:widowControl w:val="0"/>
              <w:ind w:firstLine="709"/>
              <w:jc w:val="both"/>
              <w:rPr>
                <w:sz w:val="24"/>
              </w:rPr>
            </w:pPr>
          </w:p>
        </w:tc>
        <w:tc>
          <w:tcPr>
            <w:tcW w:w="27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2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73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09"/>
              <w:rPr>
                <w:sz w:val="24"/>
              </w:rPr>
            </w:pPr>
            <w:r>
              <w:rPr>
                <w:sz w:val="24"/>
              </w:rPr>
              <w:t>На підприємстві та в СЕС на підставі повідомлень про профзахворювання та актів  їх розсліду-вань</w:t>
            </w:r>
          </w:p>
        </w:tc>
      </w:tr>
      <w:tr w:rsidR="001007EF">
        <w:trPr>
          <w:gridBefore w:val="7"/>
          <w:gridAfter w:val="5"/>
          <w:wBefore w:w="1135" w:type="dxa"/>
          <w:wAfter w:w="1775" w:type="dxa"/>
        </w:trPr>
        <w:tc>
          <w:tcPr>
            <w:tcW w:w="961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037" w:type="dxa"/>
            <w:gridSpan w:val="15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1104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2339" w:type="dxa"/>
            <w:gridSpan w:val="1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07EF" w:rsidRDefault="00E34F8C">
            <w:pPr>
              <w:widowControl w:val="0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Розслі-дування</w:t>
            </w:r>
          </w:p>
        </w:tc>
        <w:tc>
          <w:tcPr>
            <w:tcW w:w="283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Власник підприємства органі-зовує розслідування протягом 3 діб з моменту події</w:t>
            </w:r>
          </w:p>
          <w:p w:rsidR="001007EF" w:rsidRDefault="001007EF">
            <w:pPr>
              <w:widowControl w:val="0"/>
              <w:ind w:firstLine="709"/>
              <w:jc w:val="both"/>
              <w:rPr>
                <w:sz w:val="24"/>
              </w:rPr>
            </w:pPr>
          </w:p>
        </w:tc>
        <w:tc>
          <w:tcPr>
            <w:tcW w:w="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318" w:type="dxa"/>
            <w:gridSpan w:val="26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1007EF" w:rsidRDefault="00E34F8C">
            <w:pPr>
              <w:widowControl w:val="0"/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Комісія призначається наказом керівника терито-ріального органу, а якщо загинуло 5 і більше чоловік - центрального органу державного нагляду за охороною праці 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27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Власник підпри-ємства організовує роз-слідування протягом 7 днів з моменту одержання повідомлення</w:t>
            </w:r>
          </w:p>
        </w:tc>
      </w:tr>
      <w:tr w:rsidR="001007EF">
        <w:trPr>
          <w:gridBefore w:val="10"/>
          <w:gridAfter w:val="2"/>
          <w:wBefore w:w="1341" w:type="dxa"/>
          <w:wAfter w:w="1136" w:type="dxa"/>
        </w:trPr>
        <w:tc>
          <w:tcPr>
            <w:tcW w:w="4817" w:type="dxa"/>
            <w:gridSpan w:val="2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057" w:type="dxa"/>
            <w:gridSpan w:val="2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c>
          <w:tcPr>
            <w:tcW w:w="181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“Акт про нещасний випадок” за формою Н-1 (5 примірників; термін зберігання на підприємстві - 45 років)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jc w:val="center"/>
              <w:rPr>
                <w:sz w:val="24"/>
              </w:rPr>
            </w:pPr>
          </w:p>
        </w:tc>
        <w:tc>
          <w:tcPr>
            <w:tcW w:w="4621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“Акт спеціального розслідування групового нещасного випадку або нещасного випадку iз смертельним наслідком”; “Акт про нещасний  випадок “ за формою Н-1; Висновок лікувально-профілак-тичного закладу при розслідуванні гострих отруєнь (захворювань); медичний висновок про причини смерті або харак-тер травми потерпілого, а також про наявність в його організмі алкоголю i наркотичних речовин.</w:t>
            </w:r>
          </w:p>
        </w:tc>
        <w:tc>
          <w:tcPr>
            <w:tcW w:w="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306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“Акт розслідування хронічного професійного захворювання (отруєння)” в 5 примірниках (складається комісією протягом 3 діб після закінчення розсліду-вання; термін зберігання на підприємстві та в СЕС - 45 років)</w:t>
            </w:r>
          </w:p>
        </w:tc>
      </w:tr>
      <w:tr w:rsidR="001007EF">
        <w:trPr>
          <w:gridAfter w:val="2"/>
          <w:wAfter w:w="1136" w:type="dxa"/>
        </w:trPr>
        <w:tc>
          <w:tcPr>
            <w:tcW w:w="12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5329" w:type="dxa"/>
            <w:gridSpan w:val="3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1860" w:type="dxa"/>
            <w:gridSpan w:val="10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c>
          <w:tcPr>
            <w:tcW w:w="1812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потерпілому або особі, яка представляє його інтереси; </w:t>
            </w:r>
          </w:p>
          <w:p w:rsidR="001007EF" w:rsidRDefault="00E34F8C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керівникові це-ху;   інспек-торові з охоро-ни праці; ке-рівникові (спе-ціалістові) з охорони праці;</w:t>
            </w:r>
          </w:p>
          <w:p w:rsidR="001007EF" w:rsidRDefault="00E34F8C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профспілковій організації.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jc w:val="center"/>
              <w:rPr>
                <w:sz w:val="24"/>
              </w:rPr>
            </w:pPr>
          </w:p>
        </w:tc>
        <w:tc>
          <w:tcPr>
            <w:tcW w:w="5288" w:type="dxa"/>
            <w:gridSpan w:val="3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Підприємство в 5-денний термін надсилає матеріали прокуратурі та відповідному органу державного нагляду за охороною праці та СЕС; перший примірник залишається на підприємстві. Копії акта спеціального розслідування, ескіза місця нещасного  випадку, актів за ф. Н-1  та наказу керівника  підприємства надсилаються відповідному профспілковому органу, міністерству або іншому центральному органу державної виконавчої влади та Національному НДІ  охорони праці, Держнаглядохорони праці у разі групового нещасного випадку. </w:t>
            </w:r>
          </w:p>
        </w:tc>
        <w:tc>
          <w:tcPr>
            <w:tcW w:w="3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2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Хворому; СЕС; підприємству; лікува-льно-профілактичному закладу; профспілковій організації підприєм-ства.</w:t>
            </w:r>
          </w:p>
        </w:tc>
      </w:tr>
      <w:tr w:rsidR="001007EF">
        <w:tc>
          <w:tcPr>
            <w:tcW w:w="1442" w:type="dxa"/>
            <w:gridSpan w:val="11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jc w:val="center"/>
              <w:rPr>
                <w:sz w:val="24"/>
              </w:rPr>
            </w:pPr>
          </w:p>
        </w:tc>
        <w:tc>
          <w:tcPr>
            <w:tcW w:w="5090" w:type="dxa"/>
            <w:gridSpan w:val="29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220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  <w:tc>
          <w:tcPr>
            <w:tcW w:w="1613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rPr>
                <w:sz w:val="24"/>
              </w:rPr>
            </w:pPr>
          </w:p>
        </w:tc>
      </w:tr>
      <w:tr w:rsidR="001007EF">
        <w:tc>
          <w:tcPr>
            <w:tcW w:w="11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007EF" w:rsidRDefault="00E34F8C">
            <w:pPr>
              <w:widowControl w:val="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Звіт-ність</w:t>
            </w:r>
          </w:p>
        </w:tc>
        <w:tc>
          <w:tcPr>
            <w:tcW w:w="270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Підприємства, місцеві органи Державної вико-навчої влади і державного нагляду за охороною праці ведуть облік усіх виробничих травм за підсумками року, а гострих отруєнь (за-хворювань) - за підсумками кожного півріччя та року.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jc w:val="both"/>
              <w:rPr>
                <w:sz w:val="24"/>
              </w:rPr>
            </w:pPr>
          </w:p>
        </w:tc>
        <w:tc>
          <w:tcPr>
            <w:tcW w:w="3608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Міністерства, інші центральні органи дер</w:t>
            </w:r>
            <w:r>
              <w:rPr>
                <w:sz w:val="24"/>
                <w:lang w:val="uk-UA"/>
              </w:rPr>
              <w:t>ж</w:t>
            </w:r>
            <w:r>
              <w:rPr>
                <w:sz w:val="24"/>
              </w:rPr>
              <w:t>авної виконавчої влади, Держнагляд охорони праці, Держатомнагляд, Головне управління пожежної охорони МВС і санітарно-епідеміологічна служба МОЗ здійснюють оперативний облік групових  нещасних випадків і нещасних випадків із смертельним наслідком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7EF" w:rsidRDefault="001007EF">
            <w:pPr>
              <w:widowControl w:val="0"/>
              <w:ind w:firstLine="709"/>
              <w:jc w:val="both"/>
              <w:rPr>
                <w:sz w:val="24"/>
              </w:rPr>
            </w:pPr>
          </w:p>
        </w:tc>
        <w:tc>
          <w:tcPr>
            <w:tcW w:w="17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EF" w:rsidRDefault="00E34F8C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Районні та міські СЕС 2  рази на рік звітують обласним та галузевим СЕС, які надсилають звіти ГСЕУ МОЗ</w:t>
            </w:r>
          </w:p>
        </w:tc>
      </w:tr>
    </w:tbl>
    <w:p w:rsidR="001007EF" w:rsidRDefault="001007EF">
      <w:pPr>
        <w:widowControl w:val="0"/>
        <w:ind w:firstLine="709"/>
        <w:rPr>
          <w:sz w:val="24"/>
        </w:rPr>
      </w:pPr>
    </w:p>
    <w:p w:rsidR="001007EF" w:rsidRDefault="001007EF">
      <w:pPr>
        <w:widowControl w:val="0"/>
        <w:ind w:firstLine="709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pPr>
        <w:widowControl w:val="0"/>
        <w:ind w:firstLine="709"/>
        <w:jc w:val="center"/>
        <w:rPr>
          <w:sz w:val="24"/>
        </w:rPr>
      </w:pPr>
    </w:p>
    <w:p w:rsidR="001007EF" w:rsidRDefault="001007EF">
      <w:bookmarkStart w:id="0" w:name="_GoBack"/>
      <w:bookmarkEnd w:id="0"/>
    </w:p>
    <w:sectPr w:rsidR="001007EF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F8C"/>
    <w:rsid w:val="001007EF"/>
    <w:rsid w:val="004C52B0"/>
    <w:rsid w:val="00E3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F8572-EA19-4E94-8801-0B9C7CC3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3839</Characters>
  <Application>Microsoft Office Word</Application>
  <DocSecurity>0</DocSecurity>
  <Lines>31</Lines>
  <Paragraphs>9</Paragraphs>
  <ScaleCrop>false</ScaleCrop>
  <Manager>Медицина. Безпека життєдіяльності</Manager>
  <Company>Медицина. Безпека життєдіяльності</Company>
  <LinksUpToDate>false</LinksUpToDate>
  <CharactersWithSpaces>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1999-09-27T11:08:00Z</cp:lastPrinted>
  <dcterms:created xsi:type="dcterms:W3CDTF">2014-04-26T20:15:00Z</dcterms:created>
  <dcterms:modified xsi:type="dcterms:W3CDTF">2014-04-26T20:15:00Z</dcterms:modified>
  <cp:category>Медицина. Безпека життєдіяльності</cp:category>
</cp:coreProperties>
</file>