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A12AB1">
      <w:pPr>
        <w:jc w:val="center"/>
        <w:rPr>
          <w:sz w:val="66"/>
          <w:lang w:val="uk-UA"/>
        </w:rPr>
      </w:pPr>
      <w:r>
        <w:rPr>
          <w:sz w:val="66"/>
          <w:lang w:val="uk-UA"/>
        </w:rPr>
        <w:t>Гурткова робота</w:t>
      </w:r>
    </w:p>
    <w:p w:rsidR="00D919A7" w:rsidRDefault="00A12AB1">
      <w:pPr>
        <w:jc w:val="center"/>
        <w:rPr>
          <w:sz w:val="66"/>
          <w:lang w:val="uk-UA"/>
        </w:rPr>
      </w:pPr>
      <w:r>
        <w:rPr>
          <w:sz w:val="66"/>
          <w:lang w:val="uk-UA"/>
        </w:rPr>
        <w:t>з педіатрії:</w:t>
      </w:r>
    </w:p>
    <w:p w:rsidR="00D919A7" w:rsidRDefault="00D919A7">
      <w:pPr>
        <w:jc w:val="center"/>
        <w:rPr>
          <w:lang w:val="uk-UA"/>
        </w:rPr>
      </w:pPr>
    </w:p>
    <w:p w:rsidR="00D919A7" w:rsidRDefault="00A12AB1">
      <w:pPr>
        <w:pStyle w:val="a3"/>
      </w:pPr>
      <w:r>
        <w:t>Роль мінеральних речовин у харчуванні дітей</w:t>
      </w: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ind w:left="5100"/>
        <w:jc w:val="both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D919A7">
      <w:pPr>
        <w:jc w:val="center"/>
        <w:rPr>
          <w:lang w:val="uk-UA"/>
        </w:rPr>
      </w:pP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br w:type="page"/>
        <w:t>Мінеральні речовини входять в склад тканин організму людини, ферментів, гормонів. Вони відіграють велику роль в пластичних процесах, у формуванні і побудові тканин організму, особливо скелету, підтримання кислотно-лужної рівноваги, створення фізіологічної концентрації іонів водню в тканинах і клітинах, міжтканинних і міжклітинних рідинах, надання їм властивостей необхідних для оптимального протікання процесів обміну.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Мінерали містяться у внутрішньоклітинній рідині, регулюють її склад, приймають участь у формуванні клітин крові, кісток, в процесах функціонування нервової системи, регуляції м’язового тонусу, включаючи тонус м'язів серцево-судинної системи.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Подібно до вітамінів, мінерали функціонують як коензіми, беруть участь в процесах формування енергії росту і відновлення організму. Всі ферментативні процеси  в організмі проходять за участю мінералів, тому вони необхідні для утилізації вітамінів та інших поживних речовин (Тутельян В.А. із співавт., 1999; Романовський В.Е. 2000; Махатов Б.К., 1998).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Ці “першоцеглини” життя – початок синтезу всіх компонентів від білків до жирів, від ферментів до гормонів в організмі людини.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Мінеральні речовини поступають в організм людини з їжею і водою. Більшість хімічних елементів надходять в кістки людини.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Концентрація мінералів в організмі неоднакова. Якщо кількість вмісту рядку хімічних елементів обчислюється в тканинах людини грамами, то концентрація більшості інших елементів в тканинах організму складає 1 : 100000 і нижче.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Хімічні елементи, вміст яких обчислюється в організмі людини грамами називають макроелементами, а елементи, що зустрічаються в дуже малих концентраціях – мікроелементами.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З віком вміст мінеральних речовин в тканинах організму людини зазнає змін. Причому, в період інтенсивного росту і розвитку організму іде значне зростання вмісту мікроелементів, яке поступово сповільнюється, а потім припиняється до 17-20 років.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(таблиця)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Мінеральний склад тіла дорослої людини вагою 70 кг</w:t>
      </w: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600"/>
        <w:gridCol w:w="2850"/>
        <w:gridCol w:w="3149"/>
      </w:tblGrid>
      <w:tr w:rsidR="00D919A7">
        <w:trPr>
          <w:cantSplit/>
          <w:trHeight w:val="160"/>
        </w:trPr>
        <w:tc>
          <w:tcPr>
            <w:tcW w:w="850" w:type="dxa"/>
            <w:vMerge w:val="restart"/>
            <w:vAlign w:val="center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2600" w:type="dxa"/>
            <w:vMerge w:val="restart"/>
            <w:vAlign w:val="center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елементу</w:t>
            </w:r>
          </w:p>
        </w:tc>
        <w:tc>
          <w:tcPr>
            <w:tcW w:w="5999" w:type="dxa"/>
            <w:gridSpan w:val="2"/>
            <w:vAlign w:val="center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</w:tr>
      <w:tr w:rsidR="00D919A7">
        <w:trPr>
          <w:cantSplit/>
          <w:trHeight w:val="160"/>
        </w:trPr>
        <w:tc>
          <w:tcPr>
            <w:tcW w:w="850" w:type="dxa"/>
            <w:vMerge/>
            <w:vAlign w:val="center"/>
          </w:tcPr>
          <w:p w:rsidR="00D919A7" w:rsidRDefault="00D919A7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600" w:type="dxa"/>
            <w:vMerge/>
            <w:vAlign w:val="center"/>
          </w:tcPr>
          <w:p w:rsidR="00D919A7" w:rsidRDefault="00D919A7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850" w:type="dxa"/>
            <w:vAlign w:val="center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 г</w:t>
            </w:r>
          </w:p>
        </w:tc>
        <w:tc>
          <w:tcPr>
            <w:tcW w:w="3149" w:type="dxa"/>
            <w:vAlign w:val="center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 %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Кальцій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1510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Фосфор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840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Калій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0,35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Сірка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Хлор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Натрій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Магній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3,5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0,005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Цинк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1,75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0,0025</w:t>
            </w:r>
          </w:p>
        </w:tc>
      </w:tr>
      <w:tr w:rsidR="00D919A7">
        <w:tc>
          <w:tcPr>
            <w:tcW w:w="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600" w:type="dxa"/>
          </w:tcPr>
          <w:p w:rsidR="00D919A7" w:rsidRDefault="00A12AB1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Мідь</w:t>
            </w:r>
          </w:p>
        </w:tc>
        <w:tc>
          <w:tcPr>
            <w:tcW w:w="2850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0,07</w:t>
            </w:r>
          </w:p>
        </w:tc>
        <w:tc>
          <w:tcPr>
            <w:tcW w:w="3149" w:type="dxa"/>
          </w:tcPr>
          <w:p w:rsidR="00D919A7" w:rsidRDefault="00A12AB1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0,00011</w:t>
            </w:r>
          </w:p>
        </w:tc>
      </w:tr>
    </w:tbl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Мікроелементи із врахуванням виконуваних ними функцій поділяються на ессенціальні, умовно ессенціальні і умовнотоксичні.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Ессенціальні: залізо, мідь, цинк, селен, йод, кобальт, марганець, хром, молібден, кремній.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Умовноессенціальні: мишяк, бор, бром, фтор, літій, нікель, кремній, ванадій.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Умовно токсичні і токсичні: амоній, свинець, кадмій, ртуть, берилій.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 xml:space="preserve">Існує необхідна кількість кожного мікроелементу для забезпечення нормального функціонування організму. 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Недостатнє забезпечення мікроелементами приводить до гіпомікроелементозів, а надлишкове поступлення в організм до гіпермікроелементозів.</w:t>
      </w:r>
    </w:p>
    <w:p w:rsidR="00D919A7" w:rsidRDefault="00A12AB1">
      <w:pPr>
        <w:spacing w:line="360" w:lineRule="auto"/>
        <w:ind w:firstLine="550"/>
        <w:jc w:val="both"/>
        <w:rPr>
          <w:u w:val="single"/>
          <w:lang w:val="uk-UA"/>
        </w:rPr>
      </w:pPr>
      <w:r>
        <w:rPr>
          <w:u w:val="single"/>
          <w:lang w:val="uk-UA"/>
        </w:rPr>
        <w:t>Цинк – символ молодості.</w:t>
      </w:r>
    </w:p>
    <w:p w:rsidR="00D919A7" w:rsidRDefault="00A12AB1">
      <w:pPr>
        <w:pStyle w:val="1"/>
        <w:spacing w:line="360" w:lineRule="auto"/>
      </w:pPr>
      <w:r>
        <w:t>Розподіл в організмі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 xml:space="preserve">Загальна кількість цинку в організмі людини складає 1400-2400 мг. Висока 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концентрація цинку в гіпофізі, підшлунковій залозі, сітківці ока, статевих залозах, печінці, скелеті, нігтях, волоссі.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В крові і в еритроцитах – до 80%, а всередині клітин в ядрі і мітохондріях. В кістковій тканині міститься до 20% всього цинку.</w:t>
      </w:r>
    </w:p>
    <w:p w:rsidR="00D919A7" w:rsidRDefault="00A12AB1">
      <w:pPr>
        <w:pStyle w:val="1"/>
        <w:spacing w:line="360" w:lineRule="auto"/>
      </w:pPr>
      <w:r>
        <w:t>Біохімічне значення цинку</w:t>
      </w:r>
    </w:p>
    <w:p w:rsidR="00D919A7" w:rsidRDefault="00A12AB1">
      <w:pPr>
        <w:pStyle w:val="a4"/>
        <w:spacing w:line="360" w:lineRule="auto"/>
      </w:pPr>
      <w:r>
        <w:t>Відіграє важливу біохімічну роль в організмі. Входить в склад ряду найважливіших ферментів, гормонів і вітамінів, тобто фактично забезпечує основні життєві процеси в клітинах, тканинах, органах: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кровотворення;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регуляція поділу клітин;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синтез нуклеїнових кислот (РНК і ДНК);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регуляція Т-клітинного імунітету;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синтез ферментів;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синтез інсуліну підшлунковою залозою;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синтез статевого гормону – тестостерону;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синтез білків печінкою;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утворення білків пам’яті  в ЦНС;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ріст волосся і нігтів;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ріст і розвиток організму;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процеси регенерації шкіри;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формування колагенових волокон;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окисно-відновні реакції;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енергетичний обмін клітин.</w:t>
      </w:r>
    </w:p>
    <w:p w:rsidR="00D919A7" w:rsidRDefault="00D919A7">
      <w:pPr>
        <w:spacing w:line="360" w:lineRule="auto"/>
        <w:ind w:firstLine="550"/>
        <w:jc w:val="both"/>
        <w:rPr>
          <w:lang w:val="uk-UA"/>
        </w:rPr>
      </w:pP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Добова потреба – 3-15 мг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В добовому харчовому раціоні міститься біля 11-13 мг цинку. При цьому в травному тракті всмоктується біля половини прийнятої кількості цинку (тобто 5-6 мг).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Цинк виводиться, головним чином, з калом – до 10 мг, сечею – 0,5 мг, потом – до 2 мг.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 xml:space="preserve">Жінка – годувальниця виділяє з грудним молоком до 25% поступаю чого в її організм цинку (тобто 2,5 – 3,5 мг). </w:t>
      </w:r>
    </w:p>
    <w:p w:rsidR="00D919A7" w:rsidRDefault="00A12AB1">
      <w:pPr>
        <w:pStyle w:val="20"/>
        <w:spacing w:line="360" w:lineRule="auto"/>
      </w:pPr>
      <w:r>
        <w:t>Цікавий той факт, що грудні діти здатні засвоювати до 30% цинку жіночого молока, але з припиненням годування груддю засвоєння цинку із штучних молочних сумішей знижується до 10-15%. Таким чином, ризик виникнення захворювань крові, порушень росту і статевого дозрівання більш високий у дітей, що знаходяться на штучному вигодовуванні.</w:t>
      </w:r>
    </w:p>
    <w:p w:rsidR="00D919A7" w:rsidRDefault="00A12AB1">
      <w:pPr>
        <w:pStyle w:val="a4"/>
        <w:spacing w:line="360" w:lineRule="auto"/>
      </w:pPr>
      <w:r>
        <w:t>Цинк набагато краще всмоктується із продуктів тваринного походження, ніж із рослин.</w:t>
      </w:r>
    </w:p>
    <w:p w:rsidR="00D919A7" w:rsidRDefault="00A12AB1">
      <w:pPr>
        <w:pStyle w:val="1"/>
        <w:spacing w:line="360" w:lineRule="auto"/>
      </w:pPr>
      <w:r>
        <w:t>Клінічні ознаки порушень обміну цинку</w:t>
      </w:r>
    </w:p>
    <w:p w:rsidR="00D919A7" w:rsidRDefault="00A12AB1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Недостатність цинку в харчовому раціоні викликає ряд глибоких порушень в організмі людини: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різку затримку росту (карликовість);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порушення формування шкірних покровів: надмірну сухість і ранимість шкіри, схильність до алергічних поражень, екземи;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порушення волосяного покрову (рідке волосся, раннє облисіння) і захворювання нігтів;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різноманітні розлади статевої функції, що приводять до безпліддя: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простатит і аденома простати;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передчасні роди та народження ослаблених, маловагових  дітей;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ураження головного мозку;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порушення загортальної системи крові;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анемії гемолітичного характеру;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апластичні анемії;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зниження імунного статусу.</w:t>
      </w:r>
    </w:p>
    <w:p w:rsidR="00D919A7" w:rsidRDefault="00A12AB1">
      <w:pPr>
        <w:pStyle w:val="2"/>
        <w:spacing w:line="360" w:lineRule="auto"/>
      </w:pPr>
      <w:r>
        <w:t xml:space="preserve">Харчові джерела 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Концентрація цинку в тваринних тканинах значно перевищує його вміст в тканинах рослинного світу.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 xml:space="preserve">в морській воді вміст цинку 0,002 мг 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в рослинах – 0,2-0,8 мг;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в органах і тканинах тварин – від 1,5 до 20,0 мг.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Високий вміст цинку виявлено в тканинах морських організмів: креветках, устрицях, сельві, макрелі.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Особи, що потребують додаткового прийому цинку: вегетаріанці, люди старше 55 років, діти дошкільного віку, хворі хронічними захворюваннями, алкоголіки, наркомани, ті, що перенесли недавно хірургічні операції, травми, опіки, страждаючі хронічною діареєю.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При тривалому прийомі цинку повинен призначатися прийом 2-3 мг міді на день.</w:t>
      </w:r>
    </w:p>
    <w:p w:rsidR="00D919A7" w:rsidRDefault="00D919A7">
      <w:pPr>
        <w:spacing w:line="360" w:lineRule="auto"/>
        <w:ind w:firstLine="600"/>
        <w:jc w:val="both"/>
        <w:rPr>
          <w:lang w:val="uk-UA"/>
        </w:rPr>
      </w:pPr>
    </w:p>
    <w:p w:rsidR="00D919A7" w:rsidRDefault="00A12AB1">
      <w:pPr>
        <w:spacing w:line="360" w:lineRule="auto"/>
        <w:ind w:firstLine="600"/>
        <w:jc w:val="center"/>
        <w:rPr>
          <w:u w:val="single"/>
          <w:lang w:val="uk-UA"/>
        </w:rPr>
      </w:pPr>
      <w:r>
        <w:rPr>
          <w:u w:val="single"/>
          <w:lang w:val="uk-UA"/>
        </w:rPr>
        <w:t>Залізо - основа клітинного дихання.</w:t>
      </w:r>
    </w:p>
    <w:p w:rsidR="00D919A7" w:rsidRDefault="00A12AB1">
      <w:pPr>
        <w:spacing w:line="360" w:lineRule="auto"/>
        <w:ind w:firstLine="600"/>
        <w:jc w:val="both"/>
        <w:rPr>
          <w:u w:val="single"/>
          <w:lang w:val="uk-UA"/>
        </w:rPr>
      </w:pPr>
      <w:r>
        <w:rPr>
          <w:u w:val="single"/>
          <w:lang w:val="uk-UA"/>
        </w:rPr>
        <w:t>Дефіцит заліза і здоров'я.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Залізодефіцитні стани зустрічаються надзвичайно часто серед всього населення земної кулі.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Англія визнана однією із ведучих проблем світової системи охорони здоров'я, що торкається найбільш вразливої частини населення – жінок репродуктивного віку і дітей ранніх років життя.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Згідно аналізу результатів епідеміологічним досліджень ВООЗ (1998 р.) в світі більше половини населення (3,85 млрд.) страждають залізодефіцитною анемією.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u w:val="single"/>
          <w:lang w:val="uk-UA"/>
        </w:rPr>
        <w:t>Більше ніж у 1/3 жінок репродуктивного віку і 2/5 дітей раннього віку діагнозується анемія. В США і Європі поширеність анемії серед жінок і дітей раннього віку складає 7-12%.</w:t>
      </w:r>
      <w:r>
        <w:rPr>
          <w:lang w:val="uk-UA"/>
        </w:rPr>
        <w:t xml:space="preserve"> В країнах, що розвиваються частота ЗДА серед вагітних жінок складає 56%, не вагітних – 44%, </w:t>
      </w:r>
      <w:r>
        <w:rPr>
          <w:u w:val="single"/>
          <w:lang w:val="uk-UA"/>
        </w:rPr>
        <w:t>дітей дошкільного віку</w:t>
      </w:r>
      <w:r>
        <w:rPr>
          <w:lang w:val="uk-UA"/>
        </w:rPr>
        <w:t xml:space="preserve"> – 42% і шкільного віку – 53%.</w:t>
      </w:r>
    </w:p>
    <w:p w:rsidR="00D919A7" w:rsidRDefault="00A12AB1">
      <w:pPr>
        <w:spacing w:line="360" w:lineRule="auto"/>
        <w:ind w:firstLine="600"/>
        <w:jc w:val="both"/>
        <w:rPr>
          <w:u w:val="single"/>
          <w:lang w:val="uk-UA"/>
        </w:rPr>
      </w:pPr>
      <w:r>
        <w:rPr>
          <w:u w:val="single"/>
          <w:lang w:val="uk-UA"/>
        </w:rPr>
        <w:t>Розподіл в організмі.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В організмі людини міститься біля 5000 мг заліза. Виділяють 3 депо – заліза.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1. До 80% загальної кількості заліза міститься в гемоглобіні циркулюючих еритроцитів (допомагає червоним клітинам крові періодично зв’язувати то кисень (в легенях), то вуглекислий газ (в тканинах).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2. В клітинах м'язів, де залізо входить в склад клітинного гемоглобіну, в печінці і селезінці, тут іде неперервний процес руйнування старих еритроцитів і “вливання” у них заліза гемоглобіну.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3. “Витратний” запас на всі екстрені випадки. Це залізо ферритину (крупна молекула білка, яка або зв’язує залізо при його достатку або віддає тканинам – при недостатності).</w:t>
      </w:r>
    </w:p>
    <w:p w:rsidR="00D919A7" w:rsidRDefault="00A12AB1">
      <w:pPr>
        <w:spacing w:line="360" w:lineRule="auto"/>
        <w:ind w:firstLine="600"/>
        <w:jc w:val="both"/>
        <w:rPr>
          <w:u w:val="single"/>
          <w:lang w:val="uk-UA"/>
        </w:rPr>
      </w:pPr>
      <w:r>
        <w:rPr>
          <w:u w:val="single"/>
          <w:lang w:val="uk-UA"/>
        </w:rPr>
        <w:t>Біохімічне значення.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Саме цей мікроелемент обраний природою для виконання однієї із найважливіших функцій організму – процесу дихання.</w:t>
      </w:r>
    </w:p>
    <w:p w:rsidR="00D919A7" w:rsidRDefault="00D919A7">
      <w:pPr>
        <w:spacing w:line="360" w:lineRule="auto"/>
        <w:ind w:firstLine="600"/>
        <w:jc w:val="both"/>
        <w:rPr>
          <w:lang w:val="uk-UA"/>
        </w:rPr>
      </w:pP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4) Залізо входить в склад дихальних пігментів, в тому числі гемоглобіну і міоглобіну.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Також міститься у багатьох ферментах і білках, що неотримають і обмін холестерину знезараження отруйний речовин печінкою; кровотворення, синтез ДНК, якість імунної   відповіді на вірусні чи бактеріальну інфекцію, окисно- відновні реакції, енергетичний обмін клітин, реакції утворення вільних в тканинах організму.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Добова потреба 10-18 мг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Їжа – основне джерело заліза (у воді його дуже мало). При звичайному раціоні харчування проходить засвоєння 3% заліза, що міститься в їжі. Існують суттєві статеві і вікові відмінності в засвоєнні заліза.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Відомо, що у жінок заліза з їжі всмоктується у 4 рази більше, ніж у чоловіків. У дітей до 1 року засвоюється до 70% заліза їжі, до 10 років – 10%, у дорослих – 3%, а у літніх людей ще менше.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Залізо м’яса всмоктується на 40-50%, а залізо риби – тільки на 10%. Найбільш легко всмоктується залізо печінки тварин.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Людина втрачає залізо різними шліхами. З сечею втрачається незначна частина – тільки 1% добової потреби, а от із потом – 80% загальних втрат заліза. Втрати заліза також виникають у менструальний період у жінок – 5-8%.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Клінічні ознаки порушення обміну заліза: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анемія (малокрів</w:t>
      </w:r>
      <w:r>
        <w:rPr>
          <w:lang w:val="en-US"/>
        </w:rPr>
        <w:t>'</w:t>
      </w:r>
      <w:r>
        <w:rPr>
          <w:lang w:val="uk-UA"/>
        </w:rPr>
        <w:t>я);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висока втомлюваність;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погіршення навчання;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підвищення змерзання (внаслідок зниження </w:t>
      </w:r>
      <w:r>
        <w:rPr>
          <w:lang w:val="en-US"/>
        </w:rPr>
        <w:t>t</w:t>
      </w:r>
      <w:r>
        <w:rPr>
          <w:vertAlign w:val="superscript"/>
          <w:lang w:val="uk-UA"/>
        </w:rPr>
        <w:t>0</w:t>
      </w:r>
      <w:r>
        <w:rPr>
          <w:lang w:val="uk-UA"/>
        </w:rPr>
        <w:t xml:space="preserve"> тіла);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зниження фізичної і розумової працездатності;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зниження функцій щитовидної залози;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деформація нігтів;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зміни смакових відчуттів;</w:t>
      </w:r>
    </w:p>
    <w:p w:rsidR="00D919A7" w:rsidRDefault="00A12AB1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неврологічні розлади.</w:t>
      </w:r>
    </w:p>
    <w:p w:rsidR="00D919A7" w:rsidRDefault="00A12AB1">
      <w:pPr>
        <w:pStyle w:val="3"/>
        <w:spacing w:line="360" w:lineRule="auto"/>
      </w:pPr>
      <w:r>
        <w:t>Найчастіше дефіцит заліза визначається в наступних випадках: при незбалансованому харчуванні, у недоношених дітей, жінок дітородного віку, дітей, що знаходяться на штучному вигодовуванні, дівчаток-підлітків, швидко ростучих дітей, хворих з хронічними крововтратами.</w:t>
      </w:r>
    </w:p>
    <w:p w:rsidR="00D919A7" w:rsidRDefault="00A12AB1">
      <w:pPr>
        <w:spacing w:line="360" w:lineRule="auto"/>
        <w:ind w:firstLine="600"/>
        <w:jc w:val="both"/>
        <w:rPr>
          <w:b/>
          <w:lang w:val="uk-UA"/>
        </w:rPr>
      </w:pPr>
      <w:r>
        <w:rPr>
          <w:b/>
          <w:lang w:val="uk-UA"/>
        </w:rPr>
        <w:t>Харчові джерела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Високим вмістом заліза характеризуються: квасоля, вівсяна і гречана крупа, зелень петрушки, білокачанна капуста, сушені фрукти (абрикоси, груші, яблука), теляча печінка, мідії, гриби, какао, яєчний жовток.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В організмі пацієнтів, що страждують хронічною нирковою недостатністю, ревматоїдним артритом залізо може анулюватися в небезпечних кількостях.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Тривалий прийом високих доз може викликати гемохроматоз (порушення запасів заліза), що приводить до діабету, порушенню печінки, імпотенції і проблемами із серцем.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Ранні ознаки передозування: діарея з кров'ю, сильна нудота, болі в животі, блювання з кров'ю.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Пізні ознаки: слабкість, блідість, посиніння губ, нігтів, поверхневе дихання, кома, слабке серцебиття. Надлишок заліза підвищує ризик ракових захворювань і ішемічної хвороби серця.</w:t>
      </w: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919A7" w:rsidRDefault="00D919A7">
      <w:pPr>
        <w:spacing w:line="360" w:lineRule="auto"/>
        <w:ind w:firstLine="600"/>
        <w:jc w:val="both"/>
        <w:rPr>
          <w:lang w:val="uk-UA"/>
        </w:rPr>
      </w:pP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919A7" w:rsidRDefault="00D919A7">
      <w:pPr>
        <w:spacing w:line="360" w:lineRule="auto"/>
        <w:ind w:firstLine="600"/>
        <w:jc w:val="both"/>
        <w:rPr>
          <w:lang w:val="uk-UA"/>
        </w:rPr>
      </w:pPr>
    </w:p>
    <w:p w:rsidR="00D919A7" w:rsidRDefault="00A12AB1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 xml:space="preserve">  </w:t>
      </w:r>
    </w:p>
    <w:p w:rsidR="00D919A7" w:rsidRDefault="00D919A7">
      <w:pPr>
        <w:ind w:firstLine="600"/>
        <w:jc w:val="both"/>
        <w:rPr>
          <w:lang w:val="uk-UA"/>
        </w:rPr>
      </w:pPr>
    </w:p>
    <w:p w:rsidR="00D919A7" w:rsidRDefault="00D919A7">
      <w:pPr>
        <w:ind w:firstLine="600"/>
        <w:jc w:val="both"/>
        <w:rPr>
          <w:lang w:val="uk-UA"/>
        </w:rPr>
      </w:pPr>
    </w:p>
    <w:p w:rsidR="00D919A7" w:rsidRDefault="00A12AB1">
      <w:pPr>
        <w:ind w:firstLine="6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D919A7" w:rsidRDefault="00D919A7">
      <w:pPr>
        <w:ind w:firstLine="600"/>
        <w:jc w:val="both"/>
        <w:rPr>
          <w:lang w:val="uk-UA"/>
        </w:rPr>
      </w:pPr>
    </w:p>
    <w:p w:rsidR="00D919A7" w:rsidRDefault="00A12AB1">
      <w:pPr>
        <w:ind w:firstLine="6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D919A7" w:rsidRDefault="00A12AB1">
      <w:pPr>
        <w:ind w:firstLine="6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D919A7" w:rsidRDefault="00A12AB1">
      <w:pPr>
        <w:ind w:firstLine="600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919A7" w:rsidRDefault="00D919A7">
      <w:pPr>
        <w:rPr>
          <w:lang w:val="uk-UA"/>
        </w:rPr>
      </w:pPr>
      <w:bookmarkStart w:id="0" w:name="_GoBack"/>
      <w:bookmarkEnd w:id="0"/>
    </w:p>
    <w:sectPr w:rsidR="00D919A7">
      <w:type w:val="continuous"/>
      <w:pgSz w:w="11909" w:h="16834"/>
      <w:pgMar w:top="1134" w:right="1134" w:bottom="1134" w:left="1134" w:header="720" w:footer="720" w:gutter="0"/>
      <w:cols w:space="708"/>
      <w:noEndnote/>
      <w:docGrid w:linePitch="1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627C3"/>
    <w:multiLevelType w:val="hybridMultilevel"/>
    <w:tmpl w:val="F41A1050"/>
    <w:lvl w:ilvl="0" w:tplc="1368CD60"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eastAsia="Times New Roman" w:hAnsi="Times New Roman" w:cs="Times New Roman" w:hint="default"/>
      </w:rPr>
    </w:lvl>
    <w:lvl w:ilvl="1" w:tplc="84E60594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hint="default"/>
      </w:rPr>
    </w:lvl>
    <w:lvl w:ilvl="2" w:tplc="460CA01E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27A0A014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BA0C1322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hint="default"/>
      </w:rPr>
    </w:lvl>
    <w:lvl w:ilvl="5" w:tplc="8124BB14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9A869D34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5F92F676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hint="default"/>
      </w:rPr>
    </w:lvl>
    <w:lvl w:ilvl="8" w:tplc="AB2C216A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0"/>
  <w:drawingGridVerticalSpacing w:val="68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AB1"/>
    <w:rsid w:val="001D594F"/>
    <w:rsid w:val="00A12AB1"/>
    <w:rsid w:val="00D9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9C376-5BA2-49B6-8CE7-CE7AF1DDB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ind w:firstLine="550"/>
      <w:jc w:val="both"/>
      <w:outlineLvl w:val="0"/>
    </w:pPr>
    <w:rPr>
      <w:u w:val="single"/>
      <w:lang w:val="uk-UA"/>
    </w:rPr>
  </w:style>
  <w:style w:type="paragraph" w:styleId="2">
    <w:name w:val="heading 2"/>
    <w:basedOn w:val="a"/>
    <w:next w:val="a"/>
    <w:qFormat/>
    <w:pPr>
      <w:keepNext/>
      <w:ind w:firstLine="600"/>
      <w:jc w:val="both"/>
      <w:outlineLvl w:val="1"/>
    </w:pPr>
    <w:rPr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bCs/>
      <w:sz w:val="80"/>
      <w:lang w:val="uk-UA"/>
    </w:rPr>
  </w:style>
  <w:style w:type="paragraph" w:styleId="a4">
    <w:name w:val="Body Text Indent"/>
    <w:basedOn w:val="a"/>
    <w:semiHidden/>
    <w:pPr>
      <w:ind w:firstLine="550"/>
      <w:jc w:val="both"/>
    </w:pPr>
    <w:rPr>
      <w:lang w:val="uk-UA"/>
    </w:rPr>
  </w:style>
  <w:style w:type="paragraph" w:styleId="20">
    <w:name w:val="Body Text Indent 2"/>
    <w:basedOn w:val="a"/>
    <w:semiHidden/>
    <w:pPr>
      <w:ind w:firstLine="550"/>
      <w:jc w:val="both"/>
    </w:pPr>
    <w:rPr>
      <w:u w:val="single"/>
      <w:lang w:val="uk-UA"/>
    </w:rPr>
  </w:style>
  <w:style w:type="paragraph" w:styleId="3">
    <w:name w:val="Body Text Indent 3"/>
    <w:basedOn w:val="a"/>
    <w:semiHidden/>
    <w:pPr>
      <w:ind w:firstLine="600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10180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2002-04-05T12:31:00Z</cp:lastPrinted>
  <dcterms:created xsi:type="dcterms:W3CDTF">2014-04-05T18:10:00Z</dcterms:created>
  <dcterms:modified xsi:type="dcterms:W3CDTF">2014-04-05T18:10:00Z</dcterms:modified>
  <cp:category>Медицина. Безпека життєдіяльності</cp:category>
</cp:coreProperties>
</file>