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E55" w:rsidRDefault="005A6DE0">
      <w:pPr>
        <w:pStyle w:val="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Механізми формування токсикозу у дітей із гломерулонефритом</w:t>
      </w:r>
    </w:p>
    <w:p w:rsidR="00AE3E55" w:rsidRDefault="00AE3E5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AE3E55" w:rsidRDefault="005A6DE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Серед захворювань нирок у дітей особливе місце займає гломерулонефрит (ГН) у зв’язку з тяжким перебігом цього захворювання, високим ризиком хронізації патологічного процесу, що в деяких випадках веде до формування хронічної ниркової недостатності (ХНН). Вищезазначене обумовлене неоднорідністю морфологічних змін у нирковій тканині при однотипних клінічних проявах ГН та, ймовірно, пов’язане з різними патофізіологічними механізмами формування цього захворювання. </w:t>
      </w:r>
    </w:p>
    <w:p w:rsidR="00AE3E55" w:rsidRDefault="005A6DE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Дослідження, спрямовані на пошук особливостей патогенетичних механізмів формування ГН у дітей, є актуальними та необхідними для індивідуалізації терапевтичних заходів. </w:t>
      </w:r>
    </w:p>
    <w:p w:rsidR="00AE3E55" w:rsidRDefault="005A6DE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Більшість соматичних захворювань, за винятком ряду вроджених аномалій, супроводжуються розвитком токсикозу. У свою чергу, токсикоз значно ускладнює перебіг основного захворювання, провокує розвиток різноманітних ускладнень, аж до летального кінця. Токсикоз - це стадійний, здатний до прогресування та генералізації патологічний процес, обумовлений накопиченням у кров’яному руслі речовин ендо- або екзогенного походження, спроможних шкідливо впливати на біологічні системи (клітини, тканини, органи) (</w:t>
      </w:r>
      <w:hyperlink r:id="rId5" w:anchor="2#2" w:history="1">
        <w:r>
          <w:rPr>
            <w:rStyle w:val="a3"/>
            <w:color w:val="000000"/>
            <w:sz w:val="28"/>
            <w:szCs w:val="28"/>
          </w:rPr>
          <w:t>2</w:t>
        </w:r>
      </w:hyperlink>
      <w:r>
        <w:rPr>
          <w:sz w:val="28"/>
          <w:szCs w:val="28"/>
        </w:rPr>
        <w:t xml:space="preserve">). </w:t>
      </w:r>
    </w:p>
    <w:p w:rsidR="00AE3E55" w:rsidRDefault="005A6DE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Встановлено три основних механізми, які ведуть до гіперпродукції токсинів - обмінний, резорбтивний та інфекційний, або параінфекційний. Кожен із цих механізмів, з одного боку, запускається відомими патологічними процесами, з другого боку - обумовлює переважне накопичення у кров’яному руслі конкретного виду токсинів (</w:t>
      </w:r>
      <w:hyperlink r:id="rId6" w:anchor="1#1" w:history="1">
        <w:r>
          <w:rPr>
            <w:rStyle w:val="a3"/>
            <w:color w:val="000000"/>
            <w:sz w:val="28"/>
            <w:szCs w:val="28"/>
          </w:rPr>
          <w:t>1</w:t>
        </w:r>
      </w:hyperlink>
      <w:r>
        <w:rPr>
          <w:sz w:val="28"/>
          <w:szCs w:val="28"/>
        </w:rPr>
        <w:t xml:space="preserve">). </w:t>
      </w:r>
    </w:p>
    <w:p w:rsidR="00AE3E55" w:rsidRDefault="005A6DE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умовах гіперпродукції аутоагресивних речовин (АР) екзо- або ендогенного походження відбувається їх усмоктування та накопичення у кров’яному руслі з розподілом на токсиннесучих фракціях - альбумінах, глобулінах, клітинних мембранах та у так званому «вільному» від носіїв стані. При розвитку та формуванні токсикозу детоксикаційна терапія повинна бути індивідуалізованою з урахуванням особливостей фізико-хімічних властивостей токсичних агентів, їх розмірів, місць накопичення та транспортування у кров’яному руслі (білок-асоційовані або безбілкові). </w:t>
      </w:r>
    </w:p>
    <w:p w:rsidR="00AE3E55" w:rsidRDefault="005A6DE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Метою наших досліджень було вивчення механізмів формування токсикозу у дітей з ГН для диференційованого підходу щодо використання методів детоксикації. </w:t>
      </w:r>
    </w:p>
    <w:p w:rsidR="00AE3E55" w:rsidRDefault="005A6DE0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Матеріали та методи досліджень</w:t>
      </w:r>
    </w:p>
    <w:p w:rsidR="00AE3E55" w:rsidRDefault="005A6DE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Нами були використані методики, які дозволяють дослідити наявність та розміри АР у плазмі крові, розподіл різних АР на токсиннесучих фракціях плазми у кров’яному руслі, ступінь участі різних АР у розвитку та формуванні токсикозу. Дослідження токсичності АР здійснювали за допомогою методу цитолітичної активності (ЦА) (</w:t>
      </w:r>
      <w:hyperlink r:id="rId7" w:anchor="3#3" w:history="1">
        <w:r>
          <w:rPr>
            <w:rStyle w:val="a3"/>
            <w:color w:val="000000"/>
            <w:sz w:val="28"/>
            <w:szCs w:val="28"/>
          </w:rPr>
          <w:t>3, 5</w:t>
        </w:r>
      </w:hyperlink>
      <w:r>
        <w:rPr>
          <w:sz w:val="28"/>
          <w:szCs w:val="28"/>
        </w:rPr>
        <w:t xml:space="preserve">). </w:t>
      </w:r>
    </w:p>
    <w:p w:rsidR="00AE3E55" w:rsidRDefault="005A6DE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Ретроспективна оцінка вищезазначених показників проведена у 120 хворих віком від 3 до 15 років із гострим (ГГН) та хронічним гломерулонефритом (ХГН). Дослідження проведені у 3 групах. До першої групи входили 75 дітей з ГГН, до другої групи - 40 дітей з ХГН, до третьої - 5 дітей із системним червоним вовчаком, вовчаковим нефротичним синдромом (ВНС). </w:t>
      </w:r>
    </w:p>
    <w:p w:rsidR="00AE3E55" w:rsidRDefault="005A6DE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Крім того, діти з І та ІІ груп були розділені по підгрупах: підгрупу 1-а становили 54 дитини з ГГН та нефротичним синдромом (НС ГГН); підгрупу 1-б - 16 дітей з НС ГГН, гематурією та/або гіпертензією, умовно нами названою змішаним синдромом (ЗС ГГН); підгрупу 1-в - 5 дітей із ЗС ГГН, у яких надалі виникла ХНН. Підгрупу 2-а становили 29 дітей з нефротичною формою ХГН (НФ ХГН); підгрупу 2-б - 11 дітей зі змішаною формою ХГН (ЗФ ХГН). </w:t>
      </w:r>
    </w:p>
    <w:p w:rsidR="00AE3E55" w:rsidRDefault="005A6DE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Діагноз клінічних синдромів ГГН та форм ХГН був верифікований за допомогою традиційних клініко-лабораторних, біохімічних, імунологічних методів досліджень. Функціональний стан нирок оцінювали за показниками динамічної реносцинтіграфії з радіофармакологічними препаратами. Розподіл і найменування основних клінічних синдромів ГГН та форм ХГН було здійснено відповідно до прийнятої класифікації ГН у дітей (</w:t>
      </w:r>
      <w:hyperlink r:id="rId8" w:anchor="4#4" w:history="1">
        <w:r>
          <w:rPr>
            <w:rStyle w:val="a3"/>
            <w:color w:val="000000"/>
            <w:sz w:val="28"/>
            <w:szCs w:val="28"/>
          </w:rPr>
          <w:t>4</w:t>
        </w:r>
      </w:hyperlink>
      <w:r>
        <w:rPr>
          <w:sz w:val="28"/>
          <w:szCs w:val="28"/>
        </w:rPr>
        <w:t xml:space="preserve">). </w:t>
      </w:r>
    </w:p>
    <w:p w:rsidR="00AE3E55" w:rsidRDefault="005A6DE0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Результати досліджень</w:t>
      </w:r>
    </w:p>
    <w:p w:rsidR="00AE3E55" w:rsidRDefault="005A6DE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дітей з досліджуваних груп спостерігали наявність токсикозу різних ступенів виразності (</w:t>
      </w:r>
      <w:hyperlink r:id="rId9" w:history="1">
        <w:r>
          <w:rPr>
            <w:rStyle w:val="a3"/>
            <w:color w:val="000000"/>
            <w:sz w:val="28"/>
            <w:szCs w:val="28"/>
          </w:rPr>
          <w:t>мал.1</w:t>
        </w:r>
      </w:hyperlink>
      <w:r>
        <w:rPr>
          <w:sz w:val="28"/>
          <w:szCs w:val="28"/>
        </w:rPr>
        <w:t xml:space="preserve">). Тяжкий ступінь токсикозу був у всіх групах дітей з ГГН (53,5±2,62%), ХГН (42,0±3,40%) та ВНС (66,7±3,65%). АР, які здійснювали переважний вплив на розвиток та формування токсикозу в дітей досліджуваних груп, у кров’яному руслі були асоційовані з глобуліновими білками крові. При цьому ушкоджувальну дію тяжкого ступеня викликали глобулінасоційовані токсини у дітей з ГГН, які обумовлювали підвищення показників ЦА до 40,3±2,87%. Ушкоджувальну дію середнього ступеня викликали глобулінасоційовані токсини у дітей з ХГН (33,0±2,53%) та ВНС (36,7±2,20%). Вільноциркулюючі токсини практично не мали шкідливих властивостей. </w:t>
      </w:r>
    </w:p>
    <w:p w:rsidR="00AE3E55" w:rsidRDefault="005A6DE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Вивчення функціонального стану плазмових систем адаптації до токсикозу у дітей дозволило встановити різні рівні адаптаційних реакцій (</w:t>
      </w:r>
      <w:hyperlink r:id="rId10" w:history="1">
        <w:r>
          <w:rPr>
            <w:rStyle w:val="a3"/>
            <w:color w:val="000000"/>
            <w:sz w:val="28"/>
            <w:szCs w:val="28"/>
          </w:rPr>
          <w:t>мал.2</w:t>
        </w:r>
      </w:hyperlink>
      <w:r>
        <w:rPr>
          <w:sz w:val="28"/>
          <w:szCs w:val="28"/>
        </w:rPr>
        <w:t xml:space="preserve">). </w:t>
      </w:r>
    </w:p>
    <w:p w:rsidR="00AE3E55" w:rsidRDefault="005A6DE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всіх досліджуваних групах показники ЦА цільної плазми перевищували максимальні значення ЦА токсиннесучих фракцій плазми, що свідчить про виснаження адаптаційних механізмів плазми щодо токсикозу. </w:t>
      </w:r>
    </w:p>
    <w:p w:rsidR="00AE3E55" w:rsidRDefault="005A6DE0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Аналіз дітей у підгрупах</w:t>
      </w:r>
    </w:p>
    <w:p w:rsidR="00AE3E55" w:rsidRDefault="005A6DE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всіх дітей із досліджуваних підгруп спостерігали наявність токсикозу різних ступенів виразності (</w:t>
      </w:r>
      <w:hyperlink r:id="rId11" w:history="1">
        <w:r>
          <w:rPr>
            <w:rStyle w:val="a3"/>
            <w:color w:val="000000"/>
            <w:sz w:val="28"/>
            <w:szCs w:val="28"/>
          </w:rPr>
          <w:t>мал.3</w:t>
        </w:r>
      </w:hyperlink>
      <w:r>
        <w:rPr>
          <w:sz w:val="28"/>
          <w:szCs w:val="28"/>
        </w:rPr>
        <w:t xml:space="preserve">). Тяжкий ступінь токсикозу був зафіксований у дітей із ЗС ГГН, які надалі сформували ХНН (48,1±1,10%), НС ГГН (58,4±3,80%), ЗФ ХГН (52,0±3,40%). Середній ступінь виразності токсикозу був зафіксований у дітей з НФ ХГН - 32,0±3,40%. </w:t>
      </w:r>
    </w:p>
    <w:p w:rsidR="00AE3E55" w:rsidRDefault="005A6DE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АР, які здійснювали переважний вплив на розвиток та формування токсикозу, у кров’яному руслі переважно були асоційовані з глобулінами крові. При цьому ушкоджуючу дію тяжкого ступеня викликали глобулінасоційовані токсини у дітей з НС ГГН, які обумовлювали підвищення показника ЦА до 52,0±3,20%, ушкоджуючу дію середнього ступеня ви-кликали глобулінасоційовані токсини у хворих із ЗС ГГН, які надалі сформували ХНН (38,0±2,40%), ЗС ГГН (31,0±3,00%), ЗФ ХГН (39,0±2,80%), а легкого ступеня - глобулінасоційовані токсини у дітей з НФ ХГН (27,0±2,25%). Вільноциркулюючі токсини практично не мали ушкоджуючих властивостей. </w:t>
      </w:r>
    </w:p>
    <w:p w:rsidR="00AE3E55" w:rsidRDefault="005A6DE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Вивчення функціонального стану плазмових систем адаптації до токсикозу у дітей досліджуваних підгруп дозволило встановити різні рівні адаптаційних реакцій (</w:t>
      </w:r>
      <w:hyperlink r:id="rId12" w:history="1">
        <w:r>
          <w:rPr>
            <w:rStyle w:val="a3"/>
            <w:color w:val="000000"/>
            <w:sz w:val="28"/>
            <w:szCs w:val="28"/>
          </w:rPr>
          <w:t>мал.4</w:t>
        </w:r>
      </w:hyperlink>
      <w:r>
        <w:rPr>
          <w:sz w:val="28"/>
          <w:szCs w:val="28"/>
        </w:rPr>
        <w:t xml:space="preserve">). </w:t>
      </w:r>
    </w:p>
    <w:p w:rsidR="00AE3E55" w:rsidRDefault="005A6DE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дітей досліджуваних підгруп спостерігали однотипні зміни у стані плазмових систем адаптації до токсикозу. Показники ЦА цільної плазми у всіх хворих перевищували максимальні значення ЦА досліджуваних токсиннесучих фракцій плазми, що свідчило про виснаження адаптаційних механізмів плазми відносно токсикозу. </w:t>
      </w:r>
    </w:p>
    <w:p w:rsidR="00AE3E55" w:rsidRDefault="005A6DE0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Обговорення результатів</w:t>
      </w:r>
    </w:p>
    <w:p w:rsidR="00AE3E55" w:rsidRDefault="005A6DE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Класифікації токсинів обумовлюють їх угрупування залежно від молекулярної маси або оптичної щільності. В наших дослідженнях ми використали мембранну технологію, яка передбачає розділення токсинів на 3 групи залежно від їх розмірів. До першої групи входять токсини з малими розмірами молекул - від 0 до 200 нм, до другої групи - токсини із середніми розмірами молекул - від 200 до 250 нм, до третьої групи - токсини з великими розмірами молекул - більш ніж 250 нм (</w:t>
      </w:r>
      <w:hyperlink r:id="rId13" w:anchor="4#4" w:history="1">
        <w:r>
          <w:rPr>
            <w:rStyle w:val="a3"/>
            <w:color w:val="000000"/>
            <w:sz w:val="28"/>
            <w:szCs w:val="28"/>
          </w:rPr>
          <w:t>5</w:t>
        </w:r>
      </w:hyperlink>
      <w:r>
        <w:rPr>
          <w:sz w:val="28"/>
          <w:szCs w:val="28"/>
        </w:rPr>
        <w:t xml:space="preserve">). Використані методики дозволяють, окрім розмірів токсинів, дослідити місця їх накопичення на токсиннесучих фракціях крові та токсичність аутоагресивних речовин. </w:t>
      </w:r>
    </w:p>
    <w:p w:rsidR="00AE3E55" w:rsidRDefault="005A6DE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Проведені дослідження та отримані результати дозволяють вказати на те, що у дітей з гострим та хронічним гломерулонефритом, вовчаковим нефротичним синдромом у процесі розвитку захворювання відбувається накопичення у кров’яному руслі аутоагресивих речовин. Вони брали неоднозначну участь у формуванні токсикозу. Так, тяжкий ступінь виразності токсикозу ми спостерігали у дітей з гострим гломерулонефритом, у дітей зі змішаним синдромом при гострому гломерулонефриті, які надалі сформували хронічну ниркову недостатність, у дітей з нефротичним синдромом при гострому гломерулонефриті, у дітей з нефротичною формою хронічного гломерулонефриту та у дітей з вовчаковим нефротичним синдромом. Середній ступінь виразності токсикозу був зафіксований у дітей з нефротичною формою хронічного гломерулонефриту. </w:t>
      </w:r>
    </w:p>
    <w:p w:rsidR="00AE3E55" w:rsidRDefault="005A6DE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дослідженні місць накопичення аутоагресивних речовин, які формували токсикоз, виявлено, що у всіх дітей ці токсини були асоційовані з глобулінами крові. При цьому ушкоджувальну дію тяжкого ступеня викликали глобулін-асоційовані токсини у дітей з гострим гломерулонефритом, у дітей з нефротичним синдромом при гострому гломерулонефриті. Ушкоджувальну дію середнього ступеня викликали глобулін-асоційовані токсини у дітей зі змішаним синдромом при гострому гломерулонефриті, які надалі сформували хронічну ниркову недостатність, у дітей зі змішаним синдромом при гострому гломерулонефриті, у дітей із хронічним гломерулонефритом, у дітей зі змішаною формою хронічного гломерулонефриту та у дітей з вовчаковим нефротичним синдромом. Ушкоджуючу дію легкого ступеня викликали глобулін-асоційовані токсини у дітей з нефротичною формою хронічного гломерулонефриту. Вільноциркулюючі токсини практично не мали пошкоджуючих властивостей. </w:t>
      </w:r>
    </w:p>
    <w:p w:rsidR="00AE3E55" w:rsidRDefault="005A6DE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дітей досліджуваних підгруп були зафіксовані однотипні зміни у стані плазмових систем адаптації до токсикозу. Показники цитолітичної активності цільної плазми у всіх хворих перевищували максимальні значення цитолітичної активності досліджуваних токсиннесучих фракцій плазми, що свідчило про виснаження плазменних адаптаційних механізмів щодо токсикозу. </w:t>
      </w:r>
    </w:p>
    <w:p w:rsidR="00AE3E55" w:rsidRDefault="005A6DE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чином, отримані результати свідчать про різні механізми формування та реалізації токсикозу в дітей з нирковою патологією. Зрозуміло, що використання консервативних та екстракорпоральних методів детоксикації у цих дітей потребує індивідуалізованого підходу залежно від виду аутоагресивних речовин, ступеня виразності токсикозу та місць накопичення токсинів у кров’яному руслі. </w:t>
      </w:r>
    </w:p>
    <w:p w:rsidR="00AE3E55" w:rsidRDefault="005A6DE0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Висновки</w:t>
      </w:r>
    </w:p>
    <w:p w:rsidR="00AE3E55" w:rsidRDefault="005A6DE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Отримані результати вказують на особливості формування та реалізації токсикозу в дітей з гострою та хронічною нирковою недостатністю, вовчаковим нефротичним синдромом. Вивчення параметрів токсичності, розмірів та накопичення аутоагресивних речовин у кров’яному руслі дозволяє вважати доцільним використання детоксикаційної терапії для цих хворих. </w:t>
      </w:r>
    </w:p>
    <w:p w:rsidR="00AE3E55" w:rsidRDefault="005A6DE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AE3E55" w:rsidRDefault="005A6DE0">
      <w:pPr>
        <w:pStyle w:val="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Література</w:t>
      </w:r>
    </w:p>
    <w:p w:rsidR="00AE3E55" w:rsidRDefault="005A6DE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bookmarkStart w:id="0" w:name="1"/>
      <w:bookmarkEnd w:id="0"/>
      <w:r>
        <w:rPr>
          <w:sz w:val="28"/>
          <w:szCs w:val="28"/>
        </w:rPr>
        <w:t>Андрейчин М.А., Бех М.Д., Дем’яненко В.В., Ничик А.З., Ничик Н.А. Методи дослідження ендогенної інтоксикації організму. Методичні рекомендації МОЗ України. К.., 1998, с.1-31.</w:t>
      </w:r>
      <w:bookmarkStart w:id="1" w:name="2"/>
      <w:bookmarkEnd w:id="1"/>
      <w:r>
        <w:rPr>
          <w:sz w:val="28"/>
          <w:szCs w:val="28"/>
        </w:rPr>
        <w:t xml:space="preserve"> </w:t>
      </w:r>
    </w:p>
    <w:p w:rsidR="00AE3E55" w:rsidRDefault="005A6DE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Громашевская Л.Л. «Средние молекулы» как один из показателей метаболической интоксикации в организме.//Лабораторная диагностика. 1997, #1, с. 11-16.</w:t>
      </w:r>
      <w:bookmarkStart w:id="2" w:name="3"/>
      <w:bookmarkEnd w:id="2"/>
      <w:r>
        <w:rPr>
          <w:sz w:val="28"/>
          <w:szCs w:val="28"/>
        </w:rPr>
        <w:t xml:space="preserve"> </w:t>
      </w:r>
    </w:p>
    <w:p w:rsidR="00AE3E55" w:rsidRDefault="005A6DE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Козинец Г.П., Цыганков В.П., Боярская А.М. Способы определения токсических свойств сыворотки и экстрактов кожи обожженных. Рац.предложение N591 от 29.09.1991.</w:t>
      </w:r>
      <w:bookmarkStart w:id="3" w:name="4"/>
      <w:bookmarkEnd w:id="3"/>
      <w:r>
        <w:rPr>
          <w:sz w:val="28"/>
          <w:szCs w:val="28"/>
        </w:rPr>
        <w:t xml:space="preserve"> </w:t>
      </w:r>
    </w:p>
    <w:p w:rsidR="00AE3E55" w:rsidRDefault="005A6DE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Коровина Н.А., Гаврюшова Л.П., Шашинка М. Гломерулонефрит у детей. М.: Медицина, 1990, с. 7-176. </w:t>
      </w:r>
    </w:p>
    <w:p w:rsidR="00AE3E55" w:rsidRDefault="005A6DE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Шейман Б.С., Осадчая О.И., Козинец К.Г. Дифференциально-диагностические признаки определения схемы детоксикационной терапии у больных с различной патологией. //Лабораторная диагностика. 1999, #4, с. 11-13</w:t>
      </w:r>
    </w:p>
    <w:p w:rsidR="00AE3E55" w:rsidRDefault="00AE3E55">
      <w:pPr>
        <w:spacing w:line="360" w:lineRule="auto"/>
        <w:jc w:val="both"/>
        <w:rPr>
          <w:sz w:val="28"/>
          <w:szCs w:val="28"/>
          <w:lang w:val="en-US"/>
        </w:rPr>
      </w:pPr>
    </w:p>
    <w:p w:rsidR="00AE3E55" w:rsidRDefault="00AE3E55">
      <w:pPr>
        <w:spacing w:line="360" w:lineRule="auto"/>
        <w:jc w:val="both"/>
        <w:rPr>
          <w:sz w:val="28"/>
          <w:szCs w:val="28"/>
          <w:lang w:val="en-US"/>
        </w:rPr>
      </w:pPr>
    </w:p>
    <w:p w:rsidR="00AE3E55" w:rsidRDefault="00BA371A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7.5pt;height:287.25pt">
            <v:imagedata r:id="rId14" o:title="grafik_3-1"/>
          </v:shape>
        </w:pict>
      </w:r>
    </w:p>
    <w:p w:rsidR="00AE3E55" w:rsidRDefault="00AE3E55">
      <w:pPr>
        <w:spacing w:line="360" w:lineRule="auto"/>
        <w:jc w:val="center"/>
        <w:rPr>
          <w:sz w:val="28"/>
          <w:szCs w:val="28"/>
          <w:lang w:val="en-US"/>
        </w:rPr>
      </w:pPr>
    </w:p>
    <w:p w:rsidR="00AE3E55" w:rsidRDefault="00BA371A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26" type="#_x0000_t75" style="width:337.5pt;height:261.75pt">
            <v:imagedata r:id="rId15" o:title="grafik_4-1"/>
          </v:shape>
        </w:pict>
      </w:r>
    </w:p>
    <w:p w:rsidR="00AE3E55" w:rsidRDefault="00AE3E55">
      <w:pPr>
        <w:spacing w:line="360" w:lineRule="auto"/>
        <w:jc w:val="center"/>
        <w:rPr>
          <w:sz w:val="28"/>
          <w:szCs w:val="28"/>
          <w:lang w:val="en-US"/>
        </w:rPr>
      </w:pPr>
    </w:p>
    <w:p w:rsidR="00AE3E55" w:rsidRDefault="00BA371A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27" type="#_x0000_t75" style="width:337.5pt;height:291.75pt">
            <v:imagedata r:id="rId16" o:title="grafik_5-1"/>
          </v:shape>
        </w:pict>
      </w:r>
    </w:p>
    <w:p w:rsidR="00AE3E55" w:rsidRDefault="00AE3E55">
      <w:pPr>
        <w:spacing w:line="360" w:lineRule="auto"/>
        <w:jc w:val="center"/>
        <w:rPr>
          <w:sz w:val="28"/>
          <w:szCs w:val="28"/>
          <w:lang w:val="en-US"/>
        </w:rPr>
      </w:pPr>
    </w:p>
    <w:p w:rsidR="00AE3E55" w:rsidRDefault="00BA371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28" type="#_x0000_t75" style="width:337.5pt;height:237pt">
            <v:imagedata r:id="rId17" o:title="grafik_6-1"/>
          </v:shape>
        </w:pict>
      </w:r>
      <w:bookmarkStart w:id="4" w:name="_GoBack"/>
      <w:bookmarkEnd w:id="4"/>
    </w:p>
    <w:sectPr w:rsidR="00AE3E55">
      <w:pgSz w:w="11906" w:h="16838"/>
      <w:pgMar w:top="850" w:right="850" w:bottom="1417" w:left="141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2D3F8A"/>
    <w:multiLevelType w:val="multilevel"/>
    <w:tmpl w:val="B944E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6DE0"/>
    <w:rsid w:val="005A6DE0"/>
    <w:rsid w:val="00AE3E55"/>
    <w:rsid w:val="00BA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F5CF5A08-3370-41E0-A60D-1E86200E1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3">
    <w:name w:val="heading 3"/>
    <w:basedOn w:val="a"/>
    <w:qFormat/>
    <w:pPr>
      <w:spacing w:before="100" w:beforeAutospacing="1" w:after="100" w:afterAutospacing="1"/>
      <w:jc w:val="center"/>
      <w:outlineLvl w:val="2"/>
    </w:pPr>
    <w:rPr>
      <w:b/>
      <w:bCs/>
      <w:sz w:val="27"/>
      <w:szCs w:val="27"/>
    </w:rPr>
  </w:style>
  <w:style w:type="paragraph" w:styleId="4">
    <w:name w:val="heading 4"/>
    <w:basedOn w:val="a"/>
    <w:qFormat/>
    <w:pPr>
      <w:spacing w:before="100" w:beforeAutospacing="1" w:after="100" w:afterAutospacing="1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paragraph" w:styleId="a4">
    <w:name w:val="Normal (Web)"/>
    <w:basedOn w:val="a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T%20E%20L%20E%20P%20O%20R%20T%20pro\health-ua%20com\toxicosis.shtml.htm" TargetMode="External"/><Relationship Id="rId13" Type="http://schemas.openxmlformats.org/officeDocument/2006/relationships/hyperlink" Target="file:///D:\T%20E%20L%20E%20P%20O%20R%20T%20pro\health-ua%20com\toxicosis.shtml.ht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T%20E%20L%20E%20P%20O%20R%20T%20pro\health-ua%20com\toxicosis.shtml.htm" TargetMode="External"/><Relationship Id="rId12" Type="http://schemas.openxmlformats.org/officeDocument/2006/relationships/hyperlink" Target="file:///D:\T%20E%20L%20E%20P%20O%20R%20T%20pro\health-ua%20com\grafik_6-2.html" TargetMode="Externa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hyperlink" Target="file:///D:\T%20E%20L%20E%20P%20O%20R%20T%20pro\health-ua%20com\toxicosis.shtml.htm" TargetMode="External"/><Relationship Id="rId11" Type="http://schemas.openxmlformats.org/officeDocument/2006/relationships/hyperlink" Target="file:///D:\T%20E%20L%20E%20P%20O%20R%20T%20pro\health-ua%20com\grafik_5-2.html" TargetMode="External"/><Relationship Id="rId5" Type="http://schemas.openxmlformats.org/officeDocument/2006/relationships/hyperlink" Target="file:///D:\T%20E%20L%20E%20P%20O%20R%20T%20pro\health-ua%20com\toxicosis.shtml.htm" TargetMode="External"/><Relationship Id="rId15" Type="http://schemas.openxmlformats.org/officeDocument/2006/relationships/image" Target="media/image2.png"/><Relationship Id="rId10" Type="http://schemas.openxmlformats.org/officeDocument/2006/relationships/hyperlink" Target="file:///D:\T%20E%20L%20E%20P%20O%20R%20T%20pro\health-ua%20com\grafik_4-2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D:\T%20E%20L%20E%20P%20O%20R%20T%20pro\health-ua%20com\grafik_3-2.html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1726</Words>
  <Characters>9840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11543</CharactersWithSpaces>
  <SharedDoc>false</SharedDoc>
  <HyperlinkBase>Медицина. Безпека життєдіяльності</HyperlinkBase>
  <HLinks>
    <vt:vector size="78" baseType="variant">
      <vt:variant>
        <vt:i4>3735636</vt:i4>
      </vt:variant>
      <vt:variant>
        <vt:i4>24</vt:i4>
      </vt:variant>
      <vt:variant>
        <vt:i4>0</vt:i4>
      </vt:variant>
      <vt:variant>
        <vt:i4>5</vt:i4>
      </vt:variant>
      <vt:variant>
        <vt:lpwstr>D:\T E L E P O R T pro\health-ua com\toxicosis.shtml.htm</vt:lpwstr>
      </vt:variant>
      <vt:variant>
        <vt:lpwstr>4#4</vt:lpwstr>
      </vt:variant>
      <vt:variant>
        <vt:i4>3145839</vt:i4>
      </vt:variant>
      <vt:variant>
        <vt:i4>21</vt:i4>
      </vt:variant>
      <vt:variant>
        <vt:i4>0</vt:i4>
      </vt:variant>
      <vt:variant>
        <vt:i4>5</vt:i4>
      </vt:variant>
      <vt:variant>
        <vt:lpwstr>D:\T E L E P O R T pro\health-ua com\grafik_6-2.html</vt:lpwstr>
      </vt:variant>
      <vt:variant>
        <vt:lpwstr/>
      </vt:variant>
      <vt:variant>
        <vt:i4>3145836</vt:i4>
      </vt:variant>
      <vt:variant>
        <vt:i4>18</vt:i4>
      </vt:variant>
      <vt:variant>
        <vt:i4>0</vt:i4>
      </vt:variant>
      <vt:variant>
        <vt:i4>5</vt:i4>
      </vt:variant>
      <vt:variant>
        <vt:lpwstr>D:\T E L E P O R T pro\health-ua com\grafik_5-2.html</vt:lpwstr>
      </vt:variant>
      <vt:variant>
        <vt:lpwstr/>
      </vt:variant>
      <vt:variant>
        <vt:i4>3145837</vt:i4>
      </vt:variant>
      <vt:variant>
        <vt:i4>15</vt:i4>
      </vt:variant>
      <vt:variant>
        <vt:i4>0</vt:i4>
      </vt:variant>
      <vt:variant>
        <vt:i4>5</vt:i4>
      </vt:variant>
      <vt:variant>
        <vt:lpwstr>D:\T E L E P O R T pro\health-ua com\grafik_4-2.html</vt:lpwstr>
      </vt:variant>
      <vt:variant>
        <vt:lpwstr/>
      </vt:variant>
      <vt:variant>
        <vt:i4>3145834</vt:i4>
      </vt:variant>
      <vt:variant>
        <vt:i4>12</vt:i4>
      </vt:variant>
      <vt:variant>
        <vt:i4>0</vt:i4>
      </vt:variant>
      <vt:variant>
        <vt:i4>5</vt:i4>
      </vt:variant>
      <vt:variant>
        <vt:lpwstr>D:\T E L E P O R T pro\health-ua com\grafik_3-2.html</vt:lpwstr>
      </vt:variant>
      <vt:variant>
        <vt:lpwstr/>
      </vt:variant>
      <vt:variant>
        <vt:i4>3735636</vt:i4>
      </vt:variant>
      <vt:variant>
        <vt:i4>9</vt:i4>
      </vt:variant>
      <vt:variant>
        <vt:i4>0</vt:i4>
      </vt:variant>
      <vt:variant>
        <vt:i4>5</vt:i4>
      </vt:variant>
      <vt:variant>
        <vt:lpwstr>D:\T E L E P O R T pro\health-ua com\toxicosis.shtml.htm</vt:lpwstr>
      </vt:variant>
      <vt:variant>
        <vt:lpwstr>4#4</vt:lpwstr>
      </vt:variant>
      <vt:variant>
        <vt:i4>3735635</vt:i4>
      </vt:variant>
      <vt:variant>
        <vt:i4>6</vt:i4>
      </vt:variant>
      <vt:variant>
        <vt:i4>0</vt:i4>
      </vt:variant>
      <vt:variant>
        <vt:i4>5</vt:i4>
      </vt:variant>
      <vt:variant>
        <vt:lpwstr>D:\T E L E P O R T pro\health-ua com\toxicosis.shtml.htm</vt:lpwstr>
      </vt:variant>
      <vt:variant>
        <vt:lpwstr>3#3</vt:lpwstr>
      </vt:variant>
      <vt:variant>
        <vt:i4>3735633</vt:i4>
      </vt:variant>
      <vt:variant>
        <vt:i4>3</vt:i4>
      </vt:variant>
      <vt:variant>
        <vt:i4>0</vt:i4>
      </vt:variant>
      <vt:variant>
        <vt:i4>5</vt:i4>
      </vt:variant>
      <vt:variant>
        <vt:lpwstr>D:\T E L E P O R T pro\health-ua com\toxicosis.shtml.htm</vt:lpwstr>
      </vt:variant>
      <vt:variant>
        <vt:lpwstr>1#1</vt:lpwstr>
      </vt:variant>
      <vt:variant>
        <vt:i4>3735634</vt:i4>
      </vt:variant>
      <vt:variant>
        <vt:i4>0</vt:i4>
      </vt:variant>
      <vt:variant>
        <vt:i4>0</vt:i4>
      </vt:variant>
      <vt:variant>
        <vt:i4>5</vt:i4>
      </vt:variant>
      <vt:variant>
        <vt:lpwstr>D:\T E L E P O R T pro\health-ua com\toxicosis.shtml.htm</vt:lpwstr>
      </vt:variant>
      <vt:variant>
        <vt:lpwstr>2#2</vt:lpwstr>
      </vt:variant>
      <vt:variant>
        <vt:i4>8192029</vt:i4>
      </vt:variant>
      <vt:variant>
        <vt:i4>24152</vt:i4>
      </vt:variant>
      <vt:variant>
        <vt:i4>1025</vt:i4>
      </vt:variant>
      <vt:variant>
        <vt:i4>1</vt:i4>
      </vt:variant>
      <vt:variant>
        <vt:lpwstr>grafik_3-1</vt:lpwstr>
      </vt:variant>
      <vt:variant>
        <vt:lpwstr/>
      </vt:variant>
      <vt:variant>
        <vt:i4>7995421</vt:i4>
      </vt:variant>
      <vt:variant>
        <vt:i4>24158</vt:i4>
      </vt:variant>
      <vt:variant>
        <vt:i4>1026</vt:i4>
      </vt:variant>
      <vt:variant>
        <vt:i4>1</vt:i4>
      </vt:variant>
      <vt:variant>
        <vt:lpwstr>grafik_4-1</vt:lpwstr>
      </vt:variant>
      <vt:variant>
        <vt:lpwstr/>
      </vt:variant>
      <vt:variant>
        <vt:i4>8060957</vt:i4>
      </vt:variant>
      <vt:variant>
        <vt:i4>24164</vt:i4>
      </vt:variant>
      <vt:variant>
        <vt:i4>1027</vt:i4>
      </vt:variant>
      <vt:variant>
        <vt:i4>1</vt:i4>
      </vt:variant>
      <vt:variant>
        <vt:lpwstr>grafik_5-1</vt:lpwstr>
      </vt:variant>
      <vt:variant>
        <vt:lpwstr/>
      </vt:variant>
      <vt:variant>
        <vt:i4>7864349</vt:i4>
      </vt:variant>
      <vt:variant>
        <vt:i4>24170</vt:i4>
      </vt:variant>
      <vt:variant>
        <vt:i4>1028</vt:i4>
      </vt:variant>
      <vt:variant>
        <vt:i4>1</vt:i4>
      </vt:variant>
      <vt:variant>
        <vt:lpwstr>grafik_6-1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dcterms:created xsi:type="dcterms:W3CDTF">2014-04-02T20:03:00Z</dcterms:created>
  <dcterms:modified xsi:type="dcterms:W3CDTF">2014-04-02T20:03:00Z</dcterms:modified>
  <cp:category>Медицина. Безпека життєдіяльності</cp:category>
</cp:coreProperties>
</file>