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rFonts w:ascii="Arial" w:hAnsi="Arial" w:cs="Arial"/>
          <w:b/>
          <w:bCs/>
          <w:color w:val="auto"/>
          <w:sz w:val="28"/>
          <w:szCs w:val="36"/>
          <w:lang w:val="uk-UA"/>
        </w:rPr>
      </w:pPr>
    </w:p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rFonts w:ascii="Arial" w:hAnsi="Arial" w:cs="Arial"/>
          <w:b/>
          <w:bCs/>
          <w:color w:val="auto"/>
          <w:sz w:val="28"/>
          <w:szCs w:val="36"/>
          <w:lang w:val="uk-UA"/>
        </w:rPr>
      </w:pPr>
    </w:p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rFonts w:ascii="Arial" w:hAnsi="Arial" w:cs="Arial"/>
          <w:b/>
          <w:bCs/>
          <w:color w:val="auto"/>
          <w:sz w:val="28"/>
          <w:szCs w:val="36"/>
          <w:lang w:val="uk-UA"/>
        </w:rPr>
      </w:pPr>
    </w:p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rFonts w:ascii="Arial" w:hAnsi="Arial" w:cs="Arial"/>
          <w:b/>
          <w:bCs/>
          <w:color w:val="auto"/>
          <w:sz w:val="28"/>
          <w:szCs w:val="36"/>
          <w:lang w:val="uk-UA"/>
        </w:rPr>
      </w:pPr>
    </w:p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rFonts w:ascii="Arial" w:hAnsi="Arial" w:cs="Arial"/>
          <w:b/>
          <w:bCs/>
          <w:color w:val="auto"/>
          <w:sz w:val="28"/>
          <w:szCs w:val="36"/>
          <w:lang w:val="uk-UA"/>
        </w:rPr>
      </w:pPr>
    </w:p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center"/>
        <w:rPr>
          <w:rFonts w:ascii="Arial" w:hAnsi="Arial" w:cs="Arial"/>
          <w:b/>
          <w:bCs/>
          <w:color w:val="auto"/>
          <w:sz w:val="28"/>
          <w:szCs w:val="36"/>
          <w:lang w:val="uk-UA"/>
        </w:rPr>
      </w:pPr>
    </w:p>
    <w:p w:rsidR="00DB2C15" w:rsidRDefault="00D421FA">
      <w:pPr>
        <w:pStyle w:val="a3"/>
        <w:spacing w:before="0" w:beforeAutospacing="0" w:after="0" w:afterAutospacing="0" w:line="360" w:lineRule="auto"/>
        <w:ind w:right="57"/>
        <w:jc w:val="center"/>
        <w:rPr>
          <w:rFonts w:ascii="Arial" w:hAnsi="Arial" w:cs="Arial"/>
          <w:b/>
          <w:bCs/>
          <w:i/>
          <w:iCs/>
          <w:color w:val="auto"/>
          <w:sz w:val="40"/>
          <w:szCs w:val="36"/>
          <w:lang w:val="uk-UA"/>
        </w:rPr>
      </w:pPr>
      <w:r>
        <w:rPr>
          <w:rFonts w:ascii="Arial" w:hAnsi="Arial" w:cs="Arial"/>
          <w:b/>
          <w:bCs/>
          <w:i/>
          <w:iCs/>
          <w:color w:val="auto"/>
          <w:sz w:val="40"/>
          <w:szCs w:val="36"/>
          <w:lang w:val="uk-UA"/>
        </w:rPr>
        <w:t>Реферат на тему: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/>
        <w:jc w:val="center"/>
        <w:rPr>
          <w:rFonts w:ascii="Arial" w:hAnsi="Arial" w:cs="Arial"/>
          <w:color w:val="auto"/>
          <w:sz w:val="40"/>
        </w:rPr>
      </w:pPr>
      <w:r>
        <w:rPr>
          <w:rFonts w:ascii="Arial" w:hAnsi="Arial" w:cs="Arial"/>
          <w:b/>
          <w:bCs/>
          <w:color w:val="auto"/>
          <w:sz w:val="40"/>
          <w:szCs w:val="36"/>
        </w:rPr>
        <w:t xml:space="preserve">УКРАЇНСЬКЕ ГОСПОДАРСЬКЕ ПРАВО: </w:t>
      </w:r>
      <w:r>
        <w:rPr>
          <w:rFonts w:ascii="Arial" w:hAnsi="Arial" w:cs="Arial"/>
          <w:b/>
          <w:bCs/>
          <w:color w:val="auto"/>
          <w:sz w:val="40"/>
          <w:szCs w:val="36"/>
        </w:rPr>
        <w:br/>
        <w:t>ІСТОРІЯ І СУЧАСНІСТЬ</w:t>
      </w:r>
    </w:p>
    <w:p w:rsidR="00DB2C15" w:rsidRDefault="00DB2C15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  <w:sectPr w:rsidR="00DB2C1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Господарське право - це одна з галузей права і законодавства в Україні. Його предметом є відносини з організації та здійснення господарської (підприємницької, комерційної) діяльності. За своїми цілями та змістом господарське право багато у чому збігається з такими поняттями як "бізнес-право", "комерційне право", "підприємницьке право".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Юридична пікантність питання полягає у тому, що навколо поняття господарського права вже багато років виникають спори та дискусії. Деякі учасники таких дискусій вважають господарське право якимось чужорідним явищем в Україні. Одни з них посилаються на те, що господарське право народилось у Германіїї на початку нашого сторіччя, інші - в колишньому Радянському Союзі, де воно ніби то обслуговувало командно-адміністративну систему. Все це нажаль є свідотством прикрих непорозумінь і недостатнього знання історії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Певною мірою вірно, що з початку XX віку концепція господарського права в різних варіаціях отримала своє обгрунтування в Германії. Але справа в тому, що господарське право там не тільки давня концепція, але й сьогоднішня реальність- воно визнане поряд з іншими галузями Основним Законом (Конституцією) ФРН. Ще треба враховувати, що господарське право визнане і в ряді інших країн, що каже про інтернаціональний характер цього правового явища. Показово, що в Парижі улаштувалась штаб-квартира Міжнародної асоціації господарського права.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Так, дійсно, в 20-30 роках і в СРСР існувала своя модифікація такої концепції. Її прихильники наївно вважали, що за допомогою деяких ідей господарського права можна збудувати життя на розумних засадах. Але реальність виявилась більш жорстокою. В 1938 році тодішній Прокурор СРСР Вишинський, якому до душі було тільки цивільне право, "закрив" господарське право як вороже. Сумно, але вчені, які розподіляли подібні ідеї, були репресовані. Відродилась ця концепція, в значно зміненому вигляді вже в часи хрущьовської "відлиги ", але легальною, тобто законодавчо визнаною, вона не стала й не могла стати в умовах попереднього режиму.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Є і суто український погляд на проблему господарського права. Щоб його зрозуміти, треба зробити деякий екскурс в історію.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Було б помилкою вважати, що Україна в минулому була "правовою пустелею". З часу "Правди Ярослава" в цю історію вписано чимало яскравих сторінок. Причому це одно з найкрупніших правових джерел тодішньої Європи не міг з'явитись на пустому місці. Він з'явився як результат широкого розвитку торгових відносин в Древньої Русі - йшла жвава торгівля із Западом та Востоком. При чому в ті часи здійснювався обмін не тільки товарами, але й, безсумнівно, правовими ідеями. "Руська Правда", яку відомий історик В.О. Ключевській назвав "кодексом торгового капіталу", здійснювала свій вплив і за межами Київської Русі. ЇЇ норми, наприклад, у незмінному вигляді увійшли в інше відоме джерело права - Литовський Статут.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Але часи змінювались, змінювалась слідом за політичною, і правова ситуація в Україні. Сталося так, що після татаро-монгольської навали тут на багато міст та селищ розповсюдило свій вплив так зване "німецьке право", а якщо точніше - це було Магдебурзьке право. Саме йому Україна зобов'язана пожвавленням свого господарського розвитку протягом кількох сторіч.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Магдебурзьке право - це перш за все право міського самоврядування та ринкових відносин у містах. Деякими своїми якостями це право являє інтерес і для сучасного юриста. Головне в ньому те , що воно носило комплексний, універсальний, характер, бо у взаємозв'язку регламентувало багато видів відносин - тут регламентувались торгівля й ремесла, діяльність цехів та купецьких гільдій, відносини власності та оподаткування. Думається, що системність регулювання такого роду відносин, що містяться у Магдебурзькому праві, зберігає свої цінності і в наші дні..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Тепер ми візьмемо відрізок історії української правової думки лише в сто років, з кінця XVIII і до кінця XIX сторіч. Тут ми зустрічаємо славетні імена таких вчених- юристів, наших земляків, як С.Є. Десницький, М.А. Балуг'янський, К.Д. Ушинський, І.І.Янжул. В їх працях якраз і можна знайти оригінальні ідеї, які торкаються і комерційного, і господарського, і підприємницького права. Ці ідеї до цих пір не втратили своєї свіжості.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Особливо вдячна наша пам' ять повинна належати К.Д. Ушинському - це саме він серед інших своїх великих справ створив першу в світі розгорнуту теорію господарського права. Господарське право вчений вважав необхідним відрізняти від права цивільного. Якщо останнє, за його думкою, покликано відокремити та зрівняти економічні інтереси окремих громадян, то перше - "об'єднати ці економічні інтереси так, щоб кожен ... досягаючи загального господарського інтересу самим повним чином досягав свого власного". Тут нема чого додати! Ця ідея надзвичайно актуальна і сьогодні. Серед інших ідей, які були згадані в цьому есе, вона як раз і допомогла створити концепцію проекту Господарського (Комерційного) кодексу України. 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Ось така історія... Сучасна школа українського господарського права враховує її уроки, без тіні сорому спирається на свої національні джерела, намагається принести користь суспільству й затвердити своє гідне місце в загальносвітовому правознавстві. Немає нічого соромного в тому, що юстиція молодої незалежної української держави буде пишатися такою школою.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Зараз йде багато дебатів навколо того, як нам входити у європейські структури, в тому числі у європейське правове поле. Але входити до Європи не означає, що треба тільки брати в неї все корисне, треба їй і щось віддавати. "Do ut des !" - так казали древні латиняні. </w:t>
      </w:r>
    </w:p>
    <w:p w:rsidR="00DB2C15" w:rsidRDefault="00D421FA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Попутно виникає пропозиція до юристів України: влаштовуючи святкування Дня Юриста, слід було б, серед іншого, приділяти увагу святим для юристів м істам в Києві - могилі К.Д. Ушинського у Видубецькому монастирі і пам'ятнику Магдебурзького права.. </w:t>
      </w:r>
    </w:p>
    <w:p w:rsidR="00DB2C15" w:rsidRDefault="00DB2C15">
      <w:pPr>
        <w:spacing w:line="360" w:lineRule="auto"/>
        <w:ind w:left="57" w:right="57" w:firstLine="709"/>
        <w:jc w:val="both"/>
        <w:rPr>
          <w:sz w:val="28"/>
        </w:rPr>
      </w:pPr>
      <w:bookmarkStart w:id="0" w:name="_GoBack"/>
      <w:bookmarkEnd w:id="0"/>
    </w:p>
    <w:sectPr w:rsidR="00DB2C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1FA"/>
    <w:rsid w:val="00B1076E"/>
    <w:rsid w:val="00D421FA"/>
    <w:rsid w:val="00DB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13379-1A8A-447D-9F78-B559AA26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color w:val="CC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Право. Міжнародні відносини</Manager>
  <Company> Право. Міжнародні відносини</Company>
  <LinksUpToDate>false</LinksUpToDate>
  <CharactersWithSpaces>5852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2014-08-13T14:30:00Z</dcterms:created>
  <dcterms:modified xsi:type="dcterms:W3CDTF">2014-08-13T14:30:00Z</dcterms:modified>
  <cp:category>Право. Міжнародні відносини</cp:category>
</cp:coreProperties>
</file>