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BBF" w:rsidRDefault="00072A82">
      <w:pPr>
        <w:pStyle w:val="3"/>
        <w:jc w:val="center"/>
        <w:rPr>
          <w:b/>
          <w:sz w:val="32"/>
        </w:rPr>
      </w:pPr>
      <w:r>
        <w:rPr>
          <w:b/>
          <w:sz w:val="32"/>
        </w:rPr>
        <w:t>Економічні зв’язки: оплата праці і ринок праці</w:t>
      </w:r>
    </w:p>
    <w:p w:rsidR="00AF3BBF" w:rsidRDefault="00AF3BBF">
      <w:pPr>
        <w:ind w:right="-22"/>
        <w:jc w:val="both"/>
        <w:rPr>
          <w:snapToGrid w:val="0"/>
          <w:lang w:val="uk-UA"/>
        </w:rPr>
      </w:pPr>
    </w:p>
    <w:p w:rsidR="00AF3BBF" w:rsidRDefault="00072A82">
      <w:pPr>
        <w:pStyle w:val="a3"/>
        <w:ind w:firstLine="720"/>
        <w:jc w:val="both"/>
        <w:rPr>
          <w:b w:val="0"/>
          <w:sz w:val="24"/>
        </w:rPr>
      </w:pPr>
      <w:r>
        <w:rPr>
          <w:b w:val="0"/>
          <w:sz w:val="24"/>
        </w:rPr>
        <w:t>Суперечливі тенденції формування засад оплати праці в умовах сучасної національної економіки вимагають улосконалення підходів щодо ефективних норм її регулювання. Як відомо, макроекономічні підходи до здійснення регулювання ринкової економіки не містять елементу оплати праці як динамічної регульованої компоненти. Категорія оплати праці розглядається економічними теоріями як елемент ВНП щодо потоку доходів і відноситься до системи мікроекономічного регулювання. Проте, умови української перехідної економіки вимагають з’ясування проблем оплати праці з точки зору їхньої ролі у формуванні споживацьких витрат і забезпеченні переходу від макроекономічної статики (оплата праці) до макроекономічної динаміки (споживацькі витрати). На наш погляд, основу цього переходу слід шукати у формуванні стабільних секторів економіки, які охоплюють певні категорії працівників.</w:t>
      </w:r>
    </w:p>
    <w:p w:rsidR="00AF3BBF" w:rsidRDefault="00072A82">
      <w:pPr>
        <w:ind w:right="90" w:firstLine="720"/>
        <w:jc w:val="both"/>
        <w:rPr>
          <w:snapToGrid w:val="0"/>
          <w:lang w:val="uk-UA"/>
        </w:rPr>
      </w:pPr>
      <w:r>
        <w:rPr>
          <w:snapToGrid w:val="0"/>
          <w:lang w:val="uk-UA"/>
        </w:rPr>
        <w:t>Процес сегментації ринку праці є об’єктивно обумовленим, але суперечливим. Тенденції і напрями його розвитку  сьогодні  піддані достатньому аналізу. Проте вимагає більш детального розгляду система взаємозалежностей ринок праці-оплата праці.Розглянемо цей аспект більш конкретно.</w:t>
      </w:r>
    </w:p>
    <w:p w:rsidR="00AF3BBF" w:rsidRDefault="00072A82">
      <w:pPr>
        <w:ind w:right="-22" w:firstLine="720"/>
        <w:jc w:val="both"/>
        <w:rPr>
          <w:snapToGrid w:val="0"/>
          <w:lang w:val="uk-UA"/>
        </w:rPr>
      </w:pPr>
      <w:r>
        <w:rPr>
          <w:snapToGrid w:val="0"/>
          <w:lang w:val="uk-UA"/>
        </w:rPr>
        <w:t>У сучасній ринковій економіці виділяються такі форми зайнятості</w:t>
      </w:r>
      <w:r>
        <w:rPr>
          <w:snapToGrid w:val="0"/>
        </w:rPr>
        <w:t>:</w:t>
      </w:r>
    </w:p>
    <w:p w:rsidR="00AF3BBF" w:rsidRDefault="00072A82">
      <w:pPr>
        <w:ind w:right="-22" w:firstLine="720"/>
        <w:rPr>
          <w:snapToGrid w:val="0"/>
          <w:lang w:val="uk-UA"/>
        </w:rPr>
      </w:pPr>
      <w:r>
        <w:rPr>
          <w:snapToGrid w:val="0"/>
          <w:lang w:val="uk-UA"/>
        </w:rPr>
        <w:t xml:space="preserve">     -працівники за наймом у державних, колективних, приватних установах</w:t>
      </w:r>
      <w:r>
        <w:rPr>
          <w:snapToGrid w:val="0"/>
        </w:rPr>
        <w:t>;</w:t>
      </w:r>
    </w:p>
    <w:p w:rsidR="00AF3BBF" w:rsidRDefault="00072A82">
      <w:pPr>
        <w:ind w:right="-22" w:firstLine="720"/>
        <w:jc w:val="both"/>
        <w:rPr>
          <w:snapToGrid w:val="0"/>
          <w:lang w:val="uk-UA"/>
        </w:rPr>
      </w:pPr>
      <w:r>
        <w:rPr>
          <w:snapToGrid w:val="0"/>
          <w:lang w:val="uk-UA"/>
        </w:rPr>
        <w:t xml:space="preserve">   -  працівники, власники засобів виробництва</w:t>
      </w:r>
      <w:r>
        <w:rPr>
          <w:snapToGrid w:val="0"/>
        </w:rPr>
        <w:t>;</w:t>
      </w:r>
    </w:p>
    <w:p w:rsidR="00AF3BBF" w:rsidRDefault="00072A82">
      <w:pPr>
        <w:ind w:right="-22" w:firstLine="720"/>
        <w:jc w:val="both"/>
        <w:rPr>
          <w:snapToGrid w:val="0"/>
          <w:lang w:val="uk-UA"/>
        </w:rPr>
      </w:pPr>
      <w:r>
        <w:rPr>
          <w:snapToGrid w:val="0"/>
          <w:lang w:val="uk-UA"/>
        </w:rPr>
        <w:t xml:space="preserve">   -  працівники трудового колективу</w:t>
      </w:r>
      <w:r>
        <w:rPr>
          <w:snapToGrid w:val="0"/>
        </w:rPr>
        <w:t>;</w:t>
      </w:r>
    </w:p>
    <w:p w:rsidR="00AF3BBF" w:rsidRDefault="00072A82">
      <w:pPr>
        <w:ind w:right="-22" w:firstLine="720"/>
        <w:jc w:val="both"/>
        <w:rPr>
          <w:snapToGrid w:val="0"/>
          <w:lang w:val="uk-UA"/>
        </w:rPr>
      </w:pPr>
      <w:r>
        <w:rPr>
          <w:snapToGrid w:val="0"/>
          <w:lang w:val="uk-UA"/>
        </w:rPr>
        <w:t xml:space="preserve">   -  працівники,  зайняті за сумісництвом</w:t>
      </w:r>
      <w:r>
        <w:rPr>
          <w:snapToGrid w:val="0"/>
        </w:rPr>
        <w:t>;</w:t>
      </w:r>
    </w:p>
    <w:p w:rsidR="00AF3BBF" w:rsidRDefault="00072A82">
      <w:pPr>
        <w:ind w:right="-22" w:firstLine="720"/>
        <w:jc w:val="both"/>
        <w:rPr>
          <w:snapToGrid w:val="0"/>
          <w:lang w:val="uk-UA"/>
        </w:rPr>
      </w:pPr>
      <w:r>
        <w:rPr>
          <w:snapToGrid w:val="0"/>
          <w:lang w:val="uk-UA"/>
        </w:rPr>
        <w:t xml:space="preserve">   -  самостійні працівники;</w:t>
      </w:r>
    </w:p>
    <w:p w:rsidR="00AF3BBF" w:rsidRDefault="00072A82">
      <w:pPr>
        <w:ind w:right="-22" w:firstLine="720"/>
        <w:jc w:val="both"/>
        <w:rPr>
          <w:snapToGrid w:val="0"/>
          <w:lang w:val="uk-UA"/>
        </w:rPr>
      </w:pPr>
      <w:r>
        <w:rPr>
          <w:snapToGrid w:val="0"/>
          <w:lang w:val="uk-UA"/>
        </w:rPr>
        <w:t xml:space="preserve">   -  працівники, зайняті одночасно в офіційній і неофіційній економіці.</w:t>
      </w:r>
    </w:p>
    <w:p w:rsidR="00AF3BBF" w:rsidRDefault="00072A82">
      <w:pPr>
        <w:pStyle w:val="31"/>
        <w:ind w:firstLine="720"/>
        <w:jc w:val="both"/>
      </w:pPr>
      <w:r>
        <w:t>Слід зазначити, що види доходів кількісно диференціюються  залежно від категорій зайнятих. Збільшується диференціація заробітної плати у її традиційних формах: галузевій і регіональній. Коефіцієнти міжгалузевої диференціації  заробітної плати стосовно середньої в економіці, за нашими розрахунками, коливаються у межах 0,5-2,7 , міжрегіональної - 0,5-1,3.</w:t>
      </w:r>
    </w:p>
    <w:p w:rsidR="00AF3BBF" w:rsidRDefault="00072A82">
      <w:pPr>
        <w:ind w:right="-22" w:firstLine="720"/>
        <w:jc w:val="both"/>
        <w:rPr>
          <w:snapToGrid w:val="0"/>
          <w:lang w:val="uk-UA"/>
        </w:rPr>
      </w:pPr>
      <w:r>
        <w:rPr>
          <w:snapToGrid w:val="0"/>
          <w:lang w:val="uk-UA"/>
        </w:rPr>
        <w:t>Крім того, становлення різних форм власності посилює диференціацію в доходах за критерієм видів. У економіці сьогодні формуються такі види доходів</w:t>
      </w:r>
      <w:r>
        <w:rPr>
          <w:snapToGrid w:val="0"/>
        </w:rPr>
        <w:t>:</w:t>
      </w:r>
    </w:p>
    <w:p w:rsidR="00AF3BBF" w:rsidRDefault="00072A82">
      <w:pPr>
        <w:numPr>
          <w:ilvl w:val="0"/>
          <w:numId w:val="1"/>
        </w:numPr>
        <w:ind w:right="-22"/>
        <w:jc w:val="both"/>
        <w:rPr>
          <w:snapToGrid w:val="0"/>
        </w:rPr>
      </w:pPr>
      <w:r>
        <w:rPr>
          <w:snapToGrid w:val="0"/>
          <w:lang w:val="uk-UA"/>
        </w:rPr>
        <w:t>доходи від праці за наймом</w:t>
      </w:r>
      <w:r>
        <w:rPr>
          <w:snapToGrid w:val="0"/>
        </w:rPr>
        <w:t>;</w:t>
      </w:r>
    </w:p>
    <w:p w:rsidR="00AF3BBF" w:rsidRDefault="00072A82">
      <w:pPr>
        <w:numPr>
          <w:ilvl w:val="0"/>
          <w:numId w:val="1"/>
        </w:numPr>
        <w:ind w:right="-22"/>
        <w:jc w:val="both"/>
        <w:rPr>
          <w:snapToGrid w:val="0"/>
          <w:lang w:val="uk-UA"/>
        </w:rPr>
      </w:pPr>
      <w:r>
        <w:rPr>
          <w:snapToGrid w:val="0"/>
          <w:lang w:val="uk-UA"/>
        </w:rPr>
        <w:t>доходи від праці в особистому підсобному господарстві</w:t>
      </w:r>
      <w:r>
        <w:rPr>
          <w:snapToGrid w:val="0"/>
        </w:rPr>
        <w:t>;</w:t>
      </w:r>
    </w:p>
    <w:p w:rsidR="00AF3BBF" w:rsidRDefault="00072A82">
      <w:pPr>
        <w:numPr>
          <w:ilvl w:val="0"/>
          <w:numId w:val="1"/>
        </w:numPr>
        <w:ind w:right="-22"/>
        <w:jc w:val="both"/>
        <w:rPr>
          <w:snapToGrid w:val="0"/>
          <w:lang w:val="uk-UA"/>
        </w:rPr>
      </w:pPr>
      <w:r>
        <w:rPr>
          <w:snapToGrid w:val="0"/>
          <w:lang w:val="uk-UA"/>
        </w:rPr>
        <w:t>доходи від індивідуальної трудової діяльності;</w:t>
      </w:r>
    </w:p>
    <w:p w:rsidR="00AF3BBF" w:rsidRDefault="00072A82">
      <w:pPr>
        <w:numPr>
          <w:ilvl w:val="0"/>
          <w:numId w:val="1"/>
        </w:numPr>
        <w:ind w:right="-22"/>
        <w:jc w:val="both"/>
        <w:rPr>
          <w:snapToGrid w:val="0"/>
          <w:lang w:val="uk-UA"/>
        </w:rPr>
      </w:pPr>
      <w:r>
        <w:rPr>
          <w:snapToGrid w:val="0"/>
          <w:lang w:val="uk-UA"/>
        </w:rPr>
        <w:t>особисті доходи від власності у вигляді дивідендів, процентів, ренти</w:t>
      </w:r>
      <w:r>
        <w:rPr>
          <w:snapToGrid w:val="0"/>
        </w:rPr>
        <w:t>;</w:t>
      </w:r>
    </w:p>
    <w:p w:rsidR="00AF3BBF" w:rsidRDefault="00072A82">
      <w:pPr>
        <w:numPr>
          <w:ilvl w:val="0"/>
          <w:numId w:val="1"/>
        </w:numPr>
        <w:ind w:right="-22"/>
        <w:jc w:val="both"/>
        <w:rPr>
          <w:snapToGrid w:val="0"/>
          <w:lang w:val="uk-UA"/>
        </w:rPr>
      </w:pPr>
      <w:r>
        <w:rPr>
          <w:snapToGrid w:val="0"/>
          <w:lang w:val="uk-UA"/>
        </w:rPr>
        <w:t>трансфертні платежі</w:t>
      </w:r>
      <w:r>
        <w:rPr>
          <w:snapToGrid w:val="0"/>
        </w:rPr>
        <w:t>;</w:t>
      </w:r>
    </w:p>
    <w:p w:rsidR="00AF3BBF" w:rsidRDefault="00072A82">
      <w:pPr>
        <w:numPr>
          <w:ilvl w:val="0"/>
          <w:numId w:val="1"/>
        </w:numPr>
        <w:ind w:right="-22"/>
        <w:jc w:val="both"/>
        <w:rPr>
          <w:snapToGrid w:val="0"/>
          <w:lang w:val="uk-UA"/>
        </w:rPr>
      </w:pPr>
      <w:r>
        <w:rPr>
          <w:snapToGrid w:val="0"/>
          <w:lang w:val="uk-UA"/>
        </w:rPr>
        <w:t>платежі з соціального страхування</w:t>
      </w:r>
      <w:r>
        <w:rPr>
          <w:snapToGrid w:val="0"/>
        </w:rPr>
        <w:t>;</w:t>
      </w:r>
    </w:p>
    <w:p w:rsidR="00AF3BBF" w:rsidRDefault="00072A82">
      <w:pPr>
        <w:numPr>
          <w:ilvl w:val="0"/>
          <w:numId w:val="1"/>
        </w:numPr>
        <w:ind w:right="-22"/>
        <w:jc w:val="both"/>
        <w:rPr>
          <w:snapToGrid w:val="0"/>
          <w:lang w:val="uk-UA"/>
        </w:rPr>
      </w:pPr>
      <w:r>
        <w:rPr>
          <w:snapToGrid w:val="0"/>
          <w:lang w:val="uk-UA"/>
        </w:rPr>
        <w:t>доходи зі сфери неофіційної економіки</w:t>
      </w:r>
      <w:r>
        <w:rPr>
          <w:snapToGrid w:val="0"/>
        </w:rPr>
        <w:t>.</w:t>
      </w:r>
    </w:p>
    <w:p w:rsidR="00AF3BBF" w:rsidRDefault="00072A82">
      <w:pPr>
        <w:pStyle w:val="a5"/>
        <w:ind w:left="0" w:right="-2" w:firstLine="720"/>
        <w:jc w:val="both"/>
        <w:rPr>
          <w:sz w:val="24"/>
        </w:rPr>
      </w:pPr>
      <w:r>
        <w:rPr>
          <w:sz w:val="24"/>
        </w:rPr>
        <w:t>Можна зазначити, що частка доходів окремих груп (4-7), хоча і не є вагомою, але визначає загальну тенденцію формування альтернативних форм, не зв’язаних безпосередньо з оплатою праці.</w:t>
      </w:r>
    </w:p>
    <w:p w:rsidR="00AF3BBF" w:rsidRDefault="00072A82">
      <w:pPr>
        <w:pStyle w:val="a4"/>
        <w:spacing w:line="240" w:lineRule="auto"/>
        <w:ind w:left="0" w:firstLine="709"/>
        <w:jc w:val="both"/>
        <w:rPr>
          <w:b w:val="0"/>
          <w:sz w:val="24"/>
        </w:rPr>
      </w:pPr>
      <w:r>
        <w:rPr>
          <w:b w:val="0"/>
          <w:sz w:val="24"/>
        </w:rPr>
        <w:t>Визначальною в сучасних умовах є тенденція диференціації доходів різних соціальних груп, яка є досить глибокою (10-20 разів), що приводить до поділу на найбагатші і найбідніші верстви населення. Ця економічна векторна спрямованість не завжди пояснюється рівнем освіти, кваліфікації, індивідуальною трудовою віддачею та ін.</w:t>
      </w:r>
    </w:p>
    <w:p w:rsidR="00AF3BBF" w:rsidRDefault="00072A82">
      <w:pPr>
        <w:ind w:right="-22" w:firstLine="720"/>
        <w:jc w:val="both"/>
        <w:rPr>
          <w:snapToGrid w:val="0"/>
          <w:lang w:val="uk-UA"/>
        </w:rPr>
      </w:pPr>
      <w:r>
        <w:rPr>
          <w:snapToGrid w:val="0"/>
          <w:lang w:val="uk-UA"/>
        </w:rPr>
        <w:t>Сукупна дія існуючих тенденцій на ринку праці об’єктивно обумовлює тенденції становлення і розвитку альтернативних форм оплати праці і доходів. Їх врахування необхідно для координації праці,  її оцінки, пошуків способів залучення індивідуальної праці до сукупної на мікрорівні, а також для оцінки подальших можливостей розвитку різних форм власності в національній економіці на макрорівні.</w:t>
      </w:r>
    </w:p>
    <w:p w:rsidR="00AF3BBF" w:rsidRDefault="00072A82">
      <w:pPr>
        <w:ind w:right="-22" w:firstLine="720"/>
        <w:jc w:val="both"/>
        <w:rPr>
          <w:snapToGrid w:val="0"/>
          <w:lang w:val="uk-UA"/>
        </w:rPr>
      </w:pPr>
      <w:r>
        <w:rPr>
          <w:snapToGrid w:val="0"/>
          <w:lang w:val="uk-UA"/>
        </w:rPr>
        <w:t>Як бачимо, основні тенденції формування сучасного ринку праці поєднані з процесами формування доходів зайнятих в господарстві. Наслідками такого поєднання є те, що значна питома вага доходів припадає на джерела неофіційної економіки, що не стимулює ефективність праці, не зв’язана з нею безпосередньо, не відповідає завданням формування ринкового механізму.</w:t>
      </w:r>
    </w:p>
    <w:p w:rsidR="00AF3BBF" w:rsidRDefault="00072A82">
      <w:pPr>
        <w:pStyle w:val="30"/>
        <w:spacing w:line="240" w:lineRule="auto"/>
        <w:ind w:left="0" w:firstLine="720"/>
        <w:rPr>
          <w:sz w:val="24"/>
        </w:rPr>
      </w:pPr>
      <w:r>
        <w:rPr>
          <w:sz w:val="24"/>
        </w:rPr>
        <w:t>Свідченням нерівномірності ринкових перетворень є повільне зростання приватного сектора економіки і чисельності зайнятих у ньому (див. табл.).</w:t>
      </w:r>
    </w:p>
    <w:p w:rsidR="00AF3BBF" w:rsidRDefault="00072A82">
      <w:pPr>
        <w:pStyle w:val="8"/>
        <w:jc w:val="right"/>
        <w:rPr>
          <w:u w:val="none"/>
        </w:rPr>
      </w:pPr>
      <w:r>
        <w:rPr>
          <w:u w:val="none"/>
        </w:rPr>
        <w:t xml:space="preserve">Таблиця </w:t>
      </w:r>
    </w:p>
    <w:p w:rsidR="00AF3BBF" w:rsidRDefault="00072A82">
      <w:pPr>
        <w:pStyle w:val="2"/>
        <w:ind w:firstLine="720"/>
        <w:jc w:val="center"/>
        <w:rPr>
          <w:b/>
        </w:rPr>
      </w:pPr>
      <w:r>
        <w:rPr>
          <w:b/>
        </w:rPr>
        <w:t>Розподіл  працівників за роками, зайнятих у різних галузях економіки за формами власності, тис.чол.</w:t>
      </w:r>
    </w:p>
    <w:p w:rsidR="00AF3BBF" w:rsidRDefault="00AF3BBF">
      <w:pPr>
        <w:pStyle w:val="2"/>
        <w:ind w:firstLine="720"/>
        <w:jc w:val="center"/>
      </w:pP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59"/>
        <w:gridCol w:w="851"/>
        <w:gridCol w:w="850"/>
        <w:gridCol w:w="851"/>
        <w:gridCol w:w="992"/>
        <w:gridCol w:w="992"/>
        <w:gridCol w:w="993"/>
        <w:gridCol w:w="1984"/>
      </w:tblGrid>
      <w:tr w:rsidR="00AF3BBF">
        <w:tc>
          <w:tcPr>
            <w:tcW w:w="1559" w:type="dxa"/>
            <w:vAlign w:val="center"/>
          </w:tcPr>
          <w:p w:rsidR="00AF3BBF" w:rsidRDefault="00072A82">
            <w:pPr>
              <w:pStyle w:val="1"/>
              <w:ind w:right="-23"/>
              <w:rPr>
                <w:b w:val="0"/>
                <w:sz w:val="24"/>
              </w:rPr>
            </w:pPr>
            <w:r>
              <w:rPr>
                <w:b w:val="0"/>
                <w:sz w:val="24"/>
              </w:rPr>
              <w:t>Зайнятість</w:t>
            </w:r>
          </w:p>
        </w:tc>
        <w:tc>
          <w:tcPr>
            <w:tcW w:w="851"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1992</w:t>
            </w:r>
          </w:p>
        </w:tc>
        <w:tc>
          <w:tcPr>
            <w:tcW w:w="850"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1993</w:t>
            </w:r>
          </w:p>
        </w:tc>
        <w:tc>
          <w:tcPr>
            <w:tcW w:w="851"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1994</w:t>
            </w:r>
          </w:p>
        </w:tc>
        <w:tc>
          <w:tcPr>
            <w:tcW w:w="992"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1995</w:t>
            </w:r>
          </w:p>
        </w:tc>
        <w:tc>
          <w:tcPr>
            <w:tcW w:w="992"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1996</w:t>
            </w:r>
          </w:p>
        </w:tc>
        <w:tc>
          <w:tcPr>
            <w:tcW w:w="993" w:type="dxa"/>
          </w:tcPr>
          <w:p w:rsidR="00AF3BBF" w:rsidRDefault="00AF3BBF">
            <w:pPr>
              <w:ind w:right="-23"/>
              <w:jc w:val="center"/>
              <w:rPr>
                <w:snapToGrid w:val="0"/>
                <w:lang w:val="uk-UA"/>
              </w:rPr>
            </w:pPr>
          </w:p>
          <w:p w:rsidR="00AF3BBF" w:rsidRDefault="00072A82">
            <w:pPr>
              <w:ind w:right="-23"/>
              <w:jc w:val="center"/>
              <w:rPr>
                <w:snapToGrid w:val="0"/>
                <w:lang w:val="uk-UA"/>
              </w:rPr>
            </w:pPr>
            <w:r>
              <w:rPr>
                <w:snapToGrid w:val="0"/>
                <w:lang w:val="uk-UA"/>
              </w:rPr>
              <w:t>1997</w:t>
            </w:r>
          </w:p>
        </w:tc>
        <w:tc>
          <w:tcPr>
            <w:tcW w:w="1984" w:type="dxa"/>
          </w:tcPr>
          <w:p w:rsidR="00AF3BBF" w:rsidRDefault="00072A82">
            <w:pPr>
              <w:ind w:right="-23"/>
              <w:jc w:val="center"/>
              <w:rPr>
                <w:snapToGrid w:val="0"/>
                <w:lang w:val="uk-UA"/>
              </w:rPr>
            </w:pPr>
            <w:r>
              <w:rPr>
                <w:snapToGrid w:val="0"/>
                <w:lang w:val="uk-UA"/>
              </w:rPr>
              <w:t>Зміни чисельності у 1992-1997рр.</w:t>
            </w:r>
          </w:p>
        </w:tc>
      </w:tr>
      <w:tr w:rsidR="00AF3BBF">
        <w:trPr>
          <w:trHeight w:val="346"/>
        </w:trPr>
        <w:tc>
          <w:tcPr>
            <w:tcW w:w="1559" w:type="dxa"/>
          </w:tcPr>
          <w:p w:rsidR="00AF3BBF" w:rsidRDefault="00072A82">
            <w:pPr>
              <w:pStyle w:val="5"/>
            </w:pPr>
            <w:r>
              <w:t>Всього</w:t>
            </w:r>
          </w:p>
        </w:tc>
        <w:tc>
          <w:tcPr>
            <w:tcW w:w="851" w:type="dxa"/>
          </w:tcPr>
          <w:p w:rsidR="00AF3BBF" w:rsidRDefault="00072A82">
            <w:pPr>
              <w:ind w:right="-23"/>
              <w:jc w:val="center"/>
              <w:rPr>
                <w:snapToGrid w:val="0"/>
                <w:spacing w:val="-20"/>
                <w:lang w:val="uk-UA"/>
              </w:rPr>
            </w:pPr>
            <w:r>
              <w:rPr>
                <w:snapToGrid w:val="0"/>
                <w:spacing w:val="-20"/>
                <w:lang w:val="uk-UA"/>
              </w:rPr>
              <w:t>18122</w:t>
            </w:r>
          </w:p>
        </w:tc>
        <w:tc>
          <w:tcPr>
            <w:tcW w:w="850" w:type="dxa"/>
          </w:tcPr>
          <w:p w:rsidR="00AF3BBF" w:rsidRDefault="00072A82">
            <w:pPr>
              <w:ind w:right="-23"/>
              <w:jc w:val="center"/>
              <w:rPr>
                <w:snapToGrid w:val="0"/>
                <w:spacing w:val="-20"/>
                <w:lang w:val="uk-UA"/>
              </w:rPr>
            </w:pPr>
            <w:r>
              <w:rPr>
                <w:snapToGrid w:val="0"/>
                <w:spacing w:val="-20"/>
                <w:lang w:val="uk-UA"/>
              </w:rPr>
              <w:t>17300,3</w:t>
            </w:r>
          </w:p>
        </w:tc>
        <w:tc>
          <w:tcPr>
            <w:tcW w:w="851" w:type="dxa"/>
          </w:tcPr>
          <w:p w:rsidR="00AF3BBF" w:rsidRDefault="00072A82">
            <w:pPr>
              <w:ind w:right="-23"/>
              <w:jc w:val="center"/>
              <w:rPr>
                <w:snapToGrid w:val="0"/>
                <w:spacing w:val="-20"/>
                <w:lang w:val="uk-UA"/>
              </w:rPr>
            </w:pPr>
            <w:r>
              <w:rPr>
                <w:snapToGrid w:val="0"/>
                <w:spacing w:val="-20"/>
                <w:lang w:val="uk-UA"/>
              </w:rPr>
              <w:t>16206,5</w:t>
            </w:r>
          </w:p>
        </w:tc>
        <w:tc>
          <w:tcPr>
            <w:tcW w:w="992" w:type="dxa"/>
          </w:tcPr>
          <w:p w:rsidR="00AF3BBF" w:rsidRDefault="00072A82">
            <w:pPr>
              <w:ind w:right="-23"/>
              <w:jc w:val="center"/>
              <w:rPr>
                <w:snapToGrid w:val="0"/>
                <w:spacing w:val="-20"/>
                <w:lang w:val="uk-UA"/>
              </w:rPr>
            </w:pPr>
            <w:r>
              <w:rPr>
                <w:snapToGrid w:val="0"/>
                <w:spacing w:val="-20"/>
                <w:lang w:val="uk-UA"/>
              </w:rPr>
              <w:t>15361,2</w:t>
            </w:r>
          </w:p>
        </w:tc>
        <w:tc>
          <w:tcPr>
            <w:tcW w:w="992" w:type="dxa"/>
          </w:tcPr>
          <w:p w:rsidR="00AF3BBF" w:rsidRDefault="00072A82">
            <w:pPr>
              <w:ind w:right="-23"/>
              <w:jc w:val="center"/>
              <w:rPr>
                <w:snapToGrid w:val="0"/>
                <w:spacing w:val="-20"/>
                <w:lang w:val="uk-UA"/>
              </w:rPr>
            </w:pPr>
            <w:r>
              <w:rPr>
                <w:snapToGrid w:val="0"/>
                <w:spacing w:val="-20"/>
                <w:lang w:val="uk-UA"/>
              </w:rPr>
              <w:t>14242,4</w:t>
            </w:r>
          </w:p>
        </w:tc>
        <w:tc>
          <w:tcPr>
            <w:tcW w:w="993" w:type="dxa"/>
          </w:tcPr>
          <w:p w:rsidR="00AF3BBF" w:rsidRDefault="00072A82">
            <w:pPr>
              <w:ind w:right="-23"/>
              <w:jc w:val="center"/>
              <w:rPr>
                <w:snapToGrid w:val="0"/>
                <w:spacing w:val="-20"/>
                <w:lang w:val="uk-UA"/>
              </w:rPr>
            </w:pPr>
            <w:r>
              <w:rPr>
                <w:snapToGrid w:val="0"/>
                <w:spacing w:val="-20"/>
                <w:lang w:val="uk-UA"/>
              </w:rPr>
              <w:t>13099,1</w:t>
            </w:r>
          </w:p>
        </w:tc>
        <w:tc>
          <w:tcPr>
            <w:tcW w:w="1984" w:type="dxa"/>
          </w:tcPr>
          <w:p w:rsidR="00AF3BBF" w:rsidRDefault="00072A82">
            <w:pPr>
              <w:ind w:right="-23"/>
              <w:jc w:val="center"/>
              <w:rPr>
                <w:snapToGrid w:val="0"/>
                <w:lang w:val="uk-UA"/>
              </w:rPr>
            </w:pPr>
            <w:r>
              <w:rPr>
                <w:snapToGrid w:val="0"/>
                <w:lang w:val="uk-UA"/>
              </w:rPr>
              <w:t>- 5022,9</w:t>
            </w:r>
          </w:p>
        </w:tc>
      </w:tr>
      <w:tr w:rsidR="00AF3BBF">
        <w:trPr>
          <w:cantSplit/>
        </w:trPr>
        <w:tc>
          <w:tcPr>
            <w:tcW w:w="9072" w:type="dxa"/>
            <w:gridSpan w:val="8"/>
            <w:vAlign w:val="center"/>
          </w:tcPr>
          <w:p w:rsidR="00AF3BBF" w:rsidRDefault="00072A82">
            <w:pPr>
              <w:ind w:right="-22"/>
              <w:jc w:val="center"/>
              <w:rPr>
                <w:snapToGrid w:val="0"/>
                <w:spacing w:val="-20"/>
                <w:lang w:val="uk-UA"/>
              </w:rPr>
            </w:pPr>
            <w:r>
              <w:rPr>
                <w:snapToGrid w:val="0"/>
                <w:spacing w:val="-20"/>
                <w:lang w:val="uk-UA"/>
              </w:rPr>
              <w:t xml:space="preserve">в тому числі у підприємствах різних форм власності </w:t>
            </w:r>
          </w:p>
        </w:tc>
      </w:tr>
      <w:tr w:rsidR="00AF3BBF">
        <w:trPr>
          <w:cantSplit/>
        </w:trPr>
        <w:tc>
          <w:tcPr>
            <w:tcW w:w="1559" w:type="dxa"/>
          </w:tcPr>
          <w:p w:rsidR="00AF3BBF" w:rsidRDefault="00072A82">
            <w:pPr>
              <w:pStyle w:val="4"/>
              <w:ind w:left="121" w:hanging="121"/>
              <w:rPr>
                <w:b w:val="0"/>
              </w:rPr>
            </w:pPr>
            <w:r>
              <w:rPr>
                <w:b w:val="0"/>
              </w:rPr>
              <w:t>Приватної</w:t>
            </w:r>
          </w:p>
        </w:tc>
        <w:tc>
          <w:tcPr>
            <w:tcW w:w="851" w:type="dxa"/>
          </w:tcPr>
          <w:p w:rsidR="00AF3BBF" w:rsidRDefault="00072A82">
            <w:pPr>
              <w:ind w:right="-22"/>
              <w:jc w:val="center"/>
              <w:rPr>
                <w:snapToGrid w:val="0"/>
                <w:spacing w:val="-20"/>
                <w:lang w:val="uk-UA"/>
              </w:rPr>
            </w:pPr>
            <w:r>
              <w:rPr>
                <w:snapToGrid w:val="0"/>
                <w:spacing w:val="-20"/>
                <w:lang w:val="uk-UA"/>
              </w:rPr>
              <w:t>–</w:t>
            </w:r>
          </w:p>
        </w:tc>
        <w:tc>
          <w:tcPr>
            <w:tcW w:w="850" w:type="dxa"/>
          </w:tcPr>
          <w:p w:rsidR="00AF3BBF" w:rsidRDefault="00072A82">
            <w:pPr>
              <w:ind w:right="-22"/>
              <w:jc w:val="center"/>
              <w:rPr>
                <w:snapToGrid w:val="0"/>
                <w:spacing w:val="-20"/>
                <w:lang w:val="uk-UA"/>
              </w:rPr>
            </w:pPr>
            <w:r>
              <w:rPr>
                <w:snapToGrid w:val="0"/>
                <w:spacing w:val="-20"/>
                <w:lang w:val="uk-UA"/>
              </w:rPr>
              <w:t>–</w:t>
            </w:r>
          </w:p>
        </w:tc>
        <w:tc>
          <w:tcPr>
            <w:tcW w:w="851" w:type="dxa"/>
          </w:tcPr>
          <w:p w:rsidR="00AF3BBF" w:rsidRDefault="00072A82">
            <w:pPr>
              <w:ind w:right="-22"/>
              <w:jc w:val="center"/>
              <w:rPr>
                <w:snapToGrid w:val="0"/>
                <w:spacing w:val="-20"/>
                <w:lang w:val="uk-UA"/>
              </w:rPr>
            </w:pPr>
            <w:r>
              <w:rPr>
                <w:snapToGrid w:val="0"/>
                <w:spacing w:val="-20"/>
                <w:lang w:val="uk-UA"/>
              </w:rPr>
              <w:t>20,4</w:t>
            </w:r>
          </w:p>
        </w:tc>
        <w:tc>
          <w:tcPr>
            <w:tcW w:w="992" w:type="dxa"/>
          </w:tcPr>
          <w:p w:rsidR="00AF3BBF" w:rsidRDefault="00072A82">
            <w:pPr>
              <w:ind w:right="-22"/>
              <w:jc w:val="center"/>
              <w:rPr>
                <w:snapToGrid w:val="0"/>
                <w:spacing w:val="-20"/>
                <w:lang w:val="uk-UA"/>
              </w:rPr>
            </w:pPr>
            <w:r>
              <w:rPr>
                <w:snapToGrid w:val="0"/>
                <w:spacing w:val="-20"/>
                <w:lang w:val="uk-UA"/>
              </w:rPr>
              <w:t>34,2</w:t>
            </w:r>
          </w:p>
        </w:tc>
        <w:tc>
          <w:tcPr>
            <w:tcW w:w="992" w:type="dxa"/>
          </w:tcPr>
          <w:p w:rsidR="00AF3BBF" w:rsidRDefault="00072A82">
            <w:pPr>
              <w:ind w:right="-22"/>
              <w:jc w:val="center"/>
              <w:rPr>
                <w:snapToGrid w:val="0"/>
                <w:spacing w:val="-20"/>
                <w:lang w:val="uk-UA"/>
              </w:rPr>
            </w:pPr>
            <w:r>
              <w:rPr>
                <w:snapToGrid w:val="0"/>
                <w:spacing w:val="-20"/>
                <w:lang w:val="uk-UA"/>
              </w:rPr>
              <w:t>29,8</w:t>
            </w:r>
          </w:p>
        </w:tc>
        <w:tc>
          <w:tcPr>
            <w:tcW w:w="993" w:type="dxa"/>
          </w:tcPr>
          <w:p w:rsidR="00AF3BBF" w:rsidRDefault="00072A82">
            <w:pPr>
              <w:ind w:right="-22"/>
              <w:jc w:val="center"/>
              <w:rPr>
                <w:snapToGrid w:val="0"/>
                <w:spacing w:val="-20"/>
                <w:lang w:val="uk-UA"/>
              </w:rPr>
            </w:pPr>
            <w:r>
              <w:rPr>
                <w:snapToGrid w:val="0"/>
                <w:spacing w:val="-20"/>
                <w:lang w:val="uk-UA"/>
              </w:rPr>
              <w:t>28,0</w:t>
            </w:r>
          </w:p>
        </w:tc>
        <w:tc>
          <w:tcPr>
            <w:tcW w:w="1984" w:type="dxa"/>
          </w:tcPr>
          <w:p w:rsidR="00AF3BBF" w:rsidRDefault="00072A82">
            <w:pPr>
              <w:ind w:right="-22"/>
              <w:jc w:val="center"/>
              <w:rPr>
                <w:snapToGrid w:val="0"/>
                <w:spacing w:val="-20"/>
                <w:lang w:val="uk-UA"/>
              </w:rPr>
            </w:pPr>
            <w:r>
              <w:rPr>
                <w:snapToGrid w:val="0"/>
                <w:spacing w:val="-20"/>
                <w:lang w:val="uk-UA"/>
              </w:rPr>
              <w:t>+28,0</w:t>
            </w:r>
          </w:p>
        </w:tc>
      </w:tr>
      <w:tr w:rsidR="00AF3BBF">
        <w:trPr>
          <w:cantSplit/>
        </w:trPr>
        <w:tc>
          <w:tcPr>
            <w:tcW w:w="1559" w:type="dxa"/>
          </w:tcPr>
          <w:p w:rsidR="00AF3BBF" w:rsidRDefault="00072A82">
            <w:pPr>
              <w:ind w:right="-22"/>
              <w:jc w:val="center"/>
              <w:rPr>
                <w:snapToGrid w:val="0"/>
                <w:lang w:val="uk-UA"/>
              </w:rPr>
            </w:pPr>
            <w:r>
              <w:rPr>
                <w:snapToGrid w:val="0"/>
                <w:lang w:val="uk-UA"/>
              </w:rPr>
              <w:t>Колективної</w:t>
            </w:r>
          </w:p>
        </w:tc>
        <w:tc>
          <w:tcPr>
            <w:tcW w:w="851" w:type="dxa"/>
          </w:tcPr>
          <w:p w:rsidR="00AF3BBF" w:rsidRDefault="00072A82">
            <w:pPr>
              <w:ind w:right="-22"/>
              <w:jc w:val="center"/>
              <w:rPr>
                <w:snapToGrid w:val="0"/>
                <w:spacing w:val="-20"/>
                <w:lang w:val="uk-UA"/>
              </w:rPr>
            </w:pPr>
            <w:r>
              <w:rPr>
                <w:snapToGrid w:val="0"/>
                <w:spacing w:val="-20"/>
                <w:lang w:val="uk-UA"/>
              </w:rPr>
              <w:t>3082,7</w:t>
            </w:r>
          </w:p>
        </w:tc>
        <w:tc>
          <w:tcPr>
            <w:tcW w:w="850" w:type="dxa"/>
          </w:tcPr>
          <w:p w:rsidR="00AF3BBF" w:rsidRDefault="00072A82">
            <w:pPr>
              <w:ind w:right="-22"/>
              <w:jc w:val="center"/>
              <w:rPr>
                <w:snapToGrid w:val="0"/>
                <w:spacing w:val="-20"/>
                <w:lang w:val="uk-UA"/>
              </w:rPr>
            </w:pPr>
            <w:r>
              <w:rPr>
                <w:snapToGrid w:val="0"/>
                <w:spacing w:val="-20"/>
                <w:lang w:val="uk-UA"/>
              </w:rPr>
              <w:t>3386,0</w:t>
            </w:r>
          </w:p>
        </w:tc>
        <w:tc>
          <w:tcPr>
            <w:tcW w:w="851" w:type="dxa"/>
          </w:tcPr>
          <w:p w:rsidR="00AF3BBF" w:rsidRDefault="00072A82">
            <w:pPr>
              <w:ind w:right="-22"/>
              <w:jc w:val="center"/>
              <w:rPr>
                <w:snapToGrid w:val="0"/>
                <w:spacing w:val="-20"/>
                <w:lang w:val="uk-UA"/>
              </w:rPr>
            </w:pPr>
            <w:r>
              <w:rPr>
                <w:snapToGrid w:val="0"/>
                <w:spacing w:val="-20"/>
                <w:lang w:val="uk-UA"/>
              </w:rPr>
              <w:t>3938,5</w:t>
            </w:r>
          </w:p>
        </w:tc>
        <w:tc>
          <w:tcPr>
            <w:tcW w:w="992" w:type="dxa"/>
          </w:tcPr>
          <w:p w:rsidR="00AF3BBF" w:rsidRDefault="00072A82">
            <w:pPr>
              <w:ind w:right="-22"/>
              <w:jc w:val="center"/>
              <w:rPr>
                <w:snapToGrid w:val="0"/>
                <w:spacing w:val="-20"/>
                <w:lang w:val="uk-UA"/>
              </w:rPr>
            </w:pPr>
            <w:r>
              <w:rPr>
                <w:snapToGrid w:val="0"/>
                <w:spacing w:val="-20"/>
                <w:lang w:val="uk-UA"/>
              </w:rPr>
              <w:t>4530,1</w:t>
            </w:r>
          </w:p>
        </w:tc>
        <w:tc>
          <w:tcPr>
            <w:tcW w:w="992" w:type="dxa"/>
          </w:tcPr>
          <w:p w:rsidR="00AF3BBF" w:rsidRDefault="00072A82">
            <w:pPr>
              <w:ind w:right="-22"/>
              <w:jc w:val="center"/>
              <w:rPr>
                <w:snapToGrid w:val="0"/>
                <w:spacing w:val="-20"/>
                <w:lang w:val="uk-UA"/>
              </w:rPr>
            </w:pPr>
            <w:r>
              <w:rPr>
                <w:snapToGrid w:val="0"/>
                <w:spacing w:val="-20"/>
                <w:lang w:val="uk-UA"/>
              </w:rPr>
              <w:t>5256,4</w:t>
            </w:r>
          </w:p>
        </w:tc>
        <w:tc>
          <w:tcPr>
            <w:tcW w:w="993" w:type="dxa"/>
          </w:tcPr>
          <w:p w:rsidR="00AF3BBF" w:rsidRDefault="00072A82">
            <w:pPr>
              <w:ind w:right="-22"/>
              <w:jc w:val="center"/>
              <w:rPr>
                <w:snapToGrid w:val="0"/>
                <w:spacing w:val="-20"/>
                <w:lang w:val="uk-UA"/>
              </w:rPr>
            </w:pPr>
            <w:r>
              <w:rPr>
                <w:snapToGrid w:val="0"/>
                <w:spacing w:val="-20"/>
                <w:lang w:val="uk-UA"/>
              </w:rPr>
              <w:t>5126,1</w:t>
            </w:r>
          </w:p>
        </w:tc>
        <w:tc>
          <w:tcPr>
            <w:tcW w:w="1984" w:type="dxa"/>
          </w:tcPr>
          <w:p w:rsidR="00AF3BBF" w:rsidRDefault="00072A82">
            <w:pPr>
              <w:ind w:right="-22"/>
              <w:jc w:val="center"/>
              <w:rPr>
                <w:snapToGrid w:val="0"/>
                <w:spacing w:val="-20"/>
                <w:lang w:val="uk-UA"/>
              </w:rPr>
            </w:pPr>
            <w:r>
              <w:rPr>
                <w:snapToGrid w:val="0"/>
                <w:spacing w:val="-20"/>
                <w:lang w:val="uk-UA"/>
              </w:rPr>
              <w:t>+2043,4</w:t>
            </w:r>
          </w:p>
        </w:tc>
      </w:tr>
      <w:tr w:rsidR="00AF3BBF">
        <w:trPr>
          <w:cantSplit/>
        </w:trPr>
        <w:tc>
          <w:tcPr>
            <w:tcW w:w="1559" w:type="dxa"/>
          </w:tcPr>
          <w:p w:rsidR="00AF3BBF" w:rsidRDefault="00072A82">
            <w:pPr>
              <w:ind w:right="-22"/>
              <w:jc w:val="center"/>
              <w:rPr>
                <w:snapToGrid w:val="0"/>
                <w:lang w:val="uk-UA"/>
              </w:rPr>
            </w:pPr>
            <w:r>
              <w:rPr>
                <w:snapToGrid w:val="0"/>
                <w:lang w:val="uk-UA"/>
              </w:rPr>
              <w:t>Державної</w:t>
            </w:r>
          </w:p>
        </w:tc>
        <w:tc>
          <w:tcPr>
            <w:tcW w:w="851" w:type="dxa"/>
          </w:tcPr>
          <w:p w:rsidR="00AF3BBF" w:rsidRDefault="00072A82">
            <w:pPr>
              <w:ind w:right="-22"/>
              <w:jc w:val="center"/>
              <w:rPr>
                <w:snapToGrid w:val="0"/>
                <w:spacing w:val="-20"/>
                <w:lang w:val="uk-UA"/>
              </w:rPr>
            </w:pPr>
            <w:r>
              <w:rPr>
                <w:snapToGrid w:val="0"/>
                <w:spacing w:val="-20"/>
                <w:lang w:val="uk-UA"/>
              </w:rPr>
              <w:t>15027,4</w:t>
            </w:r>
          </w:p>
        </w:tc>
        <w:tc>
          <w:tcPr>
            <w:tcW w:w="850" w:type="dxa"/>
          </w:tcPr>
          <w:p w:rsidR="00AF3BBF" w:rsidRDefault="00072A82">
            <w:pPr>
              <w:ind w:right="-22"/>
              <w:jc w:val="center"/>
              <w:rPr>
                <w:snapToGrid w:val="0"/>
                <w:spacing w:val="-20"/>
                <w:lang w:val="uk-UA"/>
              </w:rPr>
            </w:pPr>
            <w:r>
              <w:rPr>
                <w:snapToGrid w:val="0"/>
                <w:spacing w:val="-20"/>
                <w:lang w:val="uk-UA"/>
              </w:rPr>
              <w:t>13902,3</w:t>
            </w:r>
          </w:p>
        </w:tc>
        <w:tc>
          <w:tcPr>
            <w:tcW w:w="851" w:type="dxa"/>
          </w:tcPr>
          <w:p w:rsidR="00AF3BBF" w:rsidRDefault="00072A82">
            <w:pPr>
              <w:ind w:right="-22"/>
              <w:jc w:val="center"/>
              <w:rPr>
                <w:snapToGrid w:val="0"/>
                <w:spacing w:val="-20"/>
                <w:lang w:val="uk-UA"/>
              </w:rPr>
            </w:pPr>
            <w:r>
              <w:rPr>
                <w:snapToGrid w:val="0"/>
                <w:spacing w:val="-20"/>
                <w:lang w:val="uk-UA"/>
              </w:rPr>
              <w:t>12235,7</w:t>
            </w:r>
          </w:p>
        </w:tc>
        <w:tc>
          <w:tcPr>
            <w:tcW w:w="992" w:type="dxa"/>
          </w:tcPr>
          <w:p w:rsidR="00AF3BBF" w:rsidRDefault="00072A82">
            <w:pPr>
              <w:ind w:right="-22"/>
              <w:jc w:val="center"/>
              <w:rPr>
                <w:snapToGrid w:val="0"/>
                <w:spacing w:val="-20"/>
                <w:lang w:val="uk-UA"/>
              </w:rPr>
            </w:pPr>
            <w:r>
              <w:rPr>
                <w:snapToGrid w:val="0"/>
                <w:spacing w:val="-20"/>
                <w:lang w:val="uk-UA"/>
              </w:rPr>
              <w:t>10785,9</w:t>
            </w:r>
          </w:p>
        </w:tc>
        <w:tc>
          <w:tcPr>
            <w:tcW w:w="992" w:type="dxa"/>
          </w:tcPr>
          <w:p w:rsidR="00AF3BBF" w:rsidRDefault="00072A82">
            <w:pPr>
              <w:ind w:right="-22"/>
              <w:jc w:val="center"/>
              <w:rPr>
                <w:snapToGrid w:val="0"/>
                <w:spacing w:val="-20"/>
                <w:lang w:val="uk-UA"/>
              </w:rPr>
            </w:pPr>
            <w:r>
              <w:rPr>
                <w:snapToGrid w:val="0"/>
                <w:spacing w:val="-20"/>
                <w:lang w:val="uk-UA"/>
              </w:rPr>
              <w:t>8944,1</w:t>
            </w:r>
          </w:p>
        </w:tc>
        <w:tc>
          <w:tcPr>
            <w:tcW w:w="993" w:type="dxa"/>
          </w:tcPr>
          <w:p w:rsidR="00AF3BBF" w:rsidRDefault="00072A82">
            <w:pPr>
              <w:ind w:right="-22"/>
              <w:jc w:val="center"/>
              <w:rPr>
                <w:snapToGrid w:val="0"/>
                <w:spacing w:val="-20"/>
                <w:lang w:val="uk-UA"/>
              </w:rPr>
            </w:pPr>
            <w:r>
              <w:rPr>
                <w:snapToGrid w:val="0"/>
                <w:spacing w:val="-20"/>
                <w:lang w:val="uk-UA"/>
              </w:rPr>
              <w:t>7934,1</w:t>
            </w:r>
          </w:p>
        </w:tc>
        <w:tc>
          <w:tcPr>
            <w:tcW w:w="1984" w:type="dxa"/>
          </w:tcPr>
          <w:p w:rsidR="00AF3BBF" w:rsidRDefault="00072A82">
            <w:pPr>
              <w:ind w:right="-22"/>
              <w:jc w:val="center"/>
              <w:rPr>
                <w:snapToGrid w:val="0"/>
                <w:spacing w:val="-20"/>
                <w:lang w:val="uk-UA"/>
              </w:rPr>
            </w:pPr>
            <w:r>
              <w:rPr>
                <w:snapToGrid w:val="0"/>
                <w:spacing w:val="-20"/>
                <w:lang w:val="uk-UA"/>
              </w:rPr>
              <w:t>-7093,3</w:t>
            </w:r>
          </w:p>
        </w:tc>
      </w:tr>
    </w:tbl>
    <w:p w:rsidR="00AF3BBF" w:rsidRDefault="00AF3BBF">
      <w:pPr>
        <w:ind w:right="-22"/>
        <w:jc w:val="center"/>
        <w:rPr>
          <w:snapToGrid w:val="0"/>
          <w:lang w:val="uk-UA"/>
        </w:rPr>
      </w:pPr>
    </w:p>
    <w:p w:rsidR="00AF3BBF" w:rsidRDefault="00072A82">
      <w:pPr>
        <w:pStyle w:val="31"/>
        <w:ind w:firstLine="709"/>
      </w:pPr>
      <w:r>
        <w:t xml:space="preserve"> * Розраховано за даними Держкомстату України.</w:t>
      </w:r>
    </w:p>
    <w:p w:rsidR="00AF3BBF" w:rsidRDefault="00AF3BBF">
      <w:pPr>
        <w:pStyle w:val="31"/>
        <w:ind w:left="360"/>
      </w:pPr>
    </w:p>
    <w:p w:rsidR="00AF3BBF" w:rsidRDefault="00072A82">
      <w:pPr>
        <w:pStyle w:val="20"/>
        <w:ind w:firstLine="709"/>
        <w:rPr>
          <w:sz w:val="24"/>
        </w:rPr>
      </w:pPr>
      <w:r>
        <w:rPr>
          <w:sz w:val="24"/>
        </w:rPr>
        <w:t>Наведені у таблиці дані свідчать, що виникнення альтернативних форм власності і формування різних сегментів зайнятості на ринку праці не підкріплено обґрунтованою диференціацією доходів, не стимулює переходу працівників до ринкових форм організації праці.</w:t>
      </w:r>
    </w:p>
    <w:p w:rsidR="00AF3BBF" w:rsidRDefault="00072A82">
      <w:pPr>
        <w:ind w:right="-22" w:firstLine="709"/>
        <w:jc w:val="both"/>
        <w:rPr>
          <w:snapToGrid w:val="0"/>
          <w:lang w:val="uk-UA"/>
        </w:rPr>
      </w:pPr>
      <w:r>
        <w:rPr>
          <w:snapToGrid w:val="0"/>
          <w:lang w:val="uk-UA"/>
        </w:rPr>
        <w:t>Хвилеподібне формування підприємницького сектора в сучасній національній економіці обмежується не тільки інвестиційною кризою, податковою політикою, а й відсутністю гарантованих форм оплати праці. Тому його розвиток сьогодні пов’язаний в основному з індивідуальною діяльністю у торгово-посередницьких операціях і не має стимулів до переходу у виробничі галузі.</w:t>
      </w:r>
    </w:p>
    <w:p w:rsidR="00AF3BBF" w:rsidRDefault="00072A82">
      <w:pPr>
        <w:ind w:right="-22" w:firstLine="720"/>
        <w:jc w:val="both"/>
        <w:rPr>
          <w:snapToGrid w:val="0"/>
          <w:lang w:val="uk-UA"/>
        </w:rPr>
      </w:pPr>
      <w:r>
        <w:rPr>
          <w:snapToGrid w:val="0"/>
          <w:lang w:val="uk-UA"/>
        </w:rPr>
        <w:t>Особливим економічним тягярем, на нашу думку, є офіційне і неофіційне безробіття, яке за різними оцінками охоплює від  ¼  до ½ зайнятих в галузях економіки. Його існування призводить не тільки до відомих економічних втрат, але й до втрат трудових цінностей, створюючи передумови зацікавленості у трудовій діяльності в сфері неофіційної економіки.</w:t>
      </w:r>
    </w:p>
    <w:p w:rsidR="00AF3BBF" w:rsidRDefault="00072A82">
      <w:pPr>
        <w:ind w:right="-22" w:firstLine="720"/>
        <w:jc w:val="both"/>
        <w:rPr>
          <w:snapToGrid w:val="0"/>
          <w:lang w:val="uk-UA"/>
        </w:rPr>
      </w:pPr>
      <w:r>
        <w:rPr>
          <w:snapToGrid w:val="0"/>
          <w:lang w:val="uk-UA"/>
        </w:rPr>
        <w:t>Розгляд економічного взаємозв’язку оплати праці і ринку праці показує, що статус зайнятого в офіційній економіці сьогодні є невизначеним, прояв економічних стимулів оплати праці носить явно регресивний характер.</w:t>
      </w:r>
    </w:p>
    <w:p w:rsidR="00AF3BBF" w:rsidRDefault="00072A82">
      <w:pPr>
        <w:ind w:right="-22" w:firstLine="720"/>
        <w:jc w:val="both"/>
        <w:rPr>
          <w:snapToGrid w:val="0"/>
          <w:lang w:val="uk-UA"/>
        </w:rPr>
      </w:pPr>
      <w:r>
        <w:rPr>
          <w:snapToGrid w:val="0"/>
          <w:lang w:val="uk-UA"/>
        </w:rPr>
        <w:t>Формування системи оплати праці вимагає переходу до ринкових форм, систем і стимулів, нової організації і умов праці. Цей процес потребує широкої конструктивної державної підтримки і цілеспрямованих зусиль державних економічних інститутів.</w:t>
      </w:r>
    </w:p>
    <w:p w:rsidR="00AF3BBF" w:rsidRDefault="00AF3BBF">
      <w:pPr>
        <w:ind w:right="-22"/>
        <w:jc w:val="center"/>
        <w:rPr>
          <w:snapToGrid w:val="0"/>
          <w:lang w:val="uk-UA"/>
        </w:rPr>
      </w:pPr>
    </w:p>
    <w:p w:rsidR="00AF3BBF" w:rsidRDefault="00072A82">
      <w:pPr>
        <w:ind w:right="-22"/>
        <w:jc w:val="center"/>
        <w:rPr>
          <w:i/>
          <w:snapToGrid w:val="0"/>
          <w:lang w:val="uk-UA"/>
        </w:rPr>
      </w:pPr>
      <w:r>
        <w:rPr>
          <w:i/>
          <w:snapToGrid w:val="0"/>
          <w:lang w:val="uk-UA"/>
        </w:rPr>
        <w:t>*     *     *</w:t>
      </w:r>
    </w:p>
    <w:p w:rsidR="00AF3BBF" w:rsidRDefault="00072A82">
      <w:pPr>
        <w:ind w:firstLine="720"/>
        <w:jc w:val="both"/>
        <w:rPr>
          <w:i/>
          <w:sz w:val="22"/>
          <w:lang w:val="uk-UA"/>
        </w:rPr>
      </w:pPr>
      <w:r>
        <w:rPr>
          <w:i/>
          <w:sz w:val="22"/>
          <w:lang w:val="uk-UA"/>
        </w:rPr>
        <w:t>У статті досліджуються проблеми формування системи оплати праці, яка пов</w:t>
      </w:r>
      <w:r>
        <w:rPr>
          <w:i/>
          <w:sz w:val="22"/>
        </w:rPr>
        <w:t>’</w:t>
      </w:r>
      <w:r>
        <w:rPr>
          <w:i/>
          <w:sz w:val="22"/>
          <w:lang w:val="uk-UA"/>
        </w:rPr>
        <w:t>язана із особливостями структури ринку праці. У сучасних ринкових умовах така залежність гальмує піднесення ефективності економіки, звужує можливості стимулювання праці.</w:t>
      </w:r>
    </w:p>
    <w:p w:rsidR="00AF3BBF" w:rsidRDefault="00AF3BBF">
      <w:pPr>
        <w:pStyle w:val="9"/>
        <w:rPr>
          <w:sz w:val="24"/>
          <w:lang w:val="uk-UA"/>
        </w:rPr>
      </w:pPr>
    </w:p>
    <w:p w:rsidR="00AF3BBF" w:rsidRDefault="00072A82">
      <w:pPr>
        <w:pStyle w:val="9"/>
        <w:ind w:firstLine="720"/>
        <w:jc w:val="both"/>
        <w:rPr>
          <w:i/>
          <w:sz w:val="22"/>
        </w:rPr>
      </w:pPr>
      <w:r>
        <w:rPr>
          <w:i/>
          <w:sz w:val="22"/>
        </w:rPr>
        <w:t>Problems of the system of</w:t>
      </w:r>
      <w:r>
        <w:rPr>
          <w:i/>
          <w:sz w:val="22"/>
          <w:lang w:val="uk-UA"/>
        </w:rPr>
        <w:t xml:space="preserve"> </w:t>
      </w:r>
      <w:r>
        <w:rPr>
          <w:i/>
          <w:sz w:val="22"/>
        </w:rPr>
        <w:t>formation of the payment for labour, which is connected with the peculiarities of labour market structure are investigated in this article. It is also stressed the influence of such addiction on market. It became a drag on growth of the economic effectiveness, made possibilities of the labour stimulation narrower.</w:t>
      </w:r>
    </w:p>
    <w:p w:rsidR="00AF3BBF" w:rsidRDefault="00AF3BBF">
      <w:pPr>
        <w:rPr>
          <w:lang w:val="en-US"/>
        </w:rPr>
      </w:pPr>
      <w:bookmarkStart w:id="0" w:name="_GoBack"/>
      <w:bookmarkEnd w:id="0"/>
    </w:p>
    <w:sectPr w:rsidR="00AF3B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0310FB"/>
    <w:multiLevelType w:val="multilevel"/>
    <w:tmpl w:val="5A504CA0"/>
    <w:lvl w:ilvl="0">
      <w:start w:val="1"/>
      <w:numFmt w:val="decimal"/>
      <w:lvlText w:val="%1)"/>
      <w:lvlJc w:val="left"/>
      <w:pPr>
        <w:tabs>
          <w:tab w:val="num" w:pos="1770"/>
        </w:tabs>
        <w:ind w:left="1770" w:hanging="360"/>
      </w:pPr>
      <w:rPr>
        <w:rFonts w:hint="default"/>
      </w:rPr>
    </w:lvl>
    <w:lvl w:ilvl="1" w:tentative="1">
      <w:start w:val="1"/>
      <w:numFmt w:val="lowerLetter"/>
      <w:lvlText w:val="%2."/>
      <w:lvlJc w:val="left"/>
      <w:pPr>
        <w:tabs>
          <w:tab w:val="num" w:pos="2850"/>
        </w:tabs>
        <w:ind w:left="2850" w:hanging="360"/>
      </w:pPr>
    </w:lvl>
    <w:lvl w:ilvl="2" w:tentative="1">
      <w:start w:val="1"/>
      <w:numFmt w:val="lowerRoman"/>
      <w:lvlText w:val="%3."/>
      <w:lvlJc w:val="right"/>
      <w:pPr>
        <w:tabs>
          <w:tab w:val="num" w:pos="3570"/>
        </w:tabs>
        <w:ind w:left="3570" w:hanging="180"/>
      </w:pPr>
    </w:lvl>
    <w:lvl w:ilvl="3" w:tentative="1">
      <w:start w:val="1"/>
      <w:numFmt w:val="decimal"/>
      <w:lvlText w:val="%4."/>
      <w:lvlJc w:val="left"/>
      <w:pPr>
        <w:tabs>
          <w:tab w:val="num" w:pos="4290"/>
        </w:tabs>
        <w:ind w:left="4290" w:hanging="360"/>
      </w:pPr>
    </w:lvl>
    <w:lvl w:ilvl="4" w:tentative="1">
      <w:start w:val="1"/>
      <w:numFmt w:val="lowerLetter"/>
      <w:lvlText w:val="%5."/>
      <w:lvlJc w:val="left"/>
      <w:pPr>
        <w:tabs>
          <w:tab w:val="num" w:pos="5010"/>
        </w:tabs>
        <w:ind w:left="5010" w:hanging="360"/>
      </w:pPr>
    </w:lvl>
    <w:lvl w:ilvl="5" w:tentative="1">
      <w:start w:val="1"/>
      <w:numFmt w:val="lowerRoman"/>
      <w:lvlText w:val="%6."/>
      <w:lvlJc w:val="right"/>
      <w:pPr>
        <w:tabs>
          <w:tab w:val="num" w:pos="5730"/>
        </w:tabs>
        <w:ind w:left="5730" w:hanging="180"/>
      </w:pPr>
    </w:lvl>
    <w:lvl w:ilvl="6" w:tentative="1">
      <w:start w:val="1"/>
      <w:numFmt w:val="decimal"/>
      <w:lvlText w:val="%7."/>
      <w:lvlJc w:val="left"/>
      <w:pPr>
        <w:tabs>
          <w:tab w:val="num" w:pos="6450"/>
        </w:tabs>
        <w:ind w:left="6450" w:hanging="360"/>
      </w:pPr>
    </w:lvl>
    <w:lvl w:ilvl="7" w:tentative="1">
      <w:start w:val="1"/>
      <w:numFmt w:val="lowerLetter"/>
      <w:lvlText w:val="%8."/>
      <w:lvlJc w:val="left"/>
      <w:pPr>
        <w:tabs>
          <w:tab w:val="num" w:pos="7170"/>
        </w:tabs>
        <w:ind w:left="7170" w:hanging="360"/>
      </w:pPr>
    </w:lvl>
    <w:lvl w:ilvl="8" w:tentative="1">
      <w:start w:val="1"/>
      <w:numFmt w:val="lowerRoman"/>
      <w:lvlText w:val="%9."/>
      <w:lvlJc w:val="right"/>
      <w:pPr>
        <w:tabs>
          <w:tab w:val="num" w:pos="7890"/>
        </w:tabs>
        <w:ind w:left="78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A82"/>
    <w:rsid w:val="00072A82"/>
    <w:rsid w:val="007224BB"/>
    <w:rsid w:val="00AF3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6D004B-44C4-4250-A7C6-0DB87682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0"/>
      <w:szCs w:val="20"/>
      <w:lang w:val="uk-UA"/>
    </w:rPr>
  </w:style>
  <w:style w:type="paragraph" w:styleId="3">
    <w:name w:val="heading 3"/>
    <w:basedOn w:val="a"/>
    <w:next w:val="a"/>
    <w:qFormat/>
    <w:pPr>
      <w:keepNext/>
      <w:outlineLvl w:val="2"/>
    </w:pPr>
    <w:rPr>
      <w:sz w:val="36"/>
      <w:szCs w:val="20"/>
    </w:rPr>
  </w:style>
  <w:style w:type="paragraph" w:styleId="4">
    <w:name w:val="heading 4"/>
    <w:basedOn w:val="a"/>
    <w:next w:val="a"/>
    <w:qFormat/>
    <w:pPr>
      <w:keepNext/>
      <w:jc w:val="center"/>
      <w:outlineLvl w:val="3"/>
    </w:pPr>
    <w:rPr>
      <w:b/>
      <w:szCs w:val="20"/>
      <w:lang w:val="uk-UA"/>
    </w:rPr>
  </w:style>
  <w:style w:type="paragraph" w:styleId="5">
    <w:name w:val="heading 5"/>
    <w:basedOn w:val="a"/>
    <w:next w:val="a"/>
    <w:qFormat/>
    <w:pPr>
      <w:keepNext/>
      <w:jc w:val="center"/>
      <w:outlineLvl w:val="4"/>
    </w:pPr>
    <w:rPr>
      <w:szCs w:val="20"/>
      <w:lang w:val="uk-UA"/>
    </w:rPr>
  </w:style>
  <w:style w:type="paragraph" w:styleId="8">
    <w:name w:val="heading 8"/>
    <w:basedOn w:val="a"/>
    <w:next w:val="a"/>
    <w:qFormat/>
    <w:pPr>
      <w:keepNext/>
      <w:spacing w:line="360" w:lineRule="auto"/>
      <w:ind w:right="-22"/>
      <w:jc w:val="center"/>
      <w:outlineLvl w:val="7"/>
    </w:pPr>
    <w:rPr>
      <w:snapToGrid w:val="0"/>
      <w:szCs w:val="20"/>
      <w:u w:val="single"/>
      <w:lang w:val="uk-UA"/>
    </w:rPr>
  </w:style>
  <w:style w:type="paragraph" w:styleId="9">
    <w:name w:val="heading 9"/>
    <w:basedOn w:val="a"/>
    <w:next w:val="a"/>
    <w:qFormat/>
    <w:pPr>
      <w:keepNext/>
      <w:ind w:firstLine="851"/>
      <w:outlineLvl w:val="8"/>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28"/>
      <w:szCs w:val="20"/>
      <w:lang w:val="uk-UA"/>
    </w:rPr>
  </w:style>
  <w:style w:type="paragraph" w:styleId="30">
    <w:name w:val="Body Text Indent 3"/>
    <w:basedOn w:val="a"/>
    <w:semiHidden/>
    <w:pPr>
      <w:autoSpaceDE w:val="0"/>
      <w:autoSpaceDN w:val="0"/>
      <w:spacing w:line="360" w:lineRule="auto"/>
      <w:ind w:left="5954"/>
      <w:jc w:val="both"/>
    </w:pPr>
    <w:rPr>
      <w:sz w:val="28"/>
      <w:szCs w:val="20"/>
      <w:lang w:val="uk-UA"/>
    </w:rPr>
  </w:style>
  <w:style w:type="paragraph" w:styleId="a4">
    <w:name w:val="Body Text Indent"/>
    <w:basedOn w:val="a"/>
    <w:semiHidden/>
    <w:pPr>
      <w:spacing w:line="360" w:lineRule="auto"/>
      <w:ind w:left="227"/>
      <w:jc w:val="center"/>
    </w:pPr>
    <w:rPr>
      <w:b/>
      <w:sz w:val="40"/>
      <w:szCs w:val="20"/>
      <w:lang w:val="uk-UA"/>
    </w:rPr>
  </w:style>
  <w:style w:type="paragraph" w:styleId="2">
    <w:name w:val="Body Text 2"/>
    <w:basedOn w:val="a"/>
    <w:semiHidden/>
    <w:pPr>
      <w:jc w:val="both"/>
    </w:pPr>
    <w:rPr>
      <w:szCs w:val="20"/>
      <w:lang w:val="uk-UA"/>
    </w:rPr>
  </w:style>
  <w:style w:type="paragraph" w:styleId="31">
    <w:name w:val="Body Text 3"/>
    <w:basedOn w:val="a"/>
    <w:semiHidden/>
    <w:pPr>
      <w:jc w:val="center"/>
    </w:pPr>
    <w:rPr>
      <w:szCs w:val="20"/>
      <w:lang w:val="uk-UA"/>
    </w:rPr>
  </w:style>
  <w:style w:type="paragraph" w:styleId="20">
    <w:name w:val="Body Text Indent 2"/>
    <w:basedOn w:val="a"/>
    <w:semiHidden/>
    <w:pPr>
      <w:ind w:firstLine="851"/>
      <w:jc w:val="both"/>
    </w:pPr>
    <w:rPr>
      <w:sz w:val="28"/>
      <w:szCs w:val="20"/>
      <w:lang w:val="uk-UA"/>
    </w:rPr>
  </w:style>
  <w:style w:type="paragraph" w:styleId="a5">
    <w:name w:val="Block Text"/>
    <w:basedOn w:val="a"/>
    <w:semiHidden/>
    <w:pPr>
      <w:widowControl w:val="0"/>
      <w:spacing w:line="260" w:lineRule="auto"/>
      <w:ind w:left="880" w:right="1600"/>
      <w:jc w:val="center"/>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Економічні зв’язки: оплата праці і ринок праці</vt:lpstr>
    </vt:vector>
  </TitlesOfParts>
  <Manager>Економіка. Банківська справа</Manager>
  <Company>Економіка. Банківська справа</Company>
  <LinksUpToDate>false</LinksUpToDate>
  <CharactersWithSpaces>6293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Економічні зв’язки: оплата праці і ринок праці</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2014-03-29T08:49:00Z</dcterms:created>
  <dcterms:modified xsi:type="dcterms:W3CDTF">2014-03-29T08:49:00Z</dcterms:modified>
  <cp:category>Економіка. Банківська справа</cp:category>
</cp:coreProperties>
</file>