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011" w:rsidRDefault="00A01829" w:rsidP="004D213E">
      <w:pPr>
        <w:spacing w:line="360" w:lineRule="auto"/>
        <w:ind w:left="-851" w:right="-427"/>
        <w:rPr>
          <w:bCs/>
          <w:sz w:val="28"/>
        </w:rPr>
      </w:pPr>
      <w:r>
        <w:rPr>
          <w:bCs/>
          <w:sz w:val="28"/>
        </w:rPr>
        <w:t xml:space="preserve">      </w:t>
      </w:r>
      <w:r w:rsidR="00BA5011">
        <w:rPr>
          <w:bCs/>
          <w:sz w:val="28"/>
        </w:rPr>
        <w:t xml:space="preserve">   Содержание                                                                                                      с.</w:t>
      </w:r>
    </w:p>
    <w:p w:rsidR="00BA5011" w:rsidRDefault="00BA5011" w:rsidP="004D213E">
      <w:pPr>
        <w:spacing w:line="360" w:lineRule="auto"/>
        <w:ind w:left="-851" w:right="-427" w:firstLine="720"/>
        <w:rPr>
          <w:bCs/>
          <w:sz w:val="28"/>
        </w:rPr>
      </w:pPr>
    </w:p>
    <w:p w:rsidR="00BA5011" w:rsidRDefault="00BA5011" w:rsidP="004D213E">
      <w:pPr>
        <w:spacing w:line="360" w:lineRule="auto"/>
        <w:ind w:left="-851" w:right="-427" w:firstLine="720"/>
        <w:rPr>
          <w:bCs/>
          <w:sz w:val="28"/>
        </w:rPr>
      </w:pPr>
      <w:r>
        <w:rPr>
          <w:bCs/>
          <w:sz w:val="28"/>
        </w:rPr>
        <w:t xml:space="preserve">Реферат                                                                             </w:t>
      </w:r>
      <w:r w:rsidR="00540ACC">
        <w:rPr>
          <w:bCs/>
          <w:sz w:val="28"/>
        </w:rPr>
        <w:t xml:space="preserve">                               5</w:t>
      </w:r>
    </w:p>
    <w:p w:rsidR="00BA5011" w:rsidRDefault="00BA5011" w:rsidP="004D213E">
      <w:pPr>
        <w:spacing w:line="360" w:lineRule="auto"/>
        <w:ind w:left="-851" w:right="-427" w:firstLine="720"/>
        <w:rPr>
          <w:bCs/>
          <w:sz w:val="28"/>
        </w:rPr>
      </w:pPr>
      <w:r>
        <w:rPr>
          <w:bCs/>
          <w:sz w:val="28"/>
        </w:rPr>
        <w:t xml:space="preserve">Перечень сокращений, условных обозначений, терминов, единиц и символов                                                                                                             </w:t>
      </w:r>
      <w:r w:rsidR="00540ACC">
        <w:rPr>
          <w:bCs/>
          <w:sz w:val="28"/>
        </w:rPr>
        <w:t xml:space="preserve">              6</w:t>
      </w:r>
    </w:p>
    <w:p w:rsidR="00BA5011" w:rsidRDefault="00BA5011" w:rsidP="004D213E">
      <w:pPr>
        <w:spacing w:line="360" w:lineRule="auto"/>
        <w:ind w:left="-851" w:right="-427" w:firstLine="720"/>
        <w:rPr>
          <w:bCs/>
          <w:sz w:val="28"/>
        </w:rPr>
      </w:pPr>
      <w:r>
        <w:rPr>
          <w:bCs/>
          <w:sz w:val="28"/>
        </w:rPr>
        <w:t xml:space="preserve">Введение                                                                           </w:t>
      </w:r>
      <w:r w:rsidR="00540ACC">
        <w:rPr>
          <w:bCs/>
          <w:sz w:val="28"/>
        </w:rPr>
        <w:t xml:space="preserve">                               7</w:t>
      </w:r>
    </w:p>
    <w:p w:rsidR="00BA5011" w:rsidRDefault="00BA5011" w:rsidP="004D213E">
      <w:pPr>
        <w:spacing w:line="360" w:lineRule="auto"/>
        <w:ind w:left="-851" w:right="-427" w:firstLine="720"/>
        <w:rPr>
          <w:sz w:val="28"/>
        </w:rPr>
      </w:pPr>
      <w:r>
        <w:rPr>
          <w:sz w:val="28"/>
        </w:rPr>
        <w:t xml:space="preserve">1 Геолого-промысловая характеристика Уренгойского газоконденсатного месторождения                                                                      </w:t>
      </w:r>
      <w:r w:rsidR="00540ACC">
        <w:rPr>
          <w:sz w:val="28"/>
        </w:rPr>
        <w:t xml:space="preserve">                               8</w:t>
      </w:r>
    </w:p>
    <w:p w:rsidR="00BA5011" w:rsidRDefault="00BA5011" w:rsidP="004D213E">
      <w:pPr>
        <w:pStyle w:val="a8"/>
        <w:numPr>
          <w:ilvl w:val="1"/>
          <w:numId w:val="12"/>
        </w:numPr>
        <w:spacing w:line="360" w:lineRule="auto"/>
        <w:ind w:left="-851" w:right="-427" w:firstLine="720"/>
      </w:pPr>
      <w:r>
        <w:t xml:space="preserve">Орогидрографическая характеристика района       </w:t>
      </w:r>
      <w:r w:rsidR="00540ACC">
        <w:t xml:space="preserve">                               8</w:t>
      </w:r>
    </w:p>
    <w:p w:rsidR="00BA5011" w:rsidRDefault="00BA5011" w:rsidP="004D213E">
      <w:pPr>
        <w:pStyle w:val="a8"/>
        <w:numPr>
          <w:ilvl w:val="1"/>
          <w:numId w:val="12"/>
        </w:numPr>
        <w:spacing w:line="360" w:lineRule="auto"/>
        <w:ind w:left="-851" w:right="-427" w:firstLine="720"/>
      </w:pPr>
      <w:r>
        <w:t>Краткая литолого-стратиграфическая х</w:t>
      </w:r>
      <w:r w:rsidR="00540ACC">
        <w:t>арактеристика раздела         11</w:t>
      </w:r>
    </w:p>
    <w:p w:rsidR="00BA5011" w:rsidRDefault="00BA5011" w:rsidP="004D213E">
      <w:pPr>
        <w:pStyle w:val="a8"/>
        <w:numPr>
          <w:ilvl w:val="1"/>
          <w:numId w:val="12"/>
        </w:numPr>
        <w:spacing w:line="360" w:lineRule="auto"/>
        <w:ind w:left="-851" w:right="-427" w:firstLine="720"/>
      </w:pPr>
      <w:r>
        <w:t xml:space="preserve">Тектоника                                                                   </w:t>
      </w:r>
      <w:r w:rsidR="00540ACC">
        <w:t xml:space="preserve">                              13</w:t>
      </w:r>
    </w:p>
    <w:p w:rsidR="00BA5011" w:rsidRDefault="00BA5011" w:rsidP="004D213E">
      <w:pPr>
        <w:pStyle w:val="a8"/>
        <w:numPr>
          <w:ilvl w:val="1"/>
          <w:numId w:val="12"/>
        </w:numPr>
        <w:spacing w:line="360" w:lineRule="auto"/>
        <w:ind w:left="-851" w:right="-427" w:firstLine="720"/>
      </w:pPr>
      <w:r>
        <w:t xml:space="preserve">Нефтегазоносность                                                    </w:t>
      </w:r>
      <w:r w:rsidR="00540ACC">
        <w:t xml:space="preserve">                              14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2 Характеристика сырья и получаемых продуктов      </w:t>
      </w:r>
      <w:r w:rsidR="00540ACC">
        <w:t xml:space="preserve">                              22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3 Анализ текущего состояния разработки газоконденсатных залежей    Уренгойского НГКМ                                                                 </w:t>
      </w:r>
      <w:r w:rsidR="00540ACC">
        <w:t xml:space="preserve">                              24</w:t>
      </w:r>
    </w:p>
    <w:p w:rsidR="00BA5011" w:rsidRDefault="00BA5011" w:rsidP="004D213E">
      <w:pPr>
        <w:pStyle w:val="a8"/>
        <w:spacing w:line="360" w:lineRule="auto"/>
        <w:ind w:left="-851" w:right="-427"/>
      </w:pPr>
      <w:r>
        <w:t>3.1 Текущее состояние разработки газоконденсатных залежей                         26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3.2 Состояние фонда скважин                                        </w:t>
      </w:r>
      <w:r w:rsidR="00540ACC">
        <w:t xml:space="preserve">                              29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4 Конструкция добывающих скважин валанжинской залежи Уренгой-   ского нефтегазоконденсатного месторождения                                              </w:t>
      </w:r>
      <w:r w:rsidR="00540ACC">
        <w:t xml:space="preserve">     38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5 Технологический режим работы газовых скважин   </w:t>
      </w:r>
      <w:r w:rsidR="00540ACC">
        <w:t xml:space="preserve">                              40</w:t>
      </w:r>
      <w:r>
        <w:t xml:space="preserve">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6 Исследовательские работы в валанжинских скважинах Уренгойского НГКМ                                                                                                </w:t>
      </w:r>
      <w:r w:rsidR="00540ACC">
        <w:t xml:space="preserve">                        42</w:t>
      </w:r>
      <w:r>
        <w:t xml:space="preserve">   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6.1 Газодинамические исследования скважин             </w:t>
      </w:r>
      <w:r w:rsidR="00540ACC">
        <w:t xml:space="preserve">                              43</w:t>
      </w:r>
      <w:r>
        <w:t xml:space="preserve">   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6.2 Газоконденсатные исследования скважин              </w:t>
      </w:r>
      <w:r w:rsidR="00540ACC">
        <w:t xml:space="preserve">                              44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>6.3 Статические и глубинные замеры в газоконде</w:t>
      </w:r>
      <w:r w:rsidR="00540ACC">
        <w:t>нсатных скважинах   46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6.4 Специальные исследования                                      </w:t>
      </w:r>
      <w:r w:rsidR="00540ACC">
        <w:t xml:space="preserve">                              47</w:t>
      </w:r>
      <w:r>
        <w:t xml:space="preserve">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7 Цели и задачи исследований пластов и скважин      </w:t>
      </w:r>
      <w:r w:rsidR="00540ACC">
        <w:t xml:space="preserve">                              49</w:t>
      </w:r>
      <w:r>
        <w:t xml:space="preserve">   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7.1 Газогидродинамические исследования скважин при нестационарных режимах фильтрации                                                                 </w:t>
      </w:r>
      <w:r w:rsidR="00540ACC">
        <w:t xml:space="preserve">                              52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7.2 Методика проведения испытания газовых скважин и способы обработки КВД                                                                                  </w:t>
      </w:r>
      <w:r w:rsidR="0028347D">
        <w:t xml:space="preserve">                              54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8 Методы обработки газогидродинамических исследований скважин на нестационарных режимах фильтрации                                   </w:t>
      </w:r>
      <w:r w:rsidR="0028347D">
        <w:t xml:space="preserve">                              57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8.1 Теоретические основы процесса восстановления давления после остановки скважины                                                                     </w:t>
      </w:r>
      <w:r w:rsidR="0028347D">
        <w:t xml:space="preserve">                              57</w:t>
      </w:r>
      <w:r>
        <w:t xml:space="preserve">     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8.2 Стандартная обработка КВД                                                         </w:t>
      </w:r>
      <w:r w:rsidR="0028347D">
        <w:t xml:space="preserve">         59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8.3 Метод Хорнера                                                          </w:t>
      </w:r>
      <w:r w:rsidR="0028347D">
        <w:t xml:space="preserve">                              61</w:t>
      </w:r>
      <w:r>
        <w:t xml:space="preserve">  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8.4 Обработка КВД в ограниченных пластах               </w:t>
      </w:r>
      <w:r w:rsidR="0028347D">
        <w:t xml:space="preserve">                              61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>9 Влияние и учет различных факторов на форму КВ</w:t>
      </w:r>
      <w:r w:rsidR="0028347D">
        <w:t>Д                             63</w:t>
      </w:r>
      <w:r>
        <w:t xml:space="preserve">             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9.1 Приток газа к скважине после закрытия                 </w:t>
      </w:r>
      <w:r w:rsidR="0028347D">
        <w:t xml:space="preserve">                              63</w:t>
      </w:r>
      <w:r>
        <w:t xml:space="preserve">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9.2 Влияние неизотермичности процесса </w:t>
      </w:r>
      <w:r w:rsidR="0028347D">
        <w:t>восстановления давления       65</w:t>
      </w:r>
      <w:r>
        <w:t xml:space="preserve">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9.3 Влияние наличия столба жидкости на забое </w:t>
      </w:r>
      <w:r w:rsidR="0028347D">
        <w:t>скважины                      66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9.4 Учет влияния неоднородности на форму КВД       </w:t>
      </w:r>
      <w:r w:rsidR="0028347D">
        <w:t xml:space="preserve">                              67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9.5 Характерные КВД скважин валанжинской залежи УНГКМ и причины аномального восстановления забойного давления                            </w:t>
      </w:r>
      <w:r w:rsidR="0028347D">
        <w:t xml:space="preserve">             69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>9.6 Примеры обработки КВД сква</w:t>
      </w:r>
      <w:r w:rsidR="0028347D">
        <w:t>жин УКПГ-5В Уренгойского НГКМ 73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10 </w:t>
      </w:r>
      <w:r w:rsidR="00302412">
        <w:t>Экономическое обоснование замены методов обработки КВД в Уренгойском  газопромысловом управлении в 2002 году</w:t>
      </w:r>
      <w:r>
        <w:t xml:space="preserve">             </w:t>
      </w:r>
      <w:r w:rsidR="0028347D">
        <w:t xml:space="preserve">                              81</w:t>
      </w:r>
      <w:r>
        <w:t xml:space="preserve">    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10.1 Технико-экономические показатели и финансовое состояние предприятия “Уренгойское газопромысловое управление”         </w:t>
      </w:r>
      <w:r w:rsidR="0028347D">
        <w:t xml:space="preserve">                              81</w:t>
      </w:r>
      <w:r>
        <w:t xml:space="preserve">      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10.2 Экономический эффект от замены методов обработки КВД           </w:t>
      </w:r>
      <w:r w:rsidR="0028347D">
        <w:t>86</w:t>
      </w:r>
    </w:p>
    <w:p w:rsidR="00302412" w:rsidRDefault="00302412" w:rsidP="004D213E">
      <w:pPr>
        <w:pStyle w:val="a8"/>
        <w:spacing w:line="360" w:lineRule="auto"/>
        <w:ind w:left="-851" w:right="-427" w:firstLine="720"/>
      </w:pPr>
      <w:r>
        <w:t xml:space="preserve">10.3 Оценка экономической эффективности замены методов обработки КВД в Уренгойском газопромысловом управлении             </w:t>
      </w:r>
      <w:r w:rsidR="0028347D">
        <w:t xml:space="preserve">                              88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11 Безопасность и экологичность проекта                   </w:t>
      </w:r>
      <w:r w:rsidR="0028347D">
        <w:t xml:space="preserve">                              91</w:t>
      </w:r>
    </w:p>
    <w:p w:rsidR="00BA5011" w:rsidRDefault="00BA5011" w:rsidP="004D213E">
      <w:pPr>
        <w:pStyle w:val="a8"/>
        <w:spacing w:line="360" w:lineRule="auto"/>
        <w:ind w:left="-851" w:right="-427" w:firstLine="720"/>
      </w:pPr>
      <w:r>
        <w:t xml:space="preserve">11.1 Основные направления обеспечения безопасности и экологичности при добыче газа и проведении гидродинамических исследований скважин на предприятии ООО “Уренгойгазпром”                                     </w:t>
      </w:r>
      <w:r w:rsidR="0028347D">
        <w:t xml:space="preserve">                              91</w:t>
      </w:r>
      <w:r>
        <w:t xml:space="preserve"> </w:t>
      </w:r>
    </w:p>
    <w:p w:rsidR="00BA5011" w:rsidRDefault="00BA5011" w:rsidP="004D213E">
      <w:pPr>
        <w:pStyle w:val="a6"/>
        <w:ind w:left="-851" w:right="-427"/>
        <w:rPr>
          <w:sz w:val="28"/>
        </w:rPr>
      </w:pPr>
      <w:r>
        <w:rPr>
          <w:sz w:val="28"/>
        </w:rPr>
        <w:t>11.2 Мероприятия, обеспечивающие производственную безопасность при проведении исследований скважин в ООО “Уре</w:t>
      </w:r>
      <w:r w:rsidR="0028347D">
        <w:rPr>
          <w:sz w:val="28"/>
        </w:rPr>
        <w:t>нгойгазпром”                   95</w:t>
      </w:r>
      <w:r>
        <w:rPr>
          <w:sz w:val="28"/>
        </w:rPr>
        <w:t xml:space="preserve">      </w:t>
      </w:r>
    </w:p>
    <w:p w:rsidR="00BA5011" w:rsidRDefault="00BA5011" w:rsidP="004D213E">
      <w:pPr>
        <w:pStyle w:val="22"/>
        <w:ind w:left="-851" w:right="-427"/>
      </w:pPr>
      <w:r>
        <w:t xml:space="preserve">11.3 Мероприятия по обеспечению безопасности в ЧС на предприятии “Уренгойгазпром”                                                                    </w:t>
      </w:r>
      <w:r w:rsidR="0028347D">
        <w:t xml:space="preserve">                             101</w:t>
      </w:r>
      <w:r>
        <w:t xml:space="preserve">    </w:t>
      </w:r>
    </w:p>
    <w:p w:rsidR="00BA5011" w:rsidRDefault="00BA5011" w:rsidP="004D213E">
      <w:pPr>
        <w:pStyle w:val="a6"/>
        <w:ind w:left="-851" w:right="-427"/>
        <w:rPr>
          <w:sz w:val="28"/>
        </w:rPr>
      </w:pPr>
      <w:r>
        <w:rPr>
          <w:sz w:val="28"/>
        </w:rPr>
        <w:t>11.4 Мероприятия по контролю, предупреждению и восстановлению        экологического равновесия в местах техногенных нару</w:t>
      </w:r>
      <w:r w:rsidR="0028347D">
        <w:rPr>
          <w:sz w:val="28"/>
        </w:rPr>
        <w:t>шений                        105</w:t>
      </w:r>
      <w:r>
        <w:rPr>
          <w:sz w:val="28"/>
        </w:rPr>
        <w:t xml:space="preserve">    </w:t>
      </w:r>
    </w:p>
    <w:p w:rsidR="00BA5011" w:rsidRDefault="00BA5011" w:rsidP="004D213E">
      <w:pPr>
        <w:pStyle w:val="a6"/>
        <w:ind w:left="-851" w:right="-427"/>
        <w:rPr>
          <w:sz w:val="28"/>
        </w:rPr>
      </w:pPr>
      <w:r>
        <w:rPr>
          <w:sz w:val="28"/>
        </w:rPr>
        <w:t xml:space="preserve">Заключение                                                                     </w:t>
      </w:r>
      <w:r w:rsidR="0028347D">
        <w:rPr>
          <w:sz w:val="28"/>
        </w:rPr>
        <w:t xml:space="preserve">                             110</w:t>
      </w:r>
    </w:p>
    <w:p w:rsidR="00BA5011" w:rsidRDefault="00BA5011" w:rsidP="004D213E">
      <w:pPr>
        <w:pStyle w:val="a6"/>
        <w:ind w:left="-851" w:right="-427"/>
        <w:rPr>
          <w:sz w:val="28"/>
        </w:rPr>
      </w:pPr>
      <w:r>
        <w:rPr>
          <w:sz w:val="28"/>
        </w:rPr>
        <w:t xml:space="preserve">Список использованных источников                           </w:t>
      </w:r>
      <w:r w:rsidR="0028347D">
        <w:rPr>
          <w:sz w:val="28"/>
        </w:rPr>
        <w:t xml:space="preserve">                             111</w:t>
      </w:r>
      <w:r>
        <w:rPr>
          <w:sz w:val="28"/>
        </w:rPr>
        <w:t xml:space="preserve">        </w:t>
      </w:r>
    </w:p>
    <w:p w:rsidR="00BA5011" w:rsidRDefault="00BA5011" w:rsidP="004D213E">
      <w:pPr>
        <w:pStyle w:val="a6"/>
        <w:ind w:left="-851" w:right="-427"/>
        <w:rPr>
          <w:sz w:val="28"/>
        </w:rPr>
      </w:pPr>
      <w:r>
        <w:rPr>
          <w:sz w:val="28"/>
        </w:rPr>
        <w:t xml:space="preserve">Приложение А                                                                                 </w:t>
      </w:r>
      <w:r w:rsidR="0028347D">
        <w:rPr>
          <w:sz w:val="28"/>
        </w:rPr>
        <w:t xml:space="preserve">            113</w:t>
      </w:r>
      <w:r>
        <w:rPr>
          <w:sz w:val="28"/>
        </w:rPr>
        <w:t xml:space="preserve">            </w:t>
      </w:r>
    </w:p>
    <w:p w:rsidR="00BA5011" w:rsidRDefault="00BA5011" w:rsidP="004D213E">
      <w:pPr>
        <w:pStyle w:val="a6"/>
        <w:ind w:left="-851" w:right="-427"/>
        <w:rPr>
          <w:sz w:val="28"/>
        </w:rPr>
      </w:pPr>
      <w:r>
        <w:rPr>
          <w:sz w:val="28"/>
        </w:rPr>
        <w:t xml:space="preserve">Приложение Б                                                                 </w:t>
      </w:r>
      <w:r w:rsidR="0028347D">
        <w:rPr>
          <w:sz w:val="28"/>
        </w:rPr>
        <w:t xml:space="preserve">                             115</w:t>
      </w:r>
    </w:p>
    <w:p w:rsidR="00BA5011" w:rsidRDefault="00BA5011" w:rsidP="004D213E">
      <w:pPr>
        <w:pStyle w:val="a6"/>
        <w:ind w:left="-851" w:right="-427"/>
        <w:rPr>
          <w:sz w:val="28"/>
        </w:rPr>
      </w:pPr>
      <w:r>
        <w:rPr>
          <w:sz w:val="28"/>
        </w:rPr>
        <w:t xml:space="preserve">Приложение В                                                                 </w:t>
      </w:r>
      <w:r w:rsidR="0028347D">
        <w:rPr>
          <w:sz w:val="28"/>
        </w:rPr>
        <w:t xml:space="preserve">                             115</w:t>
      </w:r>
      <w:r>
        <w:rPr>
          <w:sz w:val="28"/>
        </w:rPr>
        <w:t xml:space="preserve"> </w:t>
      </w:r>
    </w:p>
    <w:p w:rsidR="00BA5011" w:rsidRDefault="00BA5011" w:rsidP="004D213E">
      <w:pPr>
        <w:pStyle w:val="a6"/>
        <w:ind w:left="-851" w:right="-427"/>
        <w:rPr>
          <w:sz w:val="28"/>
        </w:rPr>
      </w:pPr>
      <w:r>
        <w:rPr>
          <w:sz w:val="28"/>
        </w:rPr>
        <w:t xml:space="preserve">Приложение Г                                                                 </w:t>
      </w:r>
      <w:r w:rsidR="0028347D">
        <w:rPr>
          <w:sz w:val="28"/>
        </w:rPr>
        <w:t xml:space="preserve">                             120</w:t>
      </w:r>
      <w:r>
        <w:rPr>
          <w:sz w:val="28"/>
        </w:rPr>
        <w:t xml:space="preserve">    </w:t>
      </w:r>
    </w:p>
    <w:p w:rsidR="00BA5011" w:rsidRDefault="00BA5011" w:rsidP="004D213E">
      <w:pPr>
        <w:pStyle w:val="a6"/>
        <w:ind w:left="-851" w:right="-427"/>
        <w:rPr>
          <w:sz w:val="28"/>
        </w:rPr>
      </w:pPr>
      <w:r>
        <w:rPr>
          <w:sz w:val="28"/>
        </w:rPr>
        <w:t xml:space="preserve">Приложение Д                                                                 </w:t>
      </w:r>
      <w:r w:rsidR="0028347D">
        <w:rPr>
          <w:sz w:val="28"/>
        </w:rPr>
        <w:t xml:space="preserve">                             131</w:t>
      </w:r>
      <w:r>
        <w:rPr>
          <w:sz w:val="28"/>
        </w:rPr>
        <w:t xml:space="preserve">      </w:t>
      </w: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>
      <w:pPr>
        <w:spacing w:line="360" w:lineRule="auto"/>
        <w:ind w:firstLine="720"/>
        <w:jc w:val="both"/>
        <w:rPr>
          <w:sz w:val="28"/>
        </w:rPr>
      </w:pPr>
    </w:p>
    <w:p w:rsidR="00BA5011" w:rsidRDefault="00BA5011" w:rsidP="00540ACC">
      <w:pPr>
        <w:spacing w:line="360" w:lineRule="auto"/>
        <w:jc w:val="both"/>
        <w:rPr>
          <w:sz w:val="28"/>
        </w:rPr>
      </w:pPr>
    </w:p>
    <w:p w:rsidR="00BA5011" w:rsidRDefault="00BA5011">
      <w:pPr>
        <w:pStyle w:val="a9"/>
        <w:spacing w:line="360" w:lineRule="auto"/>
        <w:ind w:firstLine="0"/>
        <w:jc w:val="both"/>
      </w:pPr>
      <w:bookmarkStart w:id="0" w:name="_GoBack"/>
      <w:bookmarkEnd w:id="0"/>
    </w:p>
    <w:sectPr w:rsidR="00BA5011" w:rsidSect="004D213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A3A" w:rsidRDefault="005B2A3A">
      <w:r>
        <w:separator/>
      </w:r>
    </w:p>
  </w:endnote>
  <w:endnote w:type="continuationSeparator" w:id="0">
    <w:p w:rsidR="005B2A3A" w:rsidRDefault="005B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A3A" w:rsidRDefault="005B2A3A">
      <w:r>
        <w:separator/>
      </w:r>
    </w:p>
  </w:footnote>
  <w:footnote w:type="continuationSeparator" w:id="0">
    <w:p w:rsidR="005B2A3A" w:rsidRDefault="005B2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906FC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FE6F1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60F07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3E8FA8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DC750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51C25B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5CDBA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182741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52899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444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11">
    <w:nsid w:val="42142D55"/>
    <w:multiLevelType w:val="multilevel"/>
    <w:tmpl w:val="858A67F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81B"/>
    <w:rsid w:val="00015564"/>
    <w:rsid w:val="0002046E"/>
    <w:rsid w:val="0002108D"/>
    <w:rsid w:val="00057167"/>
    <w:rsid w:val="00067CF8"/>
    <w:rsid w:val="00072DB7"/>
    <w:rsid w:val="00093774"/>
    <w:rsid w:val="000A7C0B"/>
    <w:rsid w:val="000B3828"/>
    <w:rsid w:val="00105662"/>
    <w:rsid w:val="00135021"/>
    <w:rsid w:val="001624A0"/>
    <w:rsid w:val="00180BDA"/>
    <w:rsid w:val="00184580"/>
    <w:rsid w:val="001A2DB1"/>
    <w:rsid w:val="001A5F29"/>
    <w:rsid w:val="001C75BC"/>
    <w:rsid w:val="002215CE"/>
    <w:rsid w:val="002726ED"/>
    <w:rsid w:val="00274D9D"/>
    <w:rsid w:val="0028347D"/>
    <w:rsid w:val="002A06A8"/>
    <w:rsid w:val="002D2CFC"/>
    <w:rsid w:val="002F7C07"/>
    <w:rsid w:val="00302412"/>
    <w:rsid w:val="0031620E"/>
    <w:rsid w:val="00336BAC"/>
    <w:rsid w:val="0034220E"/>
    <w:rsid w:val="00357D64"/>
    <w:rsid w:val="00383995"/>
    <w:rsid w:val="003B065E"/>
    <w:rsid w:val="003C5202"/>
    <w:rsid w:val="003D3EB1"/>
    <w:rsid w:val="003E242F"/>
    <w:rsid w:val="00427CCE"/>
    <w:rsid w:val="004528AF"/>
    <w:rsid w:val="004852B2"/>
    <w:rsid w:val="00492D69"/>
    <w:rsid w:val="004D213E"/>
    <w:rsid w:val="004E52ED"/>
    <w:rsid w:val="004E6A43"/>
    <w:rsid w:val="005001D2"/>
    <w:rsid w:val="005207A4"/>
    <w:rsid w:val="00540ACC"/>
    <w:rsid w:val="00592B4C"/>
    <w:rsid w:val="005B2A3A"/>
    <w:rsid w:val="00610673"/>
    <w:rsid w:val="006317DA"/>
    <w:rsid w:val="00663155"/>
    <w:rsid w:val="00671187"/>
    <w:rsid w:val="0069021A"/>
    <w:rsid w:val="00694F77"/>
    <w:rsid w:val="006A142A"/>
    <w:rsid w:val="006B3669"/>
    <w:rsid w:val="006F75C5"/>
    <w:rsid w:val="00742DDB"/>
    <w:rsid w:val="007D2698"/>
    <w:rsid w:val="007F6511"/>
    <w:rsid w:val="008326EF"/>
    <w:rsid w:val="00836F60"/>
    <w:rsid w:val="008406C5"/>
    <w:rsid w:val="008E23E9"/>
    <w:rsid w:val="008F34FA"/>
    <w:rsid w:val="009406B2"/>
    <w:rsid w:val="009521B8"/>
    <w:rsid w:val="0097205F"/>
    <w:rsid w:val="009C2B0E"/>
    <w:rsid w:val="00A01829"/>
    <w:rsid w:val="00AB1507"/>
    <w:rsid w:val="00AC5494"/>
    <w:rsid w:val="00AE5BCD"/>
    <w:rsid w:val="00AF0DC8"/>
    <w:rsid w:val="00AF6F1D"/>
    <w:rsid w:val="00B4234D"/>
    <w:rsid w:val="00B97118"/>
    <w:rsid w:val="00BA5011"/>
    <w:rsid w:val="00BC3E36"/>
    <w:rsid w:val="00BC6A0B"/>
    <w:rsid w:val="00BE2927"/>
    <w:rsid w:val="00BE318A"/>
    <w:rsid w:val="00BF0C7B"/>
    <w:rsid w:val="00BF43D8"/>
    <w:rsid w:val="00C54F67"/>
    <w:rsid w:val="00C95502"/>
    <w:rsid w:val="00D008A4"/>
    <w:rsid w:val="00D07899"/>
    <w:rsid w:val="00D13276"/>
    <w:rsid w:val="00D1681B"/>
    <w:rsid w:val="00D23897"/>
    <w:rsid w:val="00D24249"/>
    <w:rsid w:val="00D50636"/>
    <w:rsid w:val="00D624FE"/>
    <w:rsid w:val="00D62762"/>
    <w:rsid w:val="00D66A0C"/>
    <w:rsid w:val="00D80F8D"/>
    <w:rsid w:val="00D90D75"/>
    <w:rsid w:val="00DA709C"/>
    <w:rsid w:val="00DD01E5"/>
    <w:rsid w:val="00E30C5C"/>
    <w:rsid w:val="00E46F51"/>
    <w:rsid w:val="00E914D0"/>
    <w:rsid w:val="00EA2250"/>
    <w:rsid w:val="00EB36EA"/>
    <w:rsid w:val="00EC4D00"/>
    <w:rsid w:val="00F03172"/>
    <w:rsid w:val="00F17AAE"/>
    <w:rsid w:val="00F7078B"/>
    <w:rsid w:val="00FA533E"/>
    <w:rsid w:val="00FA6772"/>
    <w:rsid w:val="00FC482C"/>
    <w:rsid w:val="00FD47BD"/>
    <w:rsid w:val="00FD5ED0"/>
    <w:rsid w:val="00FD7E39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F242C-668F-4A8C-AAEF-18CBC57D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qFormat/>
    <w:pPr>
      <w:keepNext/>
      <w:spacing w:before="240" w:after="240" w:line="360" w:lineRule="auto"/>
      <w:jc w:val="both"/>
      <w:outlineLvl w:val="0"/>
    </w:pPr>
    <w:rPr>
      <w:b/>
      <w:caps/>
      <w:sz w:val="28"/>
    </w:rPr>
  </w:style>
  <w:style w:type="paragraph" w:styleId="21">
    <w:name w:val="heading 2"/>
    <w:basedOn w:val="a1"/>
    <w:next w:val="a1"/>
    <w:qFormat/>
    <w:pPr>
      <w:keepNext/>
      <w:ind w:firstLine="567"/>
      <w:outlineLvl w:val="1"/>
    </w:pPr>
    <w:rPr>
      <w:caps/>
      <w:sz w:val="28"/>
    </w:rPr>
  </w:style>
  <w:style w:type="paragraph" w:styleId="31">
    <w:name w:val="heading 3"/>
    <w:basedOn w:val="a1"/>
    <w:next w:val="a1"/>
    <w:qFormat/>
    <w:pPr>
      <w:keepNext/>
      <w:spacing w:before="240" w:after="60"/>
      <w:ind w:firstLine="1134"/>
      <w:outlineLvl w:val="2"/>
    </w:pPr>
    <w:rPr>
      <w:sz w:val="28"/>
    </w:rPr>
  </w:style>
  <w:style w:type="paragraph" w:styleId="41">
    <w:name w:val="heading 4"/>
    <w:basedOn w:val="a1"/>
    <w:next w:val="a1"/>
    <w:qFormat/>
    <w:pPr>
      <w:keepNext/>
      <w:spacing w:line="360" w:lineRule="auto"/>
      <w:ind w:firstLine="709"/>
      <w:jc w:val="center"/>
      <w:outlineLvl w:val="3"/>
    </w:pPr>
    <w:rPr>
      <w:sz w:val="28"/>
    </w:rPr>
  </w:style>
  <w:style w:type="paragraph" w:styleId="51">
    <w:name w:val="heading 5"/>
    <w:basedOn w:val="a1"/>
    <w:next w:val="a1"/>
    <w:qFormat/>
    <w:pPr>
      <w:keepNext/>
      <w:spacing w:before="20" w:line="260" w:lineRule="auto"/>
      <w:jc w:val="center"/>
      <w:outlineLvl w:val="4"/>
    </w:pPr>
    <w:rPr>
      <w:sz w:val="24"/>
    </w:rPr>
  </w:style>
  <w:style w:type="paragraph" w:styleId="6">
    <w:name w:val="heading 6"/>
    <w:basedOn w:val="a1"/>
    <w:next w:val="a1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1"/>
    <w:next w:val="a1"/>
    <w:qFormat/>
    <w:pPr>
      <w:keepNext/>
      <w:jc w:val="center"/>
      <w:outlineLvl w:val="6"/>
    </w:pPr>
    <w:rPr>
      <w:sz w:val="24"/>
    </w:rPr>
  </w:style>
  <w:style w:type="paragraph" w:styleId="8">
    <w:name w:val="heading 8"/>
    <w:basedOn w:val="a1"/>
    <w:next w:val="a1"/>
    <w:qFormat/>
    <w:pPr>
      <w:numPr>
        <w:ilvl w:val="7"/>
        <w:numId w:val="1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1"/>
    <w:next w:val="a1"/>
    <w:qFormat/>
    <w:pPr>
      <w:keepNext/>
      <w:ind w:firstLine="709"/>
      <w:outlineLvl w:val="8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Plain Text"/>
    <w:basedOn w:val="a1"/>
    <w:rPr>
      <w:rFonts w:ascii="Courier New" w:hAnsi="Courier New"/>
    </w:rPr>
  </w:style>
  <w:style w:type="paragraph" w:styleId="a6">
    <w:name w:val="Body Text Indent"/>
    <w:basedOn w:val="a1"/>
    <w:pPr>
      <w:spacing w:line="360" w:lineRule="auto"/>
      <w:ind w:firstLine="720"/>
      <w:jc w:val="both"/>
    </w:pPr>
  </w:style>
  <w:style w:type="paragraph" w:styleId="22">
    <w:name w:val="Body Text Indent 2"/>
    <w:basedOn w:val="a1"/>
    <w:pPr>
      <w:spacing w:line="360" w:lineRule="auto"/>
      <w:ind w:firstLine="720"/>
      <w:jc w:val="both"/>
    </w:pPr>
    <w:rPr>
      <w:sz w:val="28"/>
    </w:rPr>
  </w:style>
  <w:style w:type="paragraph" w:styleId="32">
    <w:name w:val="Body Text Indent 3"/>
    <w:basedOn w:val="a1"/>
    <w:pPr>
      <w:ind w:firstLine="709"/>
      <w:jc w:val="both"/>
    </w:pPr>
    <w:rPr>
      <w:sz w:val="28"/>
    </w:rPr>
  </w:style>
  <w:style w:type="paragraph" w:styleId="23">
    <w:name w:val="Body Text 2"/>
    <w:basedOn w:val="a1"/>
    <w:pPr>
      <w:jc w:val="both"/>
    </w:pPr>
    <w:rPr>
      <w:caps/>
      <w:sz w:val="28"/>
    </w:rPr>
  </w:style>
  <w:style w:type="paragraph" w:customStyle="1" w:styleId="a7">
    <w:name w:val="отчет"/>
    <w:basedOn w:val="a1"/>
    <w:pPr>
      <w:spacing w:before="260"/>
    </w:pPr>
    <w:rPr>
      <w:snapToGrid w:val="0"/>
      <w:sz w:val="28"/>
    </w:rPr>
  </w:style>
  <w:style w:type="paragraph" w:styleId="a8">
    <w:name w:val="Body Text"/>
    <w:basedOn w:val="a1"/>
    <w:pPr>
      <w:widowControl w:val="0"/>
    </w:pPr>
    <w:rPr>
      <w:sz w:val="28"/>
    </w:rPr>
  </w:style>
  <w:style w:type="paragraph" w:styleId="33">
    <w:name w:val="Body Text 3"/>
    <w:basedOn w:val="a1"/>
    <w:pPr>
      <w:ind w:right="-29"/>
      <w:jc w:val="both"/>
    </w:pPr>
    <w:rPr>
      <w:sz w:val="24"/>
    </w:rPr>
  </w:style>
  <w:style w:type="paragraph" w:styleId="a9">
    <w:name w:val="Title"/>
    <w:basedOn w:val="a1"/>
    <w:qFormat/>
    <w:pPr>
      <w:widowControl w:val="0"/>
      <w:spacing w:line="320" w:lineRule="auto"/>
      <w:ind w:firstLine="709"/>
      <w:jc w:val="center"/>
    </w:pPr>
    <w:rPr>
      <w:snapToGrid w:val="0"/>
      <w:sz w:val="28"/>
    </w:rPr>
  </w:style>
  <w:style w:type="paragraph" w:customStyle="1" w:styleId="310">
    <w:name w:val="Основний текст з відступом 31"/>
    <w:basedOn w:val="a1"/>
    <w:pPr>
      <w:spacing w:line="360" w:lineRule="auto"/>
      <w:ind w:firstLine="567"/>
      <w:jc w:val="both"/>
    </w:pPr>
    <w:rPr>
      <w:sz w:val="26"/>
    </w:rPr>
  </w:style>
  <w:style w:type="paragraph" w:customStyle="1" w:styleId="210">
    <w:name w:val="Основний текст з відступом 21"/>
    <w:basedOn w:val="a1"/>
    <w:pPr>
      <w:spacing w:line="360" w:lineRule="auto"/>
      <w:ind w:firstLine="853"/>
      <w:jc w:val="both"/>
    </w:pPr>
    <w:rPr>
      <w:sz w:val="26"/>
    </w:rPr>
  </w:style>
  <w:style w:type="paragraph" w:customStyle="1" w:styleId="211">
    <w:name w:val="Основний текст 21"/>
    <w:basedOn w:val="a1"/>
    <w:pPr>
      <w:jc w:val="center"/>
    </w:pPr>
    <w:rPr>
      <w:b/>
      <w:sz w:val="28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a">
    <w:name w:val="header"/>
    <w:basedOn w:val="a1"/>
    <w:pPr>
      <w:tabs>
        <w:tab w:val="center" w:pos="4153"/>
        <w:tab w:val="right" w:pos="8306"/>
      </w:tabs>
    </w:pPr>
    <w:rPr>
      <w:sz w:val="28"/>
    </w:rPr>
  </w:style>
  <w:style w:type="paragraph" w:styleId="10">
    <w:name w:val="toc 1"/>
    <w:basedOn w:val="a1"/>
    <w:next w:val="a1"/>
    <w:autoRedefine/>
    <w:semiHidden/>
    <w:pPr>
      <w:widowControl w:val="0"/>
      <w:spacing w:before="120" w:after="120" w:line="360" w:lineRule="auto"/>
      <w:ind w:right="1134"/>
    </w:pPr>
    <w:rPr>
      <w:b/>
      <w:caps/>
      <w:sz w:val="24"/>
    </w:rPr>
  </w:style>
  <w:style w:type="paragraph" w:customStyle="1" w:styleId="212">
    <w:name w:val="Основной текст 21"/>
    <w:basedOn w:val="a1"/>
    <w:pPr>
      <w:widowControl w:val="0"/>
      <w:spacing w:line="360" w:lineRule="auto"/>
      <w:jc w:val="both"/>
    </w:pPr>
    <w:rPr>
      <w:sz w:val="28"/>
    </w:rPr>
  </w:style>
  <w:style w:type="paragraph" w:styleId="ab">
    <w:name w:val="caption"/>
    <w:basedOn w:val="a1"/>
    <w:qFormat/>
    <w:pPr>
      <w:spacing w:line="320" w:lineRule="atLeast"/>
      <w:ind w:right="51"/>
      <w:jc w:val="center"/>
    </w:pPr>
    <w:rPr>
      <w:b/>
      <w:caps/>
      <w:color w:val="000000"/>
      <w:spacing w:val="50"/>
      <w:sz w:val="24"/>
    </w:rPr>
  </w:style>
  <w:style w:type="paragraph" w:styleId="ac">
    <w:name w:val="Subtitle"/>
    <w:basedOn w:val="a1"/>
    <w:qFormat/>
    <w:pPr>
      <w:jc w:val="center"/>
    </w:pPr>
    <w:rPr>
      <w:b/>
      <w:sz w:val="24"/>
    </w:rPr>
  </w:style>
  <w:style w:type="paragraph" w:styleId="ad">
    <w:name w:val="Block Text"/>
    <w:basedOn w:val="a1"/>
    <w:pPr>
      <w:spacing w:line="360" w:lineRule="auto"/>
      <w:ind w:left="709" w:right="-2" w:hanging="425"/>
      <w:jc w:val="both"/>
    </w:pPr>
    <w:rPr>
      <w:sz w:val="28"/>
    </w:rPr>
  </w:style>
  <w:style w:type="paragraph" w:customStyle="1" w:styleId="ae">
    <w:name w:val="диплом"/>
    <w:basedOn w:val="a1"/>
    <w:pPr>
      <w:spacing w:line="360" w:lineRule="auto"/>
      <w:ind w:firstLine="851"/>
      <w:jc w:val="both"/>
    </w:pPr>
    <w:rPr>
      <w:rFonts w:ascii="Arial" w:hAnsi="Arial"/>
      <w:spacing w:val="20"/>
      <w:sz w:val="28"/>
    </w:rPr>
  </w:style>
  <w:style w:type="paragraph" w:styleId="af">
    <w:name w:val="footer"/>
    <w:basedOn w:val="a1"/>
    <w:pPr>
      <w:tabs>
        <w:tab w:val="center" w:pos="4677"/>
        <w:tab w:val="right" w:pos="9355"/>
      </w:tabs>
    </w:pPr>
  </w:style>
  <w:style w:type="character" w:styleId="af0">
    <w:name w:val="page number"/>
    <w:basedOn w:val="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Serg</dc:creator>
  <cp:keywords/>
  <dc:description/>
  <cp:lastModifiedBy>Irina</cp:lastModifiedBy>
  <cp:revision>2</cp:revision>
  <cp:lastPrinted>2004-05-28T12:12:00Z</cp:lastPrinted>
  <dcterms:created xsi:type="dcterms:W3CDTF">2014-07-31T17:57:00Z</dcterms:created>
  <dcterms:modified xsi:type="dcterms:W3CDTF">2014-07-31T17:57:00Z</dcterms:modified>
</cp:coreProperties>
</file>