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1C" w:rsidRPr="00955A84" w:rsidRDefault="00AB7A1C" w:rsidP="00AB7A1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  <w:r w:rsidRPr="00955A84">
        <w:rPr>
          <w:rFonts w:ascii="TimesNewRoman,Bold" w:hAnsi="TimesNewRoman,Bold" w:cs="TimesNewRoman,Bold"/>
          <w:b/>
          <w:bCs/>
          <w:sz w:val="32"/>
          <w:szCs w:val="32"/>
        </w:rPr>
        <w:t>Примерные темы рефератов по дисциплине</w:t>
      </w:r>
    </w:p>
    <w:p w:rsidR="00AB7A1C" w:rsidRPr="00955A84" w:rsidRDefault="00955A84" w:rsidP="00AB7A1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 xml:space="preserve">«Введение </w:t>
      </w:r>
      <w:r w:rsidRPr="00955A84">
        <w:rPr>
          <w:rFonts w:ascii="TimesNewRoman,Bold" w:hAnsi="TimesNewRoman,Bold" w:cs="TimesNewRoman,Bold"/>
          <w:b/>
          <w:bCs/>
          <w:sz w:val="32"/>
          <w:szCs w:val="32"/>
        </w:rPr>
        <w:t>в направление</w:t>
      </w:r>
      <w:r w:rsidR="00AB7A1C" w:rsidRPr="00955A84">
        <w:rPr>
          <w:rFonts w:ascii="TimesNewRoman,Bold" w:hAnsi="TimesNewRoman,Bold" w:cs="TimesNewRoman,Bold"/>
          <w:b/>
          <w:bCs/>
          <w:sz w:val="32"/>
          <w:szCs w:val="32"/>
        </w:rPr>
        <w:t>»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 </w:t>
      </w:r>
      <w:r>
        <w:rPr>
          <w:rFonts w:ascii="TimesNewRoman" w:hAnsi="TimesNewRoman" w:cs="TimesNewRoman"/>
        </w:rPr>
        <w:t>Теории выбора профессии.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 </w:t>
      </w:r>
      <w:r>
        <w:rPr>
          <w:rFonts w:ascii="TimesNewRoman" w:hAnsi="TimesNewRoman" w:cs="TimesNewRoman"/>
        </w:rPr>
        <w:t>Типы профессий.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 </w:t>
      </w:r>
      <w:r>
        <w:rPr>
          <w:rFonts w:ascii="TimesNewRoman" w:hAnsi="TimesNewRoman" w:cs="TimesNewRoman"/>
        </w:rPr>
        <w:t>Этапы профессионального становления личности.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 </w:t>
      </w:r>
      <w:r>
        <w:rPr>
          <w:rFonts w:ascii="TimesNewRoman" w:hAnsi="TimesNewRoman" w:cs="TimesNewRoman"/>
        </w:rPr>
        <w:t>Профессиографический анализ подготовки и деятельности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5 </w:t>
      </w:r>
      <w:r>
        <w:rPr>
          <w:rFonts w:ascii="TimesNewRoman" w:hAnsi="TimesNewRoman" w:cs="TimesNewRoman"/>
        </w:rPr>
        <w:t>Модель современного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6 </w:t>
      </w:r>
      <w:r>
        <w:rPr>
          <w:rFonts w:ascii="TimesNewRoman" w:hAnsi="TimesNewRoman" w:cs="TimesNewRoman"/>
        </w:rPr>
        <w:t>Становление и развитие профессиональной компетенции в ходе обучения.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7 </w:t>
      </w:r>
      <w:r>
        <w:rPr>
          <w:rFonts w:ascii="TimesNewRoman" w:hAnsi="TimesNewRoman" w:cs="TimesNewRoman"/>
        </w:rPr>
        <w:t>Препятствия на пути к профессионализму.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8 </w:t>
      </w:r>
      <w:r>
        <w:rPr>
          <w:rFonts w:ascii="TimesNewRoman" w:hAnsi="TimesNewRoman" w:cs="TimesNewRoman"/>
        </w:rPr>
        <w:t>Особенности инженерной деятельности и системного технического мышления.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9 </w:t>
      </w:r>
      <w:r>
        <w:rPr>
          <w:rFonts w:ascii="TimesNewRoman" w:hAnsi="TimesNewRoman" w:cs="TimesNewRoman"/>
        </w:rPr>
        <w:t>Виды инженерной деятельности.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10 </w:t>
      </w:r>
      <w:r>
        <w:rPr>
          <w:rFonts w:ascii="TimesNewRoman" w:hAnsi="TimesNewRoman" w:cs="TimesNewRoman"/>
        </w:rPr>
        <w:t>Научно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</w:rPr>
        <w:t>-исследовательская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11 </w:t>
      </w:r>
      <w:r>
        <w:rPr>
          <w:rFonts w:ascii="TimesNewRoman" w:hAnsi="TimesNewRoman" w:cs="TimesNewRoman"/>
        </w:rPr>
        <w:t>Проектно-конструкторская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12 </w:t>
      </w:r>
      <w:r>
        <w:rPr>
          <w:rFonts w:ascii="TimesNewRoman" w:hAnsi="TimesNewRoman" w:cs="TimesNewRoman"/>
        </w:rPr>
        <w:t>Организационно-управленческая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13 </w:t>
      </w:r>
      <w:r>
        <w:rPr>
          <w:rFonts w:ascii="TimesNewRoman" w:hAnsi="TimesNewRoman" w:cs="TimesNewRoman"/>
        </w:rPr>
        <w:t>Производственно-технологическая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14 </w:t>
      </w:r>
      <w:r>
        <w:rPr>
          <w:rFonts w:ascii="TimesNewRoman" w:hAnsi="TimesNewRoman" w:cs="TimesNewRoman"/>
        </w:rPr>
        <w:t>Изобретательство как вид инженерной деятельности.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15 </w:t>
      </w:r>
      <w:r>
        <w:rPr>
          <w:rFonts w:ascii="TimesNewRoman" w:hAnsi="TimesNewRoman" w:cs="TimesNewRoman"/>
        </w:rPr>
        <w:t>Инновационная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16 </w:t>
      </w:r>
      <w:r>
        <w:rPr>
          <w:rFonts w:ascii="TimesNewRoman" w:hAnsi="TimesNewRoman" w:cs="TimesNewRoman"/>
        </w:rPr>
        <w:t>Структура и эволюция техносферы.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17 </w:t>
      </w:r>
      <w:r>
        <w:rPr>
          <w:rFonts w:ascii="TimesNewRoman" w:hAnsi="TimesNewRoman" w:cs="TimesNewRoman"/>
        </w:rPr>
        <w:t>Российские инженеры и изобретатели (в области пищевых производств).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18 </w:t>
      </w:r>
      <w:r>
        <w:rPr>
          <w:rFonts w:ascii="TimesNewRoman" w:hAnsi="TimesNewRoman" w:cs="TimesNewRoman"/>
        </w:rPr>
        <w:t>Основные задачи эргономики и инженерной психологии.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19 </w:t>
      </w:r>
      <w:r>
        <w:rPr>
          <w:rFonts w:ascii="TimesNewRoman" w:hAnsi="TimesNewRoman" w:cs="TimesNewRoman"/>
        </w:rPr>
        <w:t>Профессия инженера в исторической перспективе.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20 </w:t>
      </w:r>
      <w:r>
        <w:rPr>
          <w:rFonts w:ascii="TimesNewRoman" w:hAnsi="TimesNewRoman" w:cs="TimesNewRoman"/>
        </w:rPr>
        <w:t>Тенденции и направления развития инженерии ХХ1 в.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21 </w:t>
      </w:r>
      <w:r>
        <w:rPr>
          <w:rFonts w:ascii="TimesNewRoman" w:hAnsi="TimesNewRoman" w:cs="TimesNewRoman"/>
        </w:rPr>
        <w:t>Типы программ инженерного образования.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22 </w:t>
      </w:r>
      <w:r>
        <w:rPr>
          <w:rFonts w:ascii="TimesNewRoman" w:hAnsi="TimesNewRoman" w:cs="TimesNewRoman"/>
        </w:rPr>
        <w:t>Интеграция российской и международной систем подготовки инженеров.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23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 США.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24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 Великобритании.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25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 Германии.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26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во Франции.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27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 Японии.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28 </w:t>
      </w:r>
      <w:r>
        <w:rPr>
          <w:rFonts w:ascii="TimesNewRoman" w:hAnsi="TimesNewRoman" w:cs="TimesNewRoman"/>
        </w:rPr>
        <w:t>Инженерная деятельность и система высшего технического образования в Китае.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29 </w:t>
      </w:r>
      <w:r>
        <w:rPr>
          <w:rFonts w:ascii="TimesNewRoman" w:hAnsi="TimesNewRoman" w:cs="TimesNewRoman"/>
        </w:rPr>
        <w:t>Инженерные задачи пищевых производств и машинно-аппаратурные варианты их решения.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30 </w:t>
      </w:r>
      <w:r>
        <w:rPr>
          <w:rFonts w:ascii="TimesNewRoman" w:hAnsi="TimesNewRoman" w:cs="TimesNewRoman"/>
        </w:rPr>
        <w:t>Тенденции развития технологического оборудования пищевых производств.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31 </w:t>
      </w:r>
      <w:r>
        <w:rPr>
          <w:rFonts w:ascii="TimesNewRoman" w:hAnsi="TimesNewRoman" w:cs="TimesNewRoman"/>
        </w:rPr>
        <w:t>Энерго- и ресурсосберегающие технологии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32 </w:t>
      </w:r>
      <w:r>
        <w:rPr>
          <w:rFonts w:ascii="TimesNewRoman" w:hAnsi="TimesNewRoman" w:cs="TimesNewRoman"/>
        </w:rPr>
        <w:t>Малоотходные и безотходные технологии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33 </w:t>
      </w:r>
      <w:r>
        <w:rPr>
          <w:rFonts w:ascii="TimesNewRoman" w:hAnsi="TimesNewRoman" w:cs="TimesNewRoman"/>
        </w:rPr>
        <w:t>Пищевая инженерия малых производств.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34 </w:t>
      </w:r>
      <w:r>
        <w:rPr>
          <w:rFonts w:ascii="TimesNewRoman" w:hAnsi="TimesNewRoman" w:cs="TimesNewRoman"/>
        </w:rPr>
        <w:t>История пищевых предприятий Челябинской области.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35 </w:t>
      </w:r>
      <w:r>
        <w:rPr>
          <w:rFonts w:ascii="TimesNewRoman" w:hAnsi="TimesNewRoman" w:cs="TimesNewRoman"/>
        </w:rPr>
        <w:t>Итоги и перспективы развития предприятий пищевой промышленности региона.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36 </w:t>
      </w:r>
      <w:r>
        <w:rPr>
          <w:rFonts w:ascii="TimesNewRoman" w:hAnsi="TimesNewRoman" w:cs="TimesNewRoman"/>
        </w:rPr>
        <w:t>Категория качества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37 </w:t>
      </w:r>
      <w:r>
        <w:rPr>
          <w:rFonts w:ascii="TimesNewRoman" w:hAnsi="TimesNewRoman" w:cs="TimesNewRoman"/>
        </w:rPr>
        <w:t>Физико-механические процессы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38 </w:t>
      </w:r>
      <w:r>
        <w:rPr>
          <w:rFonts w:ascii="TimesNewRoman" w:hAnsi="TimesNewRoman" w:cs="TimesNewRoman"/>
        </w:rPr>
        <w:t>Тепловые процессы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39 </w:t>
      </w:r>
      <w:r>
        <w:rPr>
          <w:rFonts w:ascii="TimesNewRoman" w:hAnsi="TimesNewRoman" w:cs="TimesNewRoman"/>
        </w:rPr>
        <w:t>Физико-химические процессы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40 </w:t>
      </w:r>
      <w:r>
        <w:rPr>
          <w:rFonts w:ascii="TimesNewRoman" w:hAnsi="TimesNewRoman" w:cs="TimesNewRoman"/>
        </w:rPr>
        <w:t>Массообменные процессы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41 </w:t>
      </w:r>
      <w:r>
        <w:rPr>
          <w:rFonts w:ascii="TimesNewRoman" w:hAnsi="TimesNewRoman" w:cs="TimesNewRoman"/>
        </w:rPr>
        <w:t>Биохимические и микробиологические процессы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42 </w:t>
      </w:r>
      <w:r>
        <w:rPr>
          <w:rFonts w:ascii="TimesNewRoman" w:hAnsi="TimesNewRoman" w:cs="TimesNewRoman"/>
        </w:rPr>
        <w:t>Значение технохимического контроля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43 </w:t>
      </w:r>
      <w:r>
        <w:rPr>
          <w:rFonts w:ascii="TimesNewRoman" w:hAnsi="TimesNewRoman" w:cs="TimesNewRoman"/>
        </w:rPr>
        <w:t>Функции инженера-технолога и инженера-механика на пищевом предприятии.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44 </w:t>
      </w:r>
      <w:r>
        <w:rPr>
          <w:rFonts w:ascii="TimesNewRoman" w:hAnsi="TimesNewRoman" w:cs="TimesNewRoman"/>
        </w:rPr>
        <w:t>Оборудование для подготовки сырья к основным технологическим операциям.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45 </w:t>
      </w:r>
      <w:r>
        <w:rPr>
          <w:rFonts w:ascii="TimesNewRoman" w:hAnsi="TimesNewRoman" w:cs="TimesNewRoman"/>
        </w:rPr>
        <w:t>Оборудование для механической обработки пищевых масс.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46 </w:t>
      </w:r>
      <w:r>
        <w:rPr>
          <w:rFonts w:ascii="TimesNewRoman" w:hAnsi="TimesNewRoman" w:cs="TimesNewRoman"/>
        </w:rPr>
        <w:t>Оборудование для тепловой обработки пищевых масс.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47 </w:t>
      </w:r>
      <w:r>
        <w:rPr>
          <w:rFonts w:ascii="TimesNewRoman" w:hAnsi="TimesNewRoman" w:cs="TimesNewRoman"/>
        </w:rPr>
        <w:t>Оборудование для фасовки и упаковки готовой продукции.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48 </w:t>
      </w:r>
      <w:r>
        <w:rPr>
          <w:rFonts w:ascii="TimesNewRoman" w:hAnsi="TimesNewRoman" w:cs="TimesNewRoman"/>
        </w:rPr>
        <w:t>Механизация и автоматизация технологических процессов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49 </w:t>
      </w:r>
      <w:r>
        <w:rPr>
          <w:rFonts w:ascii="TimesNewRoman" w:hAnsi="TimesNewRoman" w:cs="TimesNewRoman"/>
        </w:rPr>
        <w:t>Конструкционные материалы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50 </w:t>
      </w:r>
      <w:r>
        <w:rPr>
          <w:rFonts w:ascii="TimesNewRoman" w:hAnsi="TimesNewRoman" w:cs="TimesNewRoman"/>
        </w:rPr>
        <w:t>Поточные линии в пищевой промышленности.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приложение В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AB7A1C" w:rsidRDefault="00AB7A1C" w:rsidP="00AB7A1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Требования к содержанию и оформлению рефератов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Реферат включает титульный лист, содержание с указанием страниц, введение, разделы основной части, заключение и список рекомендуемой литературы. Объем реферата – 15 – 20 страниц машинописного текста.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Во введении характеризуется актуальность рассматриваемой в реферате проблемы, приводятся основные понятия, производится презентация основных разделов реферата. Разделы основной части компонуются в зависимости от специфики темы реферата. Структура реферата в целом, а также отдельных его частей может быть построена по дедуктивному, индуктивному, спиральному или хронологическому принципам. В заключении приводятся выводы по ранее изложенному материалу, перспективы развития объектов и явлений, рассмотренных в данной теме, отражается свое отношение к рассмотренным вопросам.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Например, для реферата «Виды инженерной деятельности» во введении можно привести различные определения инженерной деятельности, показать свое отношение к ним, привести цифры, показывающие динамику роста инженеров, перечислить виды инженерной деятельности и т.д.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Для основной части возможна следующая структура.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1 </w:t>
      </w:r>
      <w:r>
        <w:rPr>
          <w:rFonts w:ascii="TimesNewRoman" w:hAnsi="TimesNewRoman" w:cs="TimesNewRoman"/>
        </w:rPr>
        <w:t>Эволюция видов инженерной деятельности.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2 </w:t>
      </w:r>
      <w:r>
        <w:rPr>
          <w:rFonts w:ascii="TimesNewRoman" w:hAnsi="TimesNewRoman" w:cs="TimesNewRoman"/>
        </w:rPr>
        <w:t>Научно-исследовательская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3 </w:t>
      </w:r>
      <w:r>
        <w:rPr>
          <w:rFonts w:ascii="TimesNewRoman" w:hAnsi="TimesNewRoman" w:cs="TimesNewRoman"/>
        </w:rPr>
        <w:t>Проектно-конструкторская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4 </w:t>
      </w:r>
      <w:r>
        <w:rPr>
          <w:rFonts w:ascii="TimesNewRoman" w:hAnsi="TimesNewRoman" w:cs="TimesNewRoman"/>
        </w:rPr>
        <w:t>Организационно-управленческая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t xml:space="preserve">5 </w:t>
      </w:r>
      <w:r>
        <w:rPr>
          <w:rFonts w:ascii="TimesNewRoman" w:hAnsi="TimesNewRoman" w:cs="TimesNewRoman"/>
        </w:rPr>
        <w:t>Производственно-технологическая деятельность инженера.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 заключении можно привести информацию о новых видах инженерной деятельности (инновационной, экспертной) и свои соображения о направлениях развития перечисленных в реферате видов инженерной деятельности в ХХI в.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Реферат должен быть представлен в сброшюрованном виде и оформлен следующим образом: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1) титульный лист реферата должен быть оформлен в соответствии со Стандартом предприятия;</w:t>
      </w:r>
    </w:p>
    <w:p w:rsidR="00AB7A1C" w:rsidRDefault="00AB7A1C" w:rsidP="00AB7A1C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2) реферат должен быть напечатан на компьютере через 1,5 интервала шрифт Times New Roman, номер </w:t>
      </w:r>
      <w:smartTag w:uri="urn:schemas-microsoft-com:office:smarttags" w:element="metricconverter">
        <w:smartTagPr>
          <w:attr w:name="ProductID" w:val="14 pt"/>
        </w:smartTagPr>
        <w:r>
          <w:rPr>
            <w:rFonts w:ascii="TimesNewRoman" w:hAnsi="TimesNewRoman" w:cs="TimesNewRoman"/>
          </w:rPr>
          <w:t>14 pt</w:t>
        </w:r>
      </w:smartTag>
      <w:r>
        <w:rPr>
          <w:rFonts w:ascii="TimesNewRoman" w:hAnsi="TimesNewRoman" w:cs="TimesNewRoman"/>
        </w:rPr>
        <w:t xml:space="preserve">; размеры полей: верхнее и нижнее –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NewRoman" w:hAnsi="TimesNewRoman" w:cs="TimesNewRoman"/>
          </w:rPr>
          <w:t>2 см</w:t>
        </w:r>
      </w:smartTag>
      <w:r>
        <w:rPr>
          <w:rFonts w:ascii="TimesNewRoman" w:hAnsi="TimesNewRoman" w:cs="TimesNewRoman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NewRoman" w:hAnsi="TimesNewRoman" w:cs="TimesNewRoman"/>
          </w:rPr>
          <w:t>3 см</w:t>
        </w:r>
      </w:smartTag>
      <w:r>
        <w:rPr>
          <w:rFonts w:ascii="TimesNewRoman" w:hAnsi="TimesNewRoman" w:cs="TimesNewRoman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>
          <w:rPr>
            <w:rFonts w:ascii="TimesNewRoman" w:hAnsi="TimesNewRoman" w:cs="TimesNewRoman"/>
          </w:rPr>
          <w:t>1,5 см</w:t>
        </w:r>
      </w:smartTag>
      <w:r>
        <w:rPr>
          <w:rFonts w:ascii="TimesNewRoman" w:hAnsi="TimesNewRoman" w:cs="TimesNewRoman"/>
        </w:rPr>
        <w:t>; выравнивание по ширине;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3) названия разделов должны быть выполнены заглавными буквами (выравнивание по середине),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нумерация страниц в правом нижнем углу;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4) в реферат следует включать иллюстративный материал: рисунки, таблицы, графики, схемы;</w:t>
      </w:r>
    </w:p>
    <w:p w:rsidR="00AB7A1C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5) в списке использованных источников для книг должны быть указаны авторы, название книги, место и год издания, название издательства, количество страниц; для журнальных статей – авторы, название статьи, название журнала, год издания, номер журнала, страницы, занимаемые статьей.</w:t>
      </w:r>
    </w:p>
    <w:p w:rsidR="00AB7A1C" w:rsidRPr="007D0118" w:rsidRDefault="00AB7A1C" w:rsidP="00AB7A1C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AB7A1C" w:rsidRDefault="00AB7A1C">
      <w:bookmarkStart w:id="0" w:name="_GoBack"/>
      <w:bookmarkEnd w:id="0"/>
    </w:p>
    <w:sectPr w:rsidR="00AB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A1C"/>
    <w:rsid w:val="002E61D5"/>
    <w:rsid w:val="009022D1"/>
    <w:rsid w:val="00955A84"/>
    <w:rsid w:val="00AB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0DF2B-3210-4F7E-AEB2-DAF170F9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Примерные темы рефератов по дисциплине</vt:lpstr>
    </vt:vector>
  </TitlesOfParts>
  <Company>Дом</Company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Примерные темы рефератов по дисциплине</dc:title>
  <dc:subject/>
  <dc:creator>АМ</dc:creator>
  <cp:keywords/>
  <dc:description/>
  <cp:lastModifiedBy>Irina</cp:lastModifiedBy>
  <cp:revision>2</cp:revision>
  <dcterms:created xsi:type="dcterms:W3CDTF">2014-09-03T12:15:00Z</dcterms:created>
  <dcterms:modified xsi:type="dcterms:W3CDTF">2014-09-03T12:15:00Z</dcterms:modified>
</cp:coreProperties>
</file>