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контрольной работы:</w:t>
      </w: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механизма административно-прававого регулирования, его основные элементы</w:t>
      </w:r>
    </w:p>
    <w:p w:rsidR="00081E6C" w:rsidRDefault="00081E6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Административные производства, их виды, особенности</w:t>
      </w:r>
    </w:p>
    <w:p w:rsidR="00081E6C" w:rsidRDefault="00081E6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Управление в области внешнеэкономической деятельности</w:t>
      </w:r>
    </w:p>
    <w:p w:rsidR="00081E6C" w:rsidRDefault="00081E6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Задача</w:t>
      </w: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numPr>
          <w:ilvl w:val="0"/>
          <w:numId w:val="2"/>
        </w:numPr>
        <w:spacing w:line="360" w:lineRule="auto"/>
        <w:ind w:left="714" w:hanging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Понятие механизма административно-прававого регулирования, его основные элементы</w:t>
      </w: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</w:p>
    <w:p w:rsidR="00081E6C" w:rsidRDefault="00081E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правового воздействия на общественные отношения в области государственного управления зависит не только от самой их природы и особенностей, правильно найденного метода регулирования, но и от успешного использования всех элементов (рычагов, приводов, частей этого механизма, посредством которого государственно-нормативная воля переводится в фактическое поведение субъектов общественных отношений).</w:t>
      </w:r>
    </w:p>
    <w:p w:rsidR="00081E6C" w:rsidRDefault="00081E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Механизм административно-правового регулирования – это совокупность правовых средств, а также процессов и состояний, которые наступают в волевых общественных отношениях в области государственного управления в результате воздействия на них административно-правовых норм.</w:t>
      </w:r>
    </w:p>
    <w:p w:rsidR="00081E6C" w:rsidRDefault="00081E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Категория административно-правового регулирования выработана наукой для показа права в развитии, выявления закономерностей его функционирования, повышения эффективности правового регулирования.</w:t>
      </w:r>
    </w:p>
    <w:p w:rsidR="00081E6C" w:rsidRDefault="00081E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структуру этого механизма входят следующие элементы:</w:t>
      </w:r>
    </w:p>
    <w:p w:rsidR="00081E6C" w:rsidRDefault="00081E6C">
      <w:pPr>
        <w:numPr>
          <w:ilvl w:val="1"/>
          <w:numId w:val="1"/>
        </w:numPr>
        <w:tabs>
          <w:tab w:val="clear" w:pos="2205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нормы административного права и его принципы, объективно выраженные в законах, указах и других нормативных актах;</w:t>
      </w:r>
    </w:p>
    <w:p w:rsidR="00081E6C" w:rsidRDefault="00081E6C">
      <w:pPr>
        <w:numPr>
          <w:ilvl w:val="1"/>
          <w:numId w:val="1"/>
        </w:numPr>
        <w:tabs>
          <w:tab w:val="clear" w:pos="2205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акты толкования норм административного права, издаваемые уполномоченными на то органами;</w:t>
      </w:r>
    </w:p>
    <w:p w:rsidR="00081E6C" w:rsidRDefault="00081E6C">
      <w:pPr>
        <w:numPr>
          <w:ilvl w:val="1"/>
          <w:numId w:val="1"/>
        </w:numPr>
        <w:tabs>
          <w:tab w:val="clear" w:pos="2205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акты применения норм административного права;</w:t>
      </w:r>
    </w:p>
    <w:p w:rsidR="00081E6C" w:rsidRDefault="00081E6C">
      <w:pPr>
        <w:numPr>
          <w:ilvl w:val="1"/>
          <w:numId w:val="1"/>
        </w:numPr>
        <w:tabs>
          <w:tab w:val="clear" w:pos="2205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административно-правовые отношения;</w:t>
      </w:r>
    </w:p>
    <w:p w:rsidR="00081E6C" w:rsidRDefault="00081E6C">
      <w:pPr>
        <w:numPr>
          <w:ilvl w:val="1"/>
          <w:numId w:val="1"/>
        </w:numPr>
        <w:tabs>
          <w:tab w:val="clear" w:pos="2205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правосознание, юридические факты, законность.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элемент механизма административно-правового регулирования выполняет специфическую роль в регулировании поведения людей и возникающих на его основе общественных отношений. Следовательно, эти элементы механизма одновременно выступают в качестве юридических средств административно-правового регулирования. При этом административно правовые средства включаются в процесс регулирования в определенной последовательности. Таким образом, </w:t>
      </w:r>
      <w:r>
        <w:rPr>
          <w:i/>
          <w:iCs/>
          <w:sz w:val="28"/>
          <w:szCs w:val="28"/>
        </w:rPr>
        <w:t xml:space="preserve">административно-правовое регулирование </w:t>
      </w:r>
      <w:r>
        <w:rPr>
          <w:sz w:val="28"/>
          <w:szCs w:val="28"/>
        </w:rPr>
        <w:t>представляет собой процесс последовательного использования административно-правовых средств для достижения целей регулирования поведения участников общественных отношений.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административно-правовой науке и в практике государственного аппарата большое значение придается четкому правовому регулированию общественных отношений, возникающих в сфере государственного управления, устранению дублирования, переходу от административных методов к экономическим, укреплению порядка, дисциплины, законности.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Важнейшими средствами механизма административно-правового регулирования являются нормативные и индивидуальные акты. Акты применения норм административного права включаются в механизм административно-правового регулирования как средство индивидуализации прав, обязанностей и мер ответственности.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административно-правовом отношении как элементе правового регулирования индивидуализируются положения той или иной нормы административного права, определяются характер, права и обязанности участников отношения.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</w:p>
    <w:p w:rsidR="00081E6C" w:rsidRDefault="00081E6C">
      <w:pPr>
        <w:spacing w:line="360" w:lineRule="auto"/>
        <w:ind w:firstLine="709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left="360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Административные производства, их виды, особенности</w:t>
      </w:r>
    </w:p>
    <w:p w:rsidR="00081E6C" w:rsidRDefault="00081E6C">
      <w:pPr>
        <w:spacing w:line="360" w:lineRule="auto"/>
        <w:rPr>
          <w:b/>
          <w:bCs/>
          <w:sz w:val="28"/>
          <w:szCs w:val="28"/>
        </w:rPr>
      </w:pPr>
    </w:p>
    <w:p w:rsidR="00081E6C" w:rsidRDefault="00081E6C">
      <w:pPr>
        <w:pStyle w:val="23"/>
      </w:pPr>
      <w:r>
        <w:t xml:space="preserve">В специальной литературе обосновываются различные подходы к вопросу о том, что следует понимать под административным производством. Общность в позициях большинства авторов сводится к признанию его частью административного процесса. </w:t>
      </w:r>
    </w:p>
    <w:p w:rsidR="00081E6C" w:rsidRDefault="00081E6C">
      <w:pPr>
        <w:pStyle w:val="21"/>
        <w:ind w:firstLine="720"/>
      </w:pPr>
      <w:r>
        <w:rPr>
          <w:i/>
          <w:iCs/>
        </w:rPr>
        <w:t>Административное производство</w:t>
      </w:r>
      <w:r>
        <w:t xml:space="preserve"> — это нормативно урегулированный порядок совершения процессуальных действий, обеспечивающий законное и объективное рассмотрение и разрешение индивидуальных административных дел, объединенных общностью предмета.</w:t>
      </w:r>
    </w:p>
    <w:p w:rsidR="00081E6C" w:rsidRDefault="00081E6C">
      <w:pPr>
        <w:pStyle w:val="23"/>
      </w:pPr>
      <w:r>
        <w:t>Например, порядок разбора жалоб граждан, порядок лицензирования, порядок применения мер административного принуждения и т.п. — все это виды административных производств. Следовательно, сам административный процесс представляет собой совокупность различающихся конкретными предметами административных производств.</w:t>
      </w:r>
    </w:p>
    <w:p w:rsidR="00081E6C" w:rsidRDefault="00081E6C">
      <w:pPr>
        <w:pStyle w:val="a6"/>
        <w:ind w:firstLine="720"/>
        <w:jc w:val="both"/>
      </w:pPr>
      <w:r>
        <w:t>Видовое разнообразие административных производств может быть сведено в соответствии с классификацией административно-процессуальной деятельности к двум обобщенным группам: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а) юрисдикционное производство;</w:t>
      </w:r>
    </w:p>
    <w:p w:rsidR="00081E6C" w:rsidRDefault="00081E6C">
      <w:pPr>
        <w:pStyle w:val="23"/>
      </w:pPr>
      <w:r>
        <w:t>б) процедурное производство.</w:t>
      </w:r>
    </w:p>
    <w:p w:rsidR="00081E6C" w:rsidRDefault="00081E6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Оба вида административных производств имеют некоторые общие черты. В их числе: </w:t>
      </w:r>
    </w:p>
    <w:p w:rsidR="00081E6C" w:rsidRDefault="00081E6C">
      <w:pPr>
        <w:pStyle w:val="21"/>
      </w:pPr>
      <w:r>
        <w:t xml:space="preserve">   -    преимущественно внесудебный порядок разрешения индивидуальных дел; юридически-властное начало;</w:t>
      </w:r>
    </w:p>
    <w:p w:rsidR="00081E6C" w:rsidRDefault="00081E6C">
      <w:pPr>
        <w:pStyle w:val="21"/>
        <w:numPr>
          <w:ilvl w:val="0"/>
          <w:numId w:val="3"/>
        </w:numPr>
        <w:tabs>
          <w:tab w:val="clear" w:pos="795"/>
        </w:tabs>
        <w:ind w:left="0" w:firstLine="180"/>
      </w:pPr>
      <w:r>
        <w:t>урегулированность (однако в разной степени) административно-процессуальными нормами; административно-процессуальные отношения и принципы и т.п.</w:t>
      </w:r>
    </w:p>
    <w:p w:rsidR="00081E6C" w:rsidRDefault="00081E6C">
      <w:pPr>
        <w:pStyle w:val="21"/>
        <w:ind w:firstLine="900"/>
      </w:pPr>
      <w:r>
        <w:t>Критерием деления административного процесса на отдельные виды производства служит характер индивидуально-конкретных дел, отражающий наиболее существенные свойства и особенности. Этот критерий обуславливает особенности того или иного вида производств, поскольку каждое производство имеет целью установление четкого порядка рассмотрения и разрешения конкретной категории управленческих дел. Например, порядок рассмотрения и разрешения предложений, заявлений и жалоб граждан существенно отличается от установленного порядка применения уполномоченными на то органами мер поощрения к гражданам за достигнутые успехи в хозяйственной или иной сфере управления.</w:t>
      </w:r>
    </w:p>
    <w:p w:rsidR="00081E6C" w:rsidRDefault="00081E6C">
      <w:pPr>
        <w:pStyle w:val="21"/>
        <w:ind w:firstLine="900"/>
      </w:pPr>
      <w:r>
        <w:t>Каждый вид производства характеризуется самостоятельностью и обособленностью. Вместе с тем наличие различных видов производства, установленный законом порядок и последовательность их осуществления являются важнейшим средством, обеспечивающим правильное и всестороннее рассмотрение подведомственных дел, гарантией соблюдения принципа законности.</w:t>
      </w:r>
    </w:p>
    <w:p w:rsidR="00081E6C" w:rsidRDefault="00081E6C">
      <w:pPr>
        <w:pStyle w:val="21"/>
        <w:ind w:firstLine="900"/>
      </w:pPr>
      <w:r>
        <w:t>В соответствии с вышеуказанным критерием классификации производств в систему административного процесса можно включить следующие производства:</w:t>
      </w:r>
    </w:p>
    <w:p w:rsidR="00081E6C" w:rsidRDefault="00081E6C">
      <w:pPr>
        <w:pStyle w:val="21"/>
        <w:numPr>
          <w:ilvl w:val="0"/>
          <w:numId w:val="4"/>
        </w:numPr>
      </w:pPr>
      <w:r>
        <w:t>по предложениям, заявлениям и жалобам граждан;</w:t>
      </w:r>
    </w:p>
    <w:p w:rsidR="00081E6C" w:rsidRDefault="00081E6C">
      <w:pPr>
        <w:pStyle w:val="21"/>
        <w:numPr>
          <w:ilvl w:val="0"/>
          <w:numId w:val="4"/>
        </w:numPr>
      </w:pPr>
      <w:r>
        <w:t>по делам о поощрениях;</w:t>
      </w:r>
    </w:p>
    <w:p w:rsidR="00081E6C" w:rsidRDefault="00081E6C">
      <w:pPr>
        <w:pStyle w:val="21"/>
        <w:numPr>
          <w:ilvl w:val="0"/>
          <w:numId w:val="4"/>
        </w:numPr>
      </w:pPr>
      <w:r>
        <w:t>по делам и дисциплинарным проступкам, подлежащим разрешению администрацией предприятия, учреждения, организации;</w:t>
      </w:r>
    </w:p>
    <w:p w:rsidR="00081E6C" w:rsidRDefault="00081E6C">
      <w:pPr>
        <w:pStyle w:val="21"/>
        <w:numPr>
          <w:ilvl w:val="0"/>
          <w:numId w:val="4"/>
        </w:numPr>
      </w:pPr>
      <w:r>
        <w:t>по делам об административных правонарушениях;</w:t>
      </w:r>
    </w:p>
    <w:p w:rsidR="00081E6C" w:rsidRDefault="00081E6C">
      <w:pPr>
        <w:pStyle w:val="21"/>
        <w:numPr>
          <w:ilvl w:val="0"/>
          <w:numId w:val="4"/>
        </w:numPr>
      </w:pPr>
      <w:r>
        <w:t>по принятию актов государственного управления.</w:t>
      </w:r>
    </w:p>
    <w:p w:rsidR="00081E6C" w:rsidRDefault="00081E6C">
      <w:pPr>
        <w:pStyle w:val="21"/>
      </w:pPr>
      <w:r>
        <w:t>Выделяют также производство по делам о возмещении в административном порядке материального ущерба. Как правило все виды административных производств осуществляют соответствующие органы управления, и лишь в некоторых предусмотренных законом случаях – иные компетентные органы. Общественные отношения, возникающие в ходе осуществления того или иного вида производства, регулируются административно-процессуальными нормами. Именно эти факторы объединяют отдельные производства в единый административный процесс.</w:t>
      </w:r>
    </w:p>
    <w:p w:rsidR="00081E6C" w:rsidRDefault="00081E6C">
      <w:pPr>
        <w:pStyle w:val="21"/>
        <w:ind w:firstLine="720"/>
      </w:pPr>
      <w:r>
        <w:t xml:space="preserve">Подводя итог, можно отметить, что выделение административных производств как составной части административного процесса, логически вытекает из разнообразия дел, решаемых органами государственной исполнительной власти, и применяемых при этом норм права. </w:t>
      </w: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Управление в области внешнеэкономической деятельности</w:t>
      </w: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pStyle w:val="21"/>
        <w:ind w:firstLine="720"/>
      </w:pPr>
      <w:r>
        <w:t>Либерализация внешнеэкономической деятельности в Республике Беларусь создала условия для выхода на внешние рынки большого числа хозяйствующих субъектов, осуществляющих различные внешнеэкономические операции. Внешнеэкономическая деятельность реализуется в таких основных формах, как: внешняя торговля, производственное кооперирование, научно-техническое сотрудничество, совместное предпринимательство на территории страны и за рубежом. Привлечение иностранной рабочей силы и капитала, участие в работе международных организаций и объединений.</w:t>
      </w:r>
    </w:p>
    <w:p w:rsidR="00081E6C" w:rsidRDefault="00081E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Интенсивность внешнеэкономической деятельности, ее структура, географическая направленность в значительной степени зависят от методов государственного регулирования. Целями государственного регулирования внешнеэкономической деятельности в Республике Беларусь являются защита ее экономического суверенитета, обеспечение экономической безопасности, стимулирование развития национальной экономики и обеспечение условий эффективной интеграции страны в мировую экономику.</w:t>
      </w:r>
    </w:p>
    <w:p w:rsidR="00081E6C" w:rsidRDefault="00081E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рыночной экономики меняется характер воздействия государства на внешнеэкономическую деятельность – происходит переход от непосредственного управления ею путем централизованного, жесткого планирования и директивных указаний сверху к методам индикативного (необязательного для исполнителей) государственного регулирования, использования по преимуществу косвенных рычагов воздействия и установления «правил игры» для участников внешнеэкономической деятельности.</w:t>
      </w:r>
    </w:p>
    <w:p w:rsidR="00081E6C" w:rsidRDefault="00081E6C">
      <w:pPr>
        <w:pStyle w:val="23"/>
      </w:pPr>
      <w:r>
        <w:t>Первым комплексным актом Республики Беларусь, регулирующим внешнеэкономическую деятельность, стал закон Республики Беларусь "Об основах внешнеэкономической деятельности", принятый 25 октября 1990 года. С 15 июня 2005 года вступил в силу Закон Республики Беларусь от 25 ноября 2004 г. № 347-З "О государственном регулировании внешнеторговой деятельности".</w:t>
      </w:r>
    </w:p>
    <w:p w:rsidR="00081E6C" w:rsidRDefault="00081E6C">
      <w:pPr>
        <w:pStyle w:val="23"/>
      </w:pPr>
      <w:r>
        <w:t>Государственное регулирование внешнеэкономической деятельности в Республике Беларусь осуществляется Президентом Республики Беларусь, Национальным собранием Республики Беларусь, Правительством Республики Беларусь и иными уполномоченными государственными органами Республики Беларусь в соответствии с Законом "О государственном регулировании внешнеторговой деятельности", иными актами законодательства Республики Беларусь и нормами международного права, действующими для Республики Беларусь.</w:t>
      </w:r>
    </w:p>
    <w:p w:rsidR="00081E6C" w:rsidRDefault="00081E6C">
      <w:pPr>
        <w:pStyle w:val="23"/>
      </w:pPr>
      <w:r>
        <w:t>Основными направлениями в сфере внешнеэкономической деятельности Республики Беларусь являются:</w:t>
      </w:r>
    </w:p>
    <w:p w:rsidR="00081E6C" w:rsidRDefault="00081E6C">
      <w:pPr>
        <w:numPr>
          <w:ilvl w:val="0"/>
          <w:numId w:val="6"/>
        </w:numPr>
        <w:tabs>
          <w:tab w:val="clear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государственной внешнеэкономической политики на основе многовекторности, сложившегося международного разделения труда и рынков товаров и услуг;</w:t>
      </w:r>
    </w:p>
    <w:p w:rsidR="00081E6C" w:rsidRDefault="00081E6C">
      <w:pPr>
        <w:numPr>
          <w:ilvl w:val="0"/>
          <w:numId w:val="6"/>
        </w:numPr>
        <w:tabs>
          <w:tab w:val="clear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для участия белорусских товаров в международном торгово-экономическом обороте;</w:t>
      </w:r>
    </w:p>
    <w:p w:rsidR="00081E6C" w:rsidRDefault="00081E6C">
      <w:pPr>
        <w:pStyle w:val="23"/>
        <w:numPr>
          <w:ilvl w:val="0"/>
          <w:numId w:val="6"/>
        </w:numPr>
        <w:tabs>
          <w:tab w:val="clear" w:pos="1620"/>
        </w:tabs>
        <w:ind w:left="0" w:firstLine="900"/>
      </w:pPr>
      <w:r>
        <w:t>защита интересов организаций и индивидуальных предпринимателей - резидентов Республики Беларусь на внешнем рынке;</w:t>
      </w:r>
    </w:p>
    <w:p w:rsidR="00081E6C" w:rsidRDefault="00081E6C">
      <w:pPr>
        <w:numPr>
          <w:ilvl w:val="0"/>
          <w:numId w:val="6"/>
        </w:numPr>
        <w:tabs>
          <w:tab w:val="clear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условий роста экспорта;</w:t>
      </w:r>
    </w:p>
    <w:p w:rsidR="00081E6C" w:rsidRDefault="00081E6C">
      <w:pPr>
        <w:numPr>
          <w:ilvl w:val="0"/>
          <w:numId w:val="6"/>
        </w:numPr>
        <w:tabs>
          <w:tab w:val="clear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внешних государственных заимствований в пределах лимита внешнего государственного долга Республики Беларусь, установленного законодательством Республики Беларусь;</w:t>
      </w:r>
    </w:p>
    <w:p w:rsidR="00081E6C" w:rsidRDefault="00081E6C">
      <w:pPr>
        <w:numPr>
          <w:ilvl w:val="0"/>
          <w:numId w:val="6"/>
        </w:numPr>
        <w:tabs>
          <w:tab w:val="clear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развитие экспорта высоких технологий и содействие импорту высоких технологий в целях ускоренного развития национальной экономики;</w:t>
      </w:r>
    </w:p>
    <w:p w:rsidR="00081E6C" w:rsidRDefault="00081E6C">
      <w:pPr>
        <w:numPr>
          <w:ilvl w:val="0"/>
          <w:numId w:val="6"/>
        </w:numPr>
        <w:tabs>
          <w:tab w:val="clear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доступа к источникам сырья и товарам, производство которых невозможно либо неэффективно в Республике Беларусь.</w:t>
      </w:r>
    </w:p>
    <w:p w:rsidR="00081E6C" w:rsidRDefault="00081E6C">
      <w:pPr>
        <w:pStyle w:val="23"/>
      </w:pPr>
      <w:r>
        <w:t>Непосредственно участие в регулировании внешнеэкономической деятельности принимает Министерство экономики, Государственный таможенный комитет, Национальный банк Республики Беларусь. Так, на Главное управление внешнеэкономических связей Министерства экономики возлагаются следующие функции: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участие в разработке и реализации мер по обеспечению устойчивого экономического роста, обеспечивает подготовку разделов по внешнеэкономической деятельности концепций, программ и прогнозов социально-экономического развития республики, мероприятий, ориентиров и показателей, направленных на выполнение намеченных задач, а также принимает участие в подготовке проектов соответствующих законодательных и иных нормативно-правовых актов;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участие в разработке основных направлений и подготовке программ развития внешнеэкономической деятельности, составляет прогнозы торговых и платежных балансов;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подготовка предложений по формированию экспортно-импортной политики государства, включая меры тарифного и нетарифного регулирования внешнеэкономической деятельности, в том числе в рамках Союзного государства, СНГ и ЕврАзЭС;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участие в проработке вопросов договорных отношений и отношений партнерства между республикой и зарубежными государствами, основанных на экономической выгодности, эквивалентности и взаимной ответственности;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участие в выработке и реализации мер по созданию и развитию свободных экономических зон на территории Республики Беларусь;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участие в работе по подготовке к переговорам материалов, касающихся взаимоотношений республики со Всемирной торговой организацией;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участие в подготовке проведения межправительственных и межведомственных комиссий по торгово-экономическому сотрудничеству;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подготовка материалов к заседаниям и делопроизводство Комиссии по вопросам международного технического сотрудничества при Совете Министров Республики Беларусь;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подготовка предложений по координации управления программами и проектами международного технического сотрудничества;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подготовка и экспертиза проектов соглашений, договоров, стратегий, программ и иных программных документов сотрудничества Республики Беларусь с международными организациями;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координация работы структурных подразделений Министерства экономики по вопросам подготовки и оформления выездных документов для командирования сотрудников министерства за границу;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 xml:space="preserve">подведение итогов в рамках своей компетенции по выполнению Программы действий Республики Беларусь и Российской Федерации по реализации положений Договора о создании Союзного государства; </w:t>
      </w:r>
    </w:p>
    <w:p w:rsidR="00081E6C" w:rsidRDefault="00081E6C">
      <w:pPr>
        <w:pStyle w:val="23"/>
        <w:numPr>
          <w:ilvl w:val="0"/>
          <w:numId w:val="5"/>
        </w:numPr>
        <w:tabs>
          <w:tab w:val="clear" w:pos="1620"/>
          <w:tab w:val="num" w:pos="1260"/>
        </w:tabs>
        <w:ind w:left="0" w:firstLine="900"/>
      </w:pPr>
      <w:r>
        <w:t>анализ и оценка межрегионального торгово-экономического сотрудничества Республики Беларусь и Российской Федерации.</w:t>
      </w:r>
    </w:p>
    <w:p w:rsidR="00081E6C" w:rsidRDefault="00081E6C">
      <w:pPr>
        <w:pStyle w:val="23"/>
      </w:pPr>
      <w:r>
        <w:t>Важная роль в регулировании внешнеэкономической деятельности принадлежит Национальному банку Республики Беларусь, который заключает межбанковские соглашения, представляет интересы страны в отношениях с центральными банками  других государств, международными банками и другими финансово-кредитными учреждениями. Национальный банк проводит все виды валютных операций, разрабатывает условия и правила обращения в стране иностранной валюты и ценных бумаг, регулирует курс белорусского рубля по отношению к валютам других стран, издает нормативные акты и др.</w:t>
      </w: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spacing w:line="360" w:lineRule="auto"/>
        <w:rPr>
          <w:sz w:val="28"/>
          <w:szCs w:val="28"/>
        </w:rPr>
      </w:pPr>
    </w:p>
    <w:p w:rsidR="00081E6C" w:rsidRDefault="00081E6C">
      <w:pPr>
        <w:pStyle w:val="1"/>
      </w:pPr>
      <w:r>
        <w:t>Задача</w:t>
      </w: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Условие:</w:t>
      </w:r>
    </w:p>
    <w:p w:rsidR="00081E6C" w:rsidRDefault="00081E6C">
      <w:pPr>
        <w:spacing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Санитарный врач города наложил штраф в сумме трех базовых величин на директора ресторана «Журавинка» за систематическое нарушение санитарных норм и запретил пользоваться подсобными помещениями до устранения указанных им недостатков.</w:t>
      </w:r>
    </w:p>
    <w:p w:rsidR="00081E6C" w:rsidRDefault="00081E6C">
      <w:pPr>
        <w:spacing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Директор обратился с жалобой к представителю райисполкома, который отменил постановление санитарного врача и объявил ему выговор за дезорганизацию работы ресторана.</w:t>
      </w:r>
    </w:p>
    <w:p w:rsidR="00081E6C" w:rsidRDefault="00081E6C">
      <w:pPr>
        <w:spacing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Санитарный врач города посчитал, что действия представителя исполкома незаконны и направил постановление о наложении взыскании на директора ресторана на принудительное исполнение в суд.</w:t>
      </w:r>
    </w:p>
    <w:p w:rsidR="00081E6C" w:rsidRDefault="00081E6C">
      <w:pPr>
        <w:pStyle w:val="21"/>
        <w:ind w:firstLine="902"/>
      </w:pPr>
      <w:r>
        <w:t>Обосновать нормами права законность действий должностных лиц; порядок обжалования и исполнения постановления о наложении административных взысканий, сроки исполнения.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Решение:</w:t>
      </w:r>
    </w:p>
    <w:p w:rsidR="00081E6C" w:rsidRDefault="00081E6C">
      <w:pPr>
        <w:pStyle w:val="3"/>
      </w:pPr>
      <w:r>
        <w:t>В соответствии со ст. 41 Закона Республики Беларусь «О санитарно-эпидемическом  благополучии населения» санитарный врач имеет право рассматривать дела  об   административных   правонарушениях   и налагать      административные взыскания за нарушение санитарно-эпидемиологического законодательства.</w:t>
      </w:r>
    </w:p>
    <w:p w:rsidR="00081E6C" w:rsidRDefault="00081E6C">
      <w:pPr>
        <w:pStyle w:val="a6"/>
        <w:ind w:firstLine="900"/>
        <w:jc w:val="both"/>
      </w:pPr>
      <w:r>
        <w:t>Статья 16.8. Кодекса об административных правонарушениях гласит: нарушение санитарных норм, правил и гигиенических нормативов лицом, обязанным соблюдать эти правила влечет наложение штрафа в размере от двух до тридцати базовых величин, на индивидуального предпринимателя – до пятидесяти базовых величин, а на юридическое лицо – до двухсот базовых величин. Следовательно, наложение штрафа санитарным врачом обосновано.</w:t>
      </w:r>
    </w:p>
    <w:p w:rsidR="00081E6C" w:rsidRDefault="00081E6C">
      <w:pPr>
        <w:pStyle w:val="a6"/>
        <w:ind w:firstLine="900"/>
        <w:jc w:val="both"/>
      </w:pPr>
      <w:r>
        <w:t xml:space="preserve"> Что касается запрета  на пользование подсобными помещениями, то ст. 41 Закона Республики Беларусь «О санитарно-эпидемическом  благополучии населения» указывает, что санитарный врач имеет право приостанавливать   до   проведения  необходимых  мероприятий  и устранения   имеющихся  нарушений  санитарных  правил,  а  в  случае невозможности их соблюдения прекращать эксплуатацию  действующих  объектов, отдельных производственных цехов,   участков,   помещений,  зданий,  сооружений,  оборудования, транспортных средств, а также выполнение отдельных видов работ.</w:t>
      </w:r>
    </w:p>
    <w:p w:rsidR="00081E6C" w:rsidRDefault="00081E6C">
      <w:pPr>
        <w:pStyle w:val="21"/>
        <w:ind w:firstLine="900"/>
      </w:pPr>
      <w:r>
        <w:t>Так же следует отметить, что в соответствии со ст. 44 вышеуказанного Закона действия  органов  и учреждений, осуществляющих государственный санитарный  надзор,  или  должностных  лиц  этих  органов могут быть обжалованы   в   вышестоящий   в  порядке  подчиненности  орган  или должностному лицу, а при несогласии с их решением - в суд.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Подача жалобы не приостанавливает обжалуемого действия.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о наложении штрафа должно быть исполнено не позднее 15 дней со дня вручения его нарушителю, а в случае обжалования или опротестования – не позднее 15 дней со дня уведомления об оставлении жалобы или протеста без уведомления.</w:t>
      </w: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ind w:firstLine="900"/>
        <w:jc w:val="both"/>
        <w:rPr>
          <w:sz w:val="28"/>
          <w:szCs w:val="28"/>
        </w:rPr>
      </w:pP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использованных источников:</w:t>
      </w:r>
    </w:p>
    <w:p w:rsidR="00081E6C" w:rsidRDefault="00081E6C">
      <w:pPr>
        <w:spacing w:line="360" w:lineRule="auto"/>
        <w:jc w:val="center"/>
        <w:rPr>
          <w:b/>
          <w:bCs/>
          <w:sz w:val="28"/>
          <w:szCs w:val="28"/>
        </w:rPr>
      </w:pPr>
    </w:p>
    <w:p w:rsidR="00081E6C" w:rsidRDefault="00081E6C">
      <w:pPr>
        <w:numPr>
          <w:ilvl w:val="0"/>
          <w:numId w:val="7"/>
        </w:numPr>
        <w:tabs>
          <w:tab w:val="clear" w:pos="1785"/>
          <w:tab w:val="num" w:pos="108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«О санитарно-эпидемическом благополучии населения»: Закон Республики Беларусь  от 23 ноября 1993 г. N 2583-XII // Национальный реестр правовых актов Республики Беларусь,  2003 г., N 79, 2/966</w:t>
      </w:r>
    </w:p>
    <w:p w:rsidR="00081E6C" w:rsidRDefault="00081E6C">
      <w:pPr>
        <w:numPr>
          <w:ilvl w:val="0"/>
          <w:numId w:val="7"/>
        </w:numPr>
        <w:tabs>
          <w:tab w:val="clear" w:pos="1785"/>
          <w:tab w:val="num" w:pos="108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Административное право: Учеб. пособие / Д.А. Гавриленко, С.Д. Гавриленко; Под. ред. д-ра юрид. наук, проф. Д.А. Гавриленко. – Мн., Амалфея, 2002</w:t>
      </w:r>
    </w:p>
    <w:p w:rsidR="00081E6C" w:rsidRDefault="00081E6C">
      <w:pPr>
        <w:pStyle w:val="21"/>
        <w:numPr>
          <w:ilvl w:val="0"/>
          <w:numId w:val="7"/>
        </w:numPr>
        <w:tabs>
          <w:tab w:val="clear" w:pos="1785"/>
          <w:tab w:val="num" w:pos="1080"/>
        </w:tabs>
        <w:ind w:left="0" w:firstLine="900"/>
      </w:pPr>
      <w:r>
        <w:t>Антонова В.П. Административно-правовое регулирование в сфере экономики // Государство и право. – 2001. № 12</w:t>
      </w:r>
    </w:p>
    <w:p w:rsidR="00081E6C" w:rsidRDefault="00081E6C">
      <w:pPr>
        <w:numPr>
          <w:ilvl w:val="0"/>
          <w:numId w:val="7"/>
        </w:numPr>
        <w:tabs>
          <w:tab w:val="clear" w:pos="1785"/>
          <w:tab w:val="num" w:pos="108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управление: основы теории и организации [в 2 т.] / Под. ред. А.В. Казбанченко. – 2-е изд., изм. и доп. – М.: Статут, 2002</w:t>
      </w:r>
    </w:p>
    <w:p w:rsidR="00081E6C" w:rsidRDefault="00081E6C">
      <w:pPr>
        <w:numPr>
          <w:ilvl w:val="0"/>
          <w:numId w:val="7"/>
        </w:numPr>
        <w:tabs>
          <w:tab w:val="clear" w:pos="1785"/>
          <w:tab w:val="num" w:pos="108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Кодекс об административных правонарушениях, с изм. и доп.  </w:t>
      </w:r>
    </w:p>
    <w:p w:rsidR="00081E6C" w:rsidRDefault="00081E6C">
      <w:pPr>
        <w:numPr>
          <w:ilvl w:val="0"/>
          <w:numId w:val="7"/>
        </w:numPr>
        <w:tabs>
          <w:tab w:val="clear" w:pos="1785"/>
          <w:tab w:val="num" w:pos="108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Курс административного права Республики Беларусь / А.Н. Крамник. – Мн.: Тесей, 2002</w:t>
      </w:r>
      <w:bookmarkStart w:id="0" w:name="_GoBack"/>
      <w:bookmarkEnd w:id="0"/>
    </w:p>
    <w:sectPr w:rsidR="00081E6C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E6C" w:rsidRDefault="00081E6C">
      <w:r>
        <w:separator/>
      </w:r>
    </w:p>
  </w:endnote>
  <w:endnote w:type="continuationSeparator" w:id="0">
    <w:p w:rsidR="00081E6C" w:rsidRDefault="0008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E6C" w:rsidRDefault="003056E2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81E6C" w:rsidRDefault="00081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E6C" w:rsidRDefault="00081E6C">
      <w:r>
        <w:separator/>
      </w:r>
    </w:p>
  </w:footnote>
  <w:footnote w:type="continuationSeparator" w:id="0">
    <w:p w:rsidR="00081E6C" w:rsidRDefault="00081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61C09"/>
    <w:multiLevelType w:val="hybridMultilevel"/>
    <w:tmpl w:val="1480F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F0C85"/>
    <w:multiLevelType w:val="hybridMultilevel"/>
    <w:tmpl w:val="E5FCB61C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158C3F26"/>
    <w:multiLevelType w:val="hybridMultilevel"/>
    <w:tmpl w:val="4A180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D0B262">
      <w:start w:val="1"/>
      <w:numFmt w:val="decimal"/>
      <w:lvlText w:val="%2.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E90E79"/>
    <w:multiLevelType w:val="hybridMultilevel"/>
    <w:tmpl w:val="19C04E48"/>
    <w:lvl w:ilvl="0" w:tplc="8F0420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F236CCC"/>
    <w:multiLevelType w:val="hybridMultilevel"/>
    <w:tmpl w:val="53CC3B3A"/>
    <w:lvl w:ilvl="0" w:tplc="C7A489D6">
      <w:start w:val="2"/>
      <w:numFmt w:val="bullet"/>
      <w:lvlText w:val="-"/>
      <w:lvlJc w:val="left"/>
      <w:pPr>
        <w:tabs>
          <w:tab w:val="num" w:pos="795"/>
        </w:tabs>
        <w:ind w:left="795" w:hanging="57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cs="Wingdings" w:hint="default"/>
      </w:rPr>
    </w:lvl>
  </w:abstractNum>
  <w:abstractNum w:abstractNumId="5">
    <w:nsid w:val="77FF4795"/>
    <w:multiLevelType w:val="hybridMultilevel"/>
    <w:tmpl w:val="43D6D426"/>
    <w:lvl w:ilvl="0" w:tplc="410A9AC6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AE73A65"/>
    <w:multiLevelType w:val="hybridMultilevel"/>
    <w:tmpl w:val="F93AEEBA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6E2"/>
    <w:rsid w:val="00081E6C"/>
    <w:rsid w:val="003056E2"/>
    <w:rsid w:val="00495F63"/>
    <w:rsid w:val="00F6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4923A5-91D7-494B-A50B-5428027C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900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pPr>
      <w:spacing w:line="360" w:lineRule="auto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контрольной работы:</vt:lpstr>
    </vt:vector>
  </TitlesOfParts>
  <Company>ООО "ЖОПА"</Company>
  <LinksUpToDate>false</LinksUpToDate>
  <CharactersWithSpaces>16668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контрольной работы:</dc:title>
  <dc:subject/>
  <dc:creator>Vita</dc:creator>
  <cp:keywords/>
  <dc:description/>
  <cp:lastModifiedBy>admin</cp:lastModifiedBy>
  <cp:revision>2</cp:revision>
  <dcterms:created xsi:type="dcterms:W3CDTF">2014-03-06T10:56:00Z</dcterms:created>
  <dcterms:modified xsi:type="dcterms:W3CDTF">2014-03-06T10:56:00Z</dcterms:modified>
</cp:coreProperties>
</file>