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E50" w:rsidRDefault="002D4E50" w:rsidP="002D4E50">
      <w:pPr>
        <w:shd w:val="clear" w:color="auto" w:fill="FFFFFF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СТУДЕНТОВ</w:t>
      </w:r>
    </w:p>
    <w:p w:rsidR="002D4E50" w:rsidRDefault="002D4E50" w:rsidP="002D4E50">
      <w:pPr>
        <w:shd w:val="clear" w:color="auto" w:fill="FFFFFF"/>
        <w:ind w:firstLine="284"/>
        <w:jc w:val="center"/>
        <w:rPr>
          <w:b/>
          <w:sz w:val="28"/>
          <w:szCs w:val="28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/>
          <w:sz w:val="28"/>
          <w:szCs w:val="28"/>
        </w:rPr>
      </w:pPr>
    </w:p>
    <w:p w:rsidR="002D4E50" w:rsidRDefault="002D4E50" w:rsidP="002D4E50">
      <w:pPr>
        <w:numPr>
          <w:ilvl w:val="0"/>
          <w:numId w:val="1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основной и дополнительной литературы</w:t>
      </w:r>
    </w:p>
    <w:p w:rsidR="002D4E50" w:rsidRDefault="002D4E50" w:rsidP="002D4E50">
      <w:pPr>
        <w:shd w:val="clear" w:color="auto" w:fill="FFFFFF"/>
        <w:tabs>
          <w:tab w:val="left" w:pos="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Для освоения вопросов, рассматриваемых при изучении дисциплины, студентам рекомендуется следующая основная и дополнительная литература для подготовки:</w:t>
      </w:r>
    </w:p>
    <w:p w:rsidR="002D4E50" w:rsidRDefault="002D4E50" w:rsidP="002D4E50">
      <w:pPr>
        <w:pStyle w:val="20"/>
        <w:rPr>
          <w:b/>
          <w:bCs/>
          <w:sz w:val="24"/>
        </w:rPr>
      </w:pPr>
      <w:r>
        <w:rPr>
          <w:b/>
          <w:bCs/>
          <w:sz w:val="24"/>
        </w:rPr>
        <w:t>Список основной литературы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Гнездилов А.В., Губачев Ю.М. Терминальные состояния и паллиативная терапия. Сер. Библиотека семейного врача. – СПб., 2000. – 58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Губачев Ю.М. Семейная медицина в России. Сер. Библиотека семейного врача. – СПб., 1998. – 86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Губачев Ю.М., Макиенко В.В. Психосоциальные проблемы семейной медицины. Сер. Библиотека семейного врача. – СПб., 1998. – 50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Денисов И.Н., Мовшович Б.Л. Общая врачебная практика: внутренние болезни - интернология. Практическое руководство. – М.: ГОУ ВУНМЦ МЗ РФ, 2001. – 496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Кашин В.В. Организационные основы общей врачебной практики. Учебное пособие. – Петрозаводский государственный университет, 1999. – 166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Лаптева Е.Н., Губачев Ю.М. Семейный врач и организация здорового образа жизни. Часть </w:t>
      </w:r>
      <w:r>
        <w:rPr>
          <w:sz w:val="24"/>
          <w:lang w:val="en-US"/>
        </w:rPr>
        <w:t>I</w:t>
      </w:r>
      <w:r>
        <w:rPr>
          <w:sz w:val="24"/>
        </w:rPr>
        <w:t>. Проблемы рационального питания. – СПб., 2000. – 78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Менделевич В.Д. Клиническая и медицинская психология. М.: Медпресс, 2001. – 592 с.</w:t>
      </w:r>
    </w:p>
    <w:p w:rsidR="002D4E50" w:rsidRDefault="002D4E50" w:rsidP="002D4E50">
      <w:pPr>
        <w:pStyle w:val="1"/>
        <w:numPr>
          <w:ilvl w:val="0"/>
          <w:numId w:val="2"/>
        </w:numPr>
        <w:rPr>
          <w:sz w:val="24"/>
        </w:rPr>
      </w:pPr>
      <w:r>
        <w:rPr>
          <w:sz w:val="24"/>
        </w:rPr>
        <w:t>Общепрактическая и семейная медицина. / Под ред. М. М. Михаэля. – Минск: «Беларусь», 1997. – 618 с.</w:t>
      </w:r>
    </w:p>
    <w:p w:rsidR="002D4E50" w:rsidRDefault="002D4E50" w:rsidP="002D4E50">
      <w:pPr>
        <w:pStyle w:val="1"/>
        <w:rPr>
          <w:b/>
          <w:bCs/>
          <w:sz w:val="24"/>
        </w:rPr>
      </w:pPr>
      <w:r>
        <w:rPr>
          <w:b/>
          <w:bCs/>
          <w:sz w:val="24"/>
        </w:rPr>
        <w:t>Список дополнительной литературы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  <w:szCs w:val="24"/>
        </w:rPr>
      </w:pPr>
      <w:r>
        <w:rPr>
          <w:sz w:val="24"/>
        </w:rPr>
        <w:t>Гец Л., Вестин С. Руководство для преподавателей и врачей общей практики / перевод с норвежского под ред. проф. Кузнецовой О.Ю. – СПб.: СПбМАПО, 2005. – 352 с.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Зильбер А.П. Трактат об эвтаназии. – Петрозаводск, Изд-во ПетрГУ, 1999. – 214 с. 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>Квалификационные тесты по общей врачебной практике (семейной медицине). – СПб.: Питер Ком, 1999. – 256 с.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Меркушева Е.В., Похис К.А. Обучение пациентов в практике семейного врача. – СПб.: МАПО, 1998. – 27 с. 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>Мерта Дж. Справочник врача общей практики: Пер. с англ. – М.: Практика, 1999. – 1230 с.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>Общая врачебная практика (семейная медицина). Т. 1, 2 / Под ред. С.А. Симбирцева, Н.Н. Гурина. – СПб.: МАПО, 1996. – 1170 с.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Похис К.А.. Меркушева Е.В., Кузнецова О.Ю. Яременко Л.Н. Рациональное питание. – СПб.: МАПО, 1999. – 47 с. 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Практическое руководство для врачей общей (семейной) практики / Под ред. И.Н. Денисова. – М.: Гэотард-Мед, 2001. – 720 с. 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>Руководство по профилактической деятельности врача общей практики (семейного врача) / Под ред. А.В. Шаброва, В.Г. Маймулова. – СПб.: ГМА им. И.И. Мечникова, 1997. – 298 с.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>Справочник врача общей практики. Т. 1, 2 / Под ред. Н.Р. Палеева. – М.: Эксмо-Пресс, 1999. – 1926 с.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Справочник Харрисона по внутренним болезням. / Под ред. К. Иссельбахера, Е. Браунвальда, Дж. Вилсон и др. – СПб.: Питер, 1999. – 976 с. </w:t>
      </w:r>
    </w:p>
    <w:p w:rsidR="002D4E50" w:rsidRDefault="002D4E50" w:rsidP="002D4E50">
      <w:pPr>
        <w:pStyle w:val="1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Хорошинина Л.П. Избранные вопросы питания людей старших возрастных групп. – СПб.: МАПО, 1998. – 73 с. </w:t>
      </w:r>
    </w:p>
    <w:p w:rsidR="002D4E50" w:rsidRDefault="002D4E50" w:rsidP="002D4E50">
      <w:pPr>
        <w:pStyle w:val="1"/>
        <w:rPr>
          <w:sz w:val="24"/>
        </w:rPr>
      </w:pPr>
      <w:r>
        <w:rPr>
          <w:sz w:val="24"/>
        </w:rPr>
        <w:t>Журналы:</w:t>
      </w:r>
    </w:p>
    <w:p w:rsidR="002D4E50" w:rsidRDefault="002D4E50" w:rsidP="002D4E50">
      <w:pPr>
        <w:pStyle w:val="1"/>
        <w:numPr>
          <w:ilvl w:val="0"/>
          <w:numId w:val="4"/>
        </w:numPr>
        <w:rPr>
          <w:sz w:val="24"/>
        </w:rPr>
      </w:pPr>
      <w:r>
        <w:rPr>
          <w:sz w:val="24"/>
        </w:rPr>
        <w:t>«Российский семейный врач», 2000-2007 гг.</w:t>
      </w:r>
    </w:p>
    <w:p w:rsidR="002D4E50" w:rsidRDefault="002D4E50" w:rsidP="002D4E50">
      <w:pPr>
        <w:pStyle w:val="1"/>
        <w:numPr>
          <w:ilvl w:val="0"/>
          <w:numId w:val="4"/>
        </w:numPr>
        <w:rPr>
          <w:sz w:val="24"/>
        </w:rPr>
      </w:pPr>
      <w:r>
        <w:rPr>
          <w:sz w:val="24"/>
        </w:rPr>
        <w:t>«Врач», 2000-2007 гг.</w:t>
      </w:r>
    </w:p>
    <w:p w:rsidR="002D4E50" w:rsidRDefault="002D4E50" w:rsidP="002D4E50">
      <w:pPr>
        <w:shd w:val="clear" w:color="auto" w:fill="FFFFFF"/>
        <w:ind w:left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/>
          <w:sz w:val="24"/>
          <w:szCs w:val="24"/>
          <w:lang w:val="en-US"/>
        </w:rPr>
      </w:pPr>
    </w:p>
    <w:p w:rsidR="002D4E50" w:rsidRDefault="002D4E50" w:rsidP="002D4E50">
      <w:pPr>
        <w:numPr>
          <w:ilvl w:val="0"/>
          <w:numId w:val="1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Рекомендации по организации самостоятельной работы</w:t>
      </w: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проведении занятий по дисциплине студент должен самостоятельно изучить следующие вопросы к темам занятий: </w:t>
      </w:r>
    </w:p>
    <w:p w:rsidR="002D4E50" w:rsidRDefault="002D4E50" w:rsidP="002D4E50">
      <w:pPr>
        <w:pStyle w:val="2"/>
        <w:jc w:val="left"/>
        <w:rPr>
          <w:sz w:val="24"/>
          <w:u w:val="single"/>
        </w:rPr>
      </w:pPr>
      <w:r>
        <w:rPr>
          <w:sz w:val="24"/>
          <w:u w:val="single"/>
        </w:rPr>
        <w:t>К теме №1.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История семейной медицины: история земской медицины как прообраза общей врачебной практики/семейной медицины в России и основные принципы, роднящие земского врача и современного врача общей практики/семейного врача – / Кашин В.В. Организационные основы общей врачебной практики. Учебное пособие. – Петрозаводский государственный университет, 1999. – 166 с. (гл. 1, стр. 10-44)</w:t>
      </w:r>
    </w:p>
    <w:p w:rsidR="002D4E50" w:rsidRDefault="002D4E50" w:rsidP="002D4E50">
      <w:pPr>
        <w:pStyle w:val="1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 теме №2.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1) Правовые вопросы охраны здоровья семьи – / Руководство по профилактической деятельности врача общей практики (семейного врача) / Под ред. А.В. Шаброва, В.Г. Маймулова. – СПб.: ГМА им. И.И. Мечникова, 1997. – 298 с. (гл. 12, стр. 281-294)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2) Потребность семьи в медико-социальной помощи, диагностика здоровья семьи – / Руководство по профилактической деятельности врача общей практики (семейного врача) / Под ред. А.В. Шаброва, В.Г. Маймулова. – СПб.: ГМА им. И.И. Мечникова, 1997. – 298 с. (гл.3, стр. 55-73)</w:t>
      </w:r>
    </w:p>
    <w:p w:rsidR="002D4E50" w:rsidRDefault="002D4E50" w:rsidP="002D4E50">
      <w:pPr>
        <w:pStyle w:val="1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 теме №3.</w:t>
      </w:r>
    </w:p>
    <w:p w:rsidR="002D4E50" w:rsidRDefault="002D4E50" w:rsidP="002D4E50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>Написание реферат на тему: «Биологическая роль микроэлемента в организме человека» (требования к оформлению и содержанию, а также список литературы смотри ниже).</w:t>
      </w:r>
    </w:p>
    <w:p w:rsidR="002D4E50" w:rsidRDefault="002D4E50" w:rsidP="002D4E50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К теме №4</w:t>
      </w:r>
      <w:r>
        <w:rPr>
          <w:sz w:val="24"/>
          <w:szCs w:val="24"/>
        </w:rPr>
        <w:t>.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1) Психосоциальные детерминанты нездоровья – / Общепрактическая и семейная медицина. / Под ред. М. М. Михаэля. – Минск: «Беларусь», 1997. – 618 с. (часть А, стр. 48-60)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2) Взаимосвязь «врач – пациент» в общей врачебной практике – / Общепрактическая и семейная медицина. / Под ред. М. М. Михаэля. – Минск: «Беларусь», 1997. – 618 с. (часть А, стр. 60-77; часть В, стр. 340-342)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3) Процесс принятия решений в общей врачебной практике – / Общепрактическая и семейная медицина. / Под ред. М. М. Михаэля. – Минск: «Беларусь», 1997. – 618 с. (часть А, стр. 77-96)</w:t>
      </w:r>
    </w:p>
    <w:p w:rsidR="002D4E50" w:rsidRDefault="002D4E50" w:rsidP="002D4E50">
      <w:pPr>
        <w:pStyle w:val="1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 теме №5.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>1) Боль – организация болевых путей  – Справочник Харрисона по внутренним болезням. / Под ред. К. Иссельбахера, Е. Браунвальда, Дж. Вилсон и др. – СПб.: Питер, 1999. – 976 с. (глава 1, стр. 26-30)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2) Основные принципы врачебного сопутствия умирающим и их родственникам – / Общепрактическая и семейная медицина. / Под ред. М. М. Михаэля. – Минск: «Беларусь», 1997. – 618 с. (часть В, стр. 342-351; часть В, стр. 365 - 277) </w:t>
      </w:r>
    </w:p>
    <w:p w:rsidR="002D4E50" w:rsidRDefault="002D4E50" w:rsidP="002D4E50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4) Эвтаназия: определение, виды, причины появления, этические аспекты - / Трактат об эвтаназии. /Зильбер А.П. – Петрозаводск, Изд-во ПетрГУ, 1999. – 214 с. </w:t>
      </w:r>
    </w:p>
    <w:p w:rsidR="002D4E50" w:rsidRDefault="002D4E50" w:rsidP="002D4E50">
      <w:pPr>
        <w:shd w:val="clear" w:color="auto" w:fill="FFFFFF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2D4E50" w:rsidRDefault="002D4E50" w:rsidP="002D4E50">
      <w:pPr>
        <w:numPr>
          <w:ilvl w:val="0"/>
          <w:numId w:val="1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Рекомендации по выполнению и требования к оформлению реферата</w:t>
      </w:r>
    </w:p>
    <w:p w:rsidR="002D4E50" w:rsidRDefault="002D4E50" w:rsidP="002D4E50">
      <w:pPr>
        <w:pStyle w:val="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Предлагаемая тематика рефератов: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марганца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молибдена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кобальта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цинка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меди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кадмия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лития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селена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йода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магния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никеля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хрома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алюминия в организме человека.</w:t>
      </w:r>
    </w:p>
    <w:p w:rsidR="002D4E50" w:rsidRDefault="002D4E50" w:rsidP="002D4E50">
      <w:pPr>
        <w:pStyle w:val="1"/>
        <w:numPr>
          <w:ilvl w:val="0"/>
          <w:numId w:val="5"/>
        </w:numPr>
        <w:ind w:left="1276" w:hanging="283"/>
        <w:rPr>
          <w:sz w:val="24"/>
          <w:szCs w:val="24"/>
        </w:rPr>
      </w:pPr>
      <w:r>
        <w:rPr>
          <w:sz w:val="24"/>
          <w:szCs w:val="24"/>
        </w:rPr>
        <w:t>Биологическая роль фтора в организме человека.</w:t>
      </w: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Реферат выполняется в письменном виде (от руки либо в печатной форме) на листах белой бумаги формата А4. Основными разделами реферата являются: </w:t>
      </w:r>
    </w:p>
    <w:p w:rsidR="002D4E50" w:rsidRDefault="002D4E50" w:rsidP="002D4E50">
      <w:pPr>
        <w:numPr>
          <w:ilvl w:val="0"/>
          <w:numId w:val="6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титульный лист – содержит сведения об учреждении и структурном подразделении, где выполнялся реферат; о руководителе структурного подразделения и преподавателе, проводившем занятия; а также содержит название реферата и сведения, о том, кто его выполнил.  </w:t>
      </w:r>
    </w:p>
    <w:p w:rsidR="002D4E50" w:rsidRDefault="002D4E50" w:rsidP="002D4E50">
      <w:pPr>
        <w:numPr>
          <w:ilvl w:val="0"/>
          <w:numId w:val="6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содержание – отражает основные разделы реферата с указанием страниц, на которых они расположены. </w:t>
      </w:r>
    </w:p>
    <w:p w:rsidR="002D4E50" w:rsidRDefault="002D4E50" w:rsidP="002D4E50">
      <w:pPr>
        <w:numPr>
          <w:ilvl w:val="0"/>
          <w:numId w:val="6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основная часть – собственно информационная часть, отражающая освещение следующих вопросов: </w:t>
      </w:r>
    </w:p>
    <w:p w:rsidR="002D4E50" w:rsidRDefault="002D4E50" w:rsidP="002D4E50">
      <w:pPr>
        <w:shd w:val="clear" w:color="auto" w:fill="FFFFFF"/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биологические процессы, в которых принимает участие микроэлемент;</w:t>
      </w:r>
    </w:p>
    <w:p w:rsidR="002D4E50" w:rsidRDefault="002D4E50" w:rsidP="002D4E50">
      <w:pPr>
        <w:shd w:val="clear" w:color="auto" w:fill="FFFFFF"/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суточная потребность в микроэлементе для различных контингентов населения (взрослые, подростки и дети мужского и женского пола);</w:t>
      </w:r>
    </w:p>
    <w:p w:rsidR="002D4E50" w:rsidRDefault="002D4E50" w:rsidP="002D4E50">
      <w:pPr>
        <w:shd w:val="clear" w:color="auto" w:fill="FFFFFF"/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продукты, в которых содержится микроэлемент с указанием его количества на 100 г продукта; </w:t>
      </w:r>
    </w:p>
    <w:p w:rsidR="002D4E50" w:rsidRDefault="002D4E50" w:rsidP="002D4E50">
      <w:pPr>
        <w:shd w:val="clear" w:color="auto" w:fill="FFFFFF"/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клинические проявления избытка и недостатка микроэлемента в организме человека; </w:t>
      </w:r>
    </w:p>
    <w:p w:rsidR="002D4E50" w:rsidRDefault="002D4E50" w:rsidP="002D4E50">
      <w:pPr>
        <w:shd w:val="clear" w:color="auto" w:fill="FFFFFF"/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лекарственные средства, содержащие микроэлемент и использующиеся для профилактики и коррекции его недостаточности в организме человека. </w:t>
      </w:r>
    </w:p>
    <w:p w:rsidR="002D4E50" w:rsidRDefault="002D4E50" w:rsidP="002D4E50">
      <w:pPr>
        <w:numPr>
          <w:ilvl w:val="0"/>
          <w:numId w:val="6"/>
        </w:num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библиография – включает в себя описание использованных для подготовки реферата источников в алфавитном порядке (сначала отечественные, затем зарубежные авторы) в библиографическом виде (с указание выходных данных), при этом указываются страницы, использованные для написания реферата. В случае использования Интернет – приводится режим доступа к использованному сайту. </w:t>
      </w: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Пример оформления титульного листа:</w:t>
      </w: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left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Государственное образовательное учреждение</w:t>
      </w:r>
    </w:p>
    <w:p w:rsidR="002D4E50" w:rsidRDefault="002D4E50" w:rsidP="002D4E50">
      <w:pPr>
        <w:shd w:val="clear" w:color="auto" w:fill="FFFFFF"/>
        <w:ind w:left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высшего профессионального образования</w:t>
      </w:r>
    </w:p>
    <w:p w:rsidR="002D4E50" w:rsidRDefault="002D4E50" w:rsidP="002D4E50">
      <w:pPr>
        <w:shd w:val="clear" w:color="auto" w:fill="FFFFFF"/>
        <w:ind w:left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«Петрозаводский государственный университет» (ПетрГУ)</w:t>
      </w:r>
    </w:p>
    <w:p w:rsidR="002D4E50" w:rsidRDefault="002D4E50" w:rsidP="002D4E50">
      <w:pPr>
        <w:shd w:val="clear" w:color="auto" w:fill="FFFFFF"/>
        <w:ind w:firstLine="284"/>
        <w:jc w:val="both"/>
        <w:rPr>
          <w:b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</w:rPr>
      </w:pP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кафедра семейной медицины (общей врачебной практики)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зав. кафедрой: д.м.н., профессор, проректор ПетрГУ по НИР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Доршакова Н.В.</w:t>
      </w:r>
    </w:p>
    <w:p w:rsidR="002D4E50" w:rsidRDefault="00C33614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преподаватель: д.м.н., доцент</w:t>
      </w:r>
      <w:r w:rsidR="002D4E50">
        <w:rPr>
          <w:bCs/>
          <w:sz w:val="24"/>
          <w:szCs w:val="24"/>
        </w:rPr>
        <w:t xml:space="preserve"> 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Карапетян Т.А.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БИОЛОГИЧЕСКАЯ РОЛЬ МИКРОЭЛЕМЕНТА …. В ОРГАНИЗМЕ ЧЕЛОВЕКА</w:t>
      </w:r>
    </w:p>
    <w:p w:rsidR="002D4E50" w:rsidRDefault="002D4E50" w:rsidP="002D4E50">
      <w:pPr>
        <w:shd w:val="clear" w:color="auto" w:fill="FFFFFF"/>
        <w:ind w:firstLine="284"/>
        <w:jc w:val="both"/>
        <w:rPr>
          <w:bCs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</w:rPr>
      </w:pP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выполнил(а)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студент(ка) 6.. группы 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ФИО</w:t>
      </w:r>
    </w:p>
    <w:p w:rsidR="002D4E50" w:rsidRDefault="002D4E50" w:rsidP="002D4E50">
      <w:pPr>
        <w:shd w:val="clear" w:color="auto" w:fill="FFFFFF"/>
        <w:ind w:firstLine="284"/>
        <w:jc w:val="right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Петрозаводск, 200. г.</w:t>
      </w: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Пример оформления содержания:</w:t>
      </w: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Содержание</w:t>
      </w: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Биологические процессы, в которых принимает участие микроэлемент……………………..…… 3</w:t>
      </w:r>
    </w:p>
    <w:p w:rsidR="002D4E50" w:rsidRDefault="002D4E50" w:rsidP="002D4E5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Суточная потребность в микроэлементе для различных контингентов населения (взрослые, </w:t>
      </w:r>
    </w:p>
    <w:p w:rsidR="002D4E50" w:rsidRDefault="002D4E50" w:rsidP="002D4E5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подростки и дети мужского и женского пола)………………………………………………..……… 5</w:t>
      </w:r>
    </w:p>
    <w:p w:rsidR="002D4E50" w:rsidRDefault="002D4E50" w:rsidP="002D4E5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Продукты, в которых содержится микроэлемент………………………………………….………….7  </w:t>
      </w:r>
    </w:p>
    <w:p w:rsidR="002D4E50" w:rsidRDefault="002D4E50" w:rsidP="002D4E5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Клинические проявления избытка и недостатка микроэлемента в организме человека…..……….9 </w:t>
      </w:r>
    </w:p>
    <w:p w:rsidR="002D4E50" w:rsidRDefault="002D4E50" w:rsidP="002D4E5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Лекарственные средства, содержащие микроэлемент………………………………………..………11 </w:t>
      </w: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Пример оформления библиографии</w:t>
      </w: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Библиография</w:t>
      </w: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center"/>
        <w:rPr>
          <w:bCs/>
          <w:sz w:val="24"/>
          <w:szCs w:val="24"/>
        </w:rPr>
      </w:pPr>
    </w:p>
    <w:p w:rsidR="002D4E50" w:rsidRDefault="002D4E50" w:rsidP="002D4E50">
      <w:pPr>
        <w:pStyle w:val="1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Гец Л., Вестин С. Руководство для преподавателей и врачей общей практики / перевод с норвежского под ред. проф. Кузнецовой О.Ю. – СПб.: СПбМАПО, 2005. – С. 35-39 с.</w:t>
      </w:r>
    </w:p>
    <w:p w:rsidR="002D4E50" w:rsidRDefault="002D4E50" w:rsidP="002D4E50">
      <w:pPr>
        <w:pStyle w:val="1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Меркушева Е.В., Похис К.А. Обучение пациентов в практике семейного врача. – СПб.: МАПО, 1998. – С. 1-12.. </w:t>
      </w:r>
    </w:p>
    <w:p w:rsidR="002D4E50" w:rsidRDefault="002D4E50" w:rsidP="002D4E50">
      <w:pPr>
        <w:pStyle w:val="1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Мерта Дж. Справочник врача общей практики: Пер. с англ. – М.: Практика, 1999. – С. 12-30.</w:t>
      </w:r>
    </w:p>
    <w:p w:rsidR="002D4E50" w:rsidRDefault="002D4E50" w:rsidP="002D4E50">
      <w:pPr>
        <w:pStyle w:val="1"/>
        <w:numPr>
          <w:ilvl w:val="0"/>
          <w:numId w:val="7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Blace R.E. Zinc and childhood infections disease morbidity and mortality // Br. J. Nutr. – 2001. –Suppl.5 – P. 125-129.</w:t>
      </w:r>
      <w:bookmarkStart w:id="0" w:name="_Ref30794792"/>
    </w:p>
    <w:p w:rsidR="002D4E50" w:rsidRDefault="002D4E50" w:rsidP="002D4E50">
      <w:pPr>
        <w:pStyle w:val="1"/>
        <w:numPr>
          <w:ilvl w:val="0"/>
          <w:numId w:val="7"/>
        </w:numPr>
        <w:rPr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Diplock, A.T. Antioxidant nutrients and disease prevention: an overview // Am. J.Clin. Nutr. – 2000. – №73. – P.36-40</w:t>
      </w:r>
      <w:bookmarkEnd w:id="0"/>
      <w:r>
        <w:rPr>
          <w:sz w:val="24"/>
          <w:szCs w:val="24"/>
          <w:lang w:val="en-US"/>
        </w:rPr>
        <w:t>.</w:t>
      </w:r>
    </w:p>
    <w:p w:rsidR="002D4E50" w:rsidRDefault="002D4E50" w:rsidP="002D4E50">
      <w:pPr>
        <w:pStyle w:val="1"/>
        <w:numPr>
          <w:ilvl w:val="0"/>
          <w:numId w:val="7"/>
        </w:numPr>
        <w:rPr>
          <w:bCs/>
          <w:sz w:val="24"/>
          <w:szCs w:val="24"/>
          <w:lang w:val="en-US"/>
        </w:rPr>
      </w:pPr>
      <w:r w:rsidRPr="002151CC">
        <w:rPr>
          <w:sz w:val="24"/>
          <w:szCs w:val="24"/>
          <w:lang w:val="en-US"/>
        </w:rPr>
        <w:t>http://povman.sstu.edu.ru/k31.html</w:t>
      </w: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lang w:val="en-US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  <w:lang w:val="en-US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Список литературы, предлагаемой  для выполнения реферата: 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iCs/>
          <w:sz w:val="24"/>
          <w:szCs w:val="24"/>
        </w:rPr>
        <w:t xml:space="preserve">Горбачев, В.В. Витамины. Микро- и макроэлементы. Справочник / В.В. Горбачев, В.Н. Горбачева </w:t>
      </w:r>
      <w:r>
        <w:rPr>
          <w:sz w:val="24"/>
          <w:szCs w:val="24"/>
        </w:rPr>
        <w:t xml:space="preserve">– </w:t>
      </w:r>
      <w:r>
        <w:rPr>
          <w:iCs/>
          <w:sz w:val="24"/>
          <w:szCs w:val="24"/>
        </w:rPr>
        <w:t xml:space="preserve">Минск: Книжный Дом, 2002. </w:t>
      </w:r>
      <w:r>
        <w:rPr>
          <w:sz w:val="24"/>
          <w:szCs w:val="24"/>
        </w:rPr>
        <w:t xml:space="preserve">– </w:t>
      </w:r>
      <w:r>
        <w:rPr>
          <w:iCs/>
          <w:sz w:val="24"/>
          <w:szCs w:val="24"/>
        </w:rPr>
        <w:t>352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Иммунофармакология микроэлементов / А.В. Кудрин, [и др.] – М.: Изд-во КМК, 2000. – 537 с. 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iCs/>
          <w:sz w:val="24"/>
          <w:szCs w:val="24"/>
        </w:rPr>
        <w:t xml:space="preserve">Кукес, В.Г. Витамины и микроэлементы в клинической фармакологии / В.Г. Кукес, В.А. Тутельян. </w:t>
      </w:r>
      <w:r>
        <w:rPr>
          <w:sz w:val="24"/>
          <w:szCs w:val="24"/>
        </w:rPr>
        <w:t xml:space="preserve">– </w:t>
      </w:r>
      <w:r>
        <w:rPr>
          <w:iCs/>
          <w:sz w:val="24"/>
          <w:szCs w:val="24"/>
        </w:rPr>
        <w:t xml:space="preserve">М.: Палея-М, 2001. </w:t>
      </w:r>
      <w:r>
        <w:rPr>
          <w:sz w:val="24"/>
          <w:szCs w:val="24"/>
        </w:rPr>
        <w:t>–</w:t>
      </w:r>
      <w:r>
        <w:rPr>
          <w:iCs/>
          <w:sz w:val="24"/>
          <w:szCs w:val="24"/>
        </w:rPr>
        <w:t xml:space="preserve"> 489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Микронутриенты в питании больного и здорового человека / В.А. Тутельян [и др.]. – М.: Колос, 2002. – 423 с.  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Микроэлементозы человека: этиология, классификация, органопатология / Авцын А.П. [и др.] – М.: Медицина, 1991. – 496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iCs/>
          <w:sz w:val="24"/>
          <w:szCs w:val="24"/>
        </w:rPr>
        <w:t xml:space="preserve">Микроэлементы: краткая клиническая энциклопедия / И.Л. Блинков [и др]. </w:t>
      </w:r>
      <w:r>
        <w:rPr>
          <w:sz w:val="24"/>
          <w:szCs w:val="24"/>
        </w:rPr>
        <w:t xml:space="preserve">– </w:t>
      </w:r>
      <w:r>
        <w:rPr>
          <w:iCs/>
          <w:sz w:val="24"/>
          <w:szCs w:val="24"/>
        </w:rPr>
        <w:t xml:space="preserve">Хабаровск, 2004. </w:t>
      </w:r>
      <w:r>
        <w:rPr>
          <w:sz w:val="24"/>
          <w:szCs w:val="24"/>
        </w:rPr>
        <w:t xml:space="preserve">– </w:t>
      </w:r>
      <w:r>
        <w:rPr>
          <w:iCs/>
          <w:sz w:val="24"/>
          <w:szCs w:val="24"/>
        </w:rPr>
        <w:t>210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Минделл, Э. Справочник по витаминам и минеральным веществам / Э. Минделл. – М.: "Медицина и питание", 2000. – 91 с.</w:t>
      </w:r>
      <w:r>
        <w:rPr>
          <w:iCs/>
          <w:sz w:val="24"/>
          <w:szCs w:val="24"/>
        </w:rPr>
        <w:t xml:space="preserve"> 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Некоторые механизмы участия селена в развитии патологии / В.В. Вапиров [и др.] // Эко-аналитический контроль природных объектов Карелии: сб. ст.  – Петрозаводск: ПетрГУ, 2002. – С. 47-56.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Скальная, М.Г. Химические элементы-микронутриенты как резерв восстановления здоровья жителей России / М.Г. Скальная, Р.М. Дубовой, А.В. Скальный. – Оренбург: РИК ГОУ ОГУ, 2004. – 239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Биоэлементы в медицине / А.В. Скальный, И.А. Рудаков – М.: Издательский дом "ОНИКС 21 век": Мир, 2004. – 272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Микроэлементозы у детей: распространенность и пути коррекции. Практическое пособие для врачей / А.В. Скальный, Г.В. Яцык, Н.Д. Одинаева. – М.: КМК, 2002. – 86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Микроэлементозы человека (диагностика и лечение) / А.В. Скальный. – М., 2001. – 96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Микроэлементы и здоровье детей / А.В. Скальный, А.Т. Быков, Г.В. Яцык. – М.: КМК, 2002. – 133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Радиация, микроэлементы, антиоксиданты и иммунитет / А.В. Скальный, А.В. Кудрин. – М., 2000. – 427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Химические элементы в физиологии и экологии человека / А.В. Скальный. – М.: Издательский дом "ОНИКС 21 век": Мир, 2004. – 216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Скальный, А.В. Эколого-физиологические аспекты применения макро- и микроэлементов в восстановительной медицине / А.В. Скальный, А.Т. Быков. – Оренбург: РИК ГОУ ОГУ, 2003. – 198 с. Ноздрюхина, Л.Р. Биологическая роль микроэлементов в организме животных и человека / Л.Р. Ноздрюхина. – М.: Наука, 1977. – 109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Сусликов, В.Л. Геохимическая экология болезней. Т.3. Атомовитозы / В.Л. Сусликов. – М.: Гелиос АРВ, 2002. – 670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Тутельян, В.А. Витамины и микроэлементы в клинической фармакологии // В.А. Тутельян, В.Г. Кукес, В.П. Фисенко – М.: Палея-М, 2001. – 354 с.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iCs/>
          <w:sz w:val="24"/>
          <w:szCs w:val="24"/>
        </w:rPr>
        <w:t>Тутельян, В.А. К вопросу коррекции дефицита микронутриентов с целью улучшения питания и здоровья детского и взрослого населения на пороге третьего тысячелетия  / В.А. Тутельян  // Ваше питание. – 2000. – №4. С. 6–7.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iCs/>
          <w:sz w:val="24"/>
          <w:szCs w:val="24"/>
        </w:rPr>
        <w:t>Т</w:t>
      </w:r>
      <w:r>
        <w:rPr>
          <w:sz w:val="24"/>
          <w:szCs w:val="24"/>
        </w:rPr>
        <w:t xml:space="preserve">утельян, В.А. Селен как эссенциальный и дефицитный фактор питания населения России / </w:t>
      </w:r>
      <w:r>
        <w:rPr>
          <w:iCs/>
          <w:sz w:val="24"/>
          <w:szCs w:val="24"/>
        </w:rPr>
        <w:t xml:space="preserve">В.А. Тутельян, С.А. </w:t>
      </w:r>
      <w:r>
        <w:rPr>
          <w:sz w:val="24"/>
          <w:szCs w:val="24"/>
        </w:rPr>
        <w:t>Хотимченко // Вестник РАМН. – 2001. – №6.  – С. 31-34.</w:t>
      </w:r>
    </w:p>
    <w:p w:rsidR="002D4E50" w:rsidRDefault="002D4E50" w:rsidP="002D4E50">
      <w:pPr>
        <w:widowControl w:val="0"/>
        <w:numPr>
          <w:ilvl w:val="1"/>
          <w:numId w:val="1"/>
        </w:numPr>
        <w:adjustRightInd w:val="0"/>
        <w:ind w:left="709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Эмсли, Дж. Элементы: Пер. с англ. / Дж. Эмсли. – М.: Мир, 1993. – 256 с. </w:t>
      </w:r>
    </w:p>
    <w:p w:rsidR="002D4E50" w:rsidRDefault="002D4E50" w:rsidP="002D4E50">
      <w:pPr>
        <w:shd w:val="clear" w:color="auto" w:fill="FFFFFF"/>
        <w:ind w:left="709" w:hanging="425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left="709" w:hanging="425"/>
        <w:jc w:val="both"/>
        <w:rPr>
          <w:bCs/>
          <w:sz w:val="24"/>
          <w:szCs w:val="24"/>
        </w:rPr>
      </w:pPr>
    </w:p>
    <w:p w:rsidR="002D4E50" w:rsidRDefault="002D4E50" w:rsidP="002D4E50">
      <w:pPr>
        <w:numPr>
          <w:ilvl w:val="0"/>
          <w:numId w:val="1"/>
        </w:num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сдаче зачета по дисциплине</w:t>
      </w:r>
    </w:p>
    <w:p w:rsidR="002D4E50" w:rsidRDefault="002D4E50" w:rsidP="002D4E50">
      <w:pPr>
        <w:shd w:val="clear" w:color="auto" w:fill="FFFFFF"/>
        <w:ind w:firstLine="14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сдаче зачета допускается студент, не имеющий задолженностей и пропусков по дисциплине, удовлетворительно усвоивший основные положения дисциплины, вовремя и согласно установленным требованиям представивший реферат по полученной теме. Зачет представляет собой собеседование по основным вопросам, рассматриваемым в ходе изучения дисциплины, и проводится на последнем занятии. </w:t>
      </w:r>
    </w:p>
    <w:p w:rsidR="002D4E50" w:rsidRDefault="002D4E50" w:rsidP="002D4E50">
      <w:pPr>
        <w:shd w:val="clear" w:color="auto" w:fill="FFFFFF"/>
        <w:ind w:left="142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Перечень вопросов для подготовки к зачету: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Определение понятия «здравоохранение» и «первичная медико-санитарная помощь». Определение специальности «общая врачебная практика (семейная медицина)» Европейского отделения ВОЗ и Всемирной организации семейных врачей (WONCA) и ее к</w:t>
      </w:r>
      <w:r>
        <w:rPr>
          <w:color w:val="000000"/>
          <w:spacing w:val="6"/>
          <w:sz w:val="24"/>
        </w:rPr>
        <w:t xml:space="preserve">лючевые признаки. </w:t>
      </w:r>
      <w:r>
        <w:rPr>
          <w:iCs/>
          <w:sz w:val="24"/>
        </w:rPr>
        <w:t xml:space="preserve">Определение «врач общей практики (семейный врач)»: </w:t>
      </w:r>
      <w:r>
        <w:rPr>
          <w:sz w:val="24"/>
        </w:rPr>
        <w:t xml:space="preserve">а) Определение Европейским отделением WONCA «врач общей практики (семейный врач) и его 6 основных профессиональных функций; б) Определения «врач общей практики (семейный врач)» в законодательных актах и ведомственных нормативных документах Российской Федерации.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color w:val="000000"/>
          <w:spacing w:val="6"/>
          <w:sz w:val="24"/>
        </w:rPr>
        <w:t>Законодательные акты и ведомственные н</w:t>
      </w:r>
      <w:r>
        <w:rPr>
          <w:sz w:val="24"/>
        </w:rPr>
        <w:t>ормативные документы, регламентирующие порядок поэтапного перехода и организации первичной медико-санитарной помощи по принципу врача общей практики (семейного врача) в Российской Федерации (Приказ №237 (1992 г.), №350 (2002 г.), №112 (2003 г.) и №84 (2005 г.) и в республике Карелия (Закон об общей врачебной/семейной практике в республике Карелия» (2000 г.). Основы законодательства РФ об охране здоровья граждан (1993 г.). Национальный проект «Здоровье» по развитию первичной медико-социальной помощи населению РФ (2005 г.).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Основные функциональные обязанности врача общей практики (семейного врача). Права врача общей практики (семейного врача). Организация труда, оплата труда.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Квалификационные требования к врачу общей практики  (семейному врачу), виды его профессиональной деятельности.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Структура и штат ОВП. Функции помощника врача, медицинской сестры ОВП, социального работника, медицинского регистратора, администратора ОВП. Взаимодействие персонала ОВП. Понятие «коллективная работа», распределение обязанностей между сотрудниками ОВП.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Модели работы ОВП/СМ, их характеристика, основные преимущества и недостатки. Основные стратегии и пути развития ОВП/СМ в России.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Многообразие болезней в ОВП, характеристика наиболее часто встречающейся патологии, наиболее частые причины консультаций в ОВП. Различия в содержании медицинских диагнозов в амбулаторной и госпитальной сферах.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Обучение врача общей практики/семейного врача в Российской Федерации. Клиническая ординатура и переподготовка стажированных врачей. 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Общая врачебная практика/семейная медицина в других странах (США, Великобритания, Нидерланды, Финляндия, Норвегия, Швеция, Германия). Общая врачебная практика в Республике Карелия.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Определение понятий «индивид» и «индивидуальность». Структура индивидуальности человека: индивидуальные биологические свойства, темперамент, характер, личность.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Модели неправильного воспитания.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Этапы индивидуального развития человека, основные возрастные проблемы.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Семья: определение, история возникновения, этапы развития (жизненный цикл семьи).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Предсказуемые и непредсказуемые кризисные этапы в жизни семьи. Типология российской семьи. </w:t>
      </w:r>
    </w:p>
    <w:p w:rsidR="002D4E50" w:rsidRDefault="002D4E50" w:rsidP="002D4E50">
      <w:pPr>
        <w:pStyle w:val="1"/>
        <w:numPr>
          <w:ilvl w:val="0"/>
          <w:numId w:val="8"/>
        </w:num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Функции семьи. Медицинская функция как область воздействия врача на состояние здоровья членов семьи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Основные компоненты (белки, жиры, углеводы, витамины, минеральные вещества, антиоксиданты) рационального питания: их биологическая роль в организме человека, современные классификации и продукты, в которых они содержатся. Нормы физиологических потребностей в пищевых веществах и энергии для различных возрастных групп.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Коэффициент физической активности и группы населения в зависимости от КФА.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Определение статуса питания у пациента, выявление изменений в состоянии питания. Заболевания – следствия нерационального питания.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Группы продуктов питания по ВОЗ. Понятие порции и примеры рационального порционного питания. Пирамида питания по ВОЗ.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Клинические реакции на пищу.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Особенности питания пациентов пожилого возраста.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Консультирование пациентов по питанию. Модель помощи в изменении поведения («</w:t>
      </w:r>
      <w:r>
        <w:rPr>
          <w:sz w:val="24"/>
          <w:lang w:val="en-US"/>
        </w:rPr>
        <w:t>helping</w:t>
      </w:r>
      <w:r w:rsidRPr="00115EE1">
        <w:rPr>
          <w:sz w:val="24"/>
        </w:rPr>
        <w:t xml:space="preserve"> </w:t>
      </w:r>
      <w:r>
        <w:rPr>
          <w:sz w:val="24"/>
          <w:lang w:val="en-US"/>
        </w:rPr>
        <w:t>people</w:t>
      </w:r>
      <w:r w:rsidRPr="00115EE1">
        <w:rPr>
          <w:sz w:val="24"/>
        </w:rPr>
        <w:t xml:space="preserve"> </w:t>
      </w:r>
      <w:r>
        <w:rPr>
          <w:sz w:val="24"/>
          <w:lang w:val="en-US"/>
        </w:rPr>
        <w:t>change</w:t>
      </w:r>
      <w:r>
        <w:rPr>
          <w:sz w:val="24"/>
        </w:rPr>
        <w:t xml:space="preserve">»)  Дж. Прочаска и Ди Клименте.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Понятие субъективная  и объективная тяжесть болезни. Факторы, влияющие на отношение человека к болезни.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Типы личностного реагирования на болезнь (по Личко). Тактика ведения пациентов ВОП/СВ в зависимости от типа личностного реагирования на заболевание. 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Понятие «идеальный врач» и «идеальный пациент».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Психосоматические функциональные расстройства и заболевания.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Медицинская конфликтология, правила поведения в конфликтной ситуации, фразы для выхода из конфликта.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Определение, классификация, общие характеристики терминальных состояний. Декларация о пациентах в терминальных состояниях (Россия, 1995 г.).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Правила сообщения пациенту о неизлечимом заболевании; стадии, которые переживает пациент, узнав о неизлечимом заболевании по Э. Кюблер-Росс.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Психология горевания. Стадии, переживаемые родственниками умершего пациента. Помощь врача в изживании горя.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Хоспис: история появления, определение, основные принципы деятельности.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Определение и классификация боли, способы оценки болевого синдрома у пациентов.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Тактика ведения пациентов с хроническим болевым синдромом.</w:t>
      </w:r>
    </w:p>
    <w:p w:rsidR="002D4E50" w:rsidRDefault="002D4E50" w:rsidP="002D4E50">
      <w:pPr>
        <w:pStyle w:val="2"/>
        <w:numPr>
          <w:ilvl w:val="0"/>
          <w:numId w:val="8"/>
        </w:numPr>
        <w:rPr>
          <w:sz w:val="24"/>
        </w:rPr>
      </w:pPr>
      <w:r>
        <w:rPr>
          <w:sz w:val="24"/>
        </w:rPr>
        <w:t>Лестница обезболивания по ВОЗ, основные препараты для обезболивания и их характеристика (группы НПВС, слабых и сильных наркотических аналгетиков) с учетом правил назначения и побочных эффектов. Понятие «ко-аналгетиков» и основные группы препаратов, входящие в их состав. «Морфиновый миф».</w:t>
      </w:r>
    </w:p>
    <w:p w:rsidR="002D4E50" w:rsidRDefault="002D4E50" w:rsidP="002D4E50">
      <w:pPr>
        <w:jc w:val="both"/>
        <w:rPr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Cs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</w:p>
    <w:p w:rsidR="002D4E50" w:rsidRDefault="002D4E50" w:rsidP="002D4E50">
      <w:pPr>
        <w:shd w:val="clear" w:color="auto" w:fill="FFFFFF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Концептуальные вопросы общей врачебной практики (семейной медицины)</w:t>
      </w:r>
    </w:p>
    <w:p w:rsidR="002D4E50" w:rsidRDefault="002D4E50" w:rsidP="002D4E50">
      <w:pPr>
        <w:shd w:val="clear" w:color="auto" w:fill="FFFFFF"/>
        <w:ind w:firstLine="284"/>
        <w:jc w:val="both"/>
        <w:rPr>
          <w:i/>
          <w:sz w:val="24"/>
          <w:szCs w:val="24"/>
        </w:rPr>
      </w:pPr>
    </w:p>
    <w:p w:rsidR="002D4E50" w:rsidRDefault="002D4E50" w:rsidP="002D4E50">
      <w:pPr>
        <w:shd w:val="clear" w:color="auto" w:fill="FFFFFF"/>
        <w:jc w:val="both"/>
        <w:rPr>
          <w:color w:val="000000"/>
          <w:spacing w:val="6"/>
          <w:sz w:val="24"/>
          <w:szCs w:val="24"/>
        </w:rPr>
      </w:pPr>
      <w:r>
        <w:rPr>
          <w:i/>
          <w:sz w:val="24"/>
          <w:szCs w:val="24"/>
        </w:rPr>
        <w:t>1. Определение специальности «общая врачебная практика (семейная медицина)»</w:t>
      </w:r>
      <w:r>
        <w:rPr>
          <w:sz w:val="24"/>
          <w:szCs w:val="24"/>
        </w:rPr>
        <w:t>. Определение «общая врачебная практика (семейная медицина)» Европейского отделения Всемирной организации семейных врачей (WONCA) и ее к</w:t>
      </w:r>
      <w:r>
        <w:rPr>
          <w:color w:val="000000"/>
          <w:spacing w:val="6"/>
          <w:sz w:val="24"/>
          <w:szCs w:val="24"/>
        </w:rPr>
        <w:t xml:space="preserve">лючевые признаки. </w:t>
      </w:r>
    </w:p>
    <w:p w:rsidR="002D4E50" w:rsidRDefault="002D4E50" w:rsidP="002D4E50">
      <w:pPr>
        <w:shd w:val="clear" w:color="auto" w:fill="FFFFFF"/>
        <w:jc w:val="both"/>
        <w:rPr>
          <w:sz w:val="24"/>
          <w:szCs w:val="24"/>
        </w:rPr>
      </w:pPr>
      <w:r>
        <w:rPr>
          <w:i/>
          <w:sz w:val="24"/>
          <w:szCs w:val="24"/>
        </w:rPr>
        <w:t>2. Определение «врач общей практики (семейный врач)».</w:t>
      </w:r>
      <w:r>
        <w:rPr>
          <w:sz w:val="24"/>
          <w:szCs w:val="24"/>
        </w:rPr>
        <w:t xml:space="preserve"> </w:t>
      </w:r>
    </w:p>
    <w:p w:rsidR="002D4E50" w:rsidRDefault="002D4E50" w:rsidP="002D4E5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Определение Европейским отделением WONCA «врач общей практики (семейный врач) и его 6 основных профессиональных функций: 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оказание первичной медицинской помощи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уделение основного внимания интересам пациента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р</w:t>
      </w:r>
      <w:r>
        <w:rPr>
          <w:sz w:val="24"/>
          <w:szCs w:val="24"/>
        </w:rPr>
        <w:t>ешение определенных проблем пациента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о</w:t>
      </w:r>
      <w:r>
        <w:rPr>
          <w:color w:val="000000"/>
          <w:sz w:val="24"/>
          <w:szCs w:val="24"/>
        </w:rPr>
        <w:t>существление к</w:t>
      </w:r>
      <w:r>
        <w:rPr>
          <w:color w:val="000000"/>
          <w:spacing w:val="6"/>
          <w:sz w:val="24"/>
          <w:szCs w:val="24"/>
        </w:rPr>
        <w:t>омплексного подхода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о</w:t>
      </w:r>
      <w:r>
        <w:rPr>
          <w:color w:val="000000"/>
          <w:sz w:val="24"/>
          <w:szCs w:val="24"/>
        </w:rPr>
        <w:t>беспечение с</w:t>
      </w:r>
      <w:r>
        <w:rPr>
          <w:color w:val="000000"/>
          <w:spacing w:val="6"/>
          <w:sz w:val="24"/>
          <w:szCs w:val="24"/>
        </w:rPr>
        <w:t>оциальной направленности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о</w:t>
      </w:r>
      <w:r>
        <w:rPr>
          <w:color w:val="000000"/>
          <w:sz w:val="24"/>
          <w:szCs w:val="24"/>
        </w:rPr>
        <w:t>беспечение целостного представления о заболевании</w:t>
      </w:r>
      <w:r>
        <w:rPr>
          <w:color w:val="000000"/>
          <w:spacing w:val="6"/>
          <w:sz w:val="24"/>
          <w:szCs w:val="24"/>
        </w:rPr>
        <w:t>. Области профессиональной деятельности врача общей практики (семейного врача)</w:t>
      </w:r>
      <w:r>
        <w:rPr>
          <w:color w:val="000000"/>
          <w:sz w:val="24"/>
          <w:szCs w:val="24"/>
        </w:rPr>
        <w:t>: решение клинических проблем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общение с пациентом</w:t>
      </w:r>
    </w:p>
    <w:p w:rsidR="002D4E50" w:rsidRDefault="002D4E50" w:rsidP="002D4E50">
      <w:pPr>
        <w:numPr>
          <w:ilvl w:val="0"/>
          <w:numId w:val="9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деятельностью отделения общей практики.</w:t>
      </w:r>
    </w:p>
    <w:p w:rsidR="002D4E50" w:rsidRDefault="002D4E50" w:rsidP="002D4E50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б) Определения «врач общей практики (семейный врач)» в законодательных актах и ведомственных нормативных документах Российской Федерации. </w:t>
      </w:r>
    </w:p>
    <w:p w:rsidR="002D4E50" w:rsidRDefault="002D4E50" w:rsidP="002D4E5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>История семейной медицины.</w:t>
      </w:r>
      <w:r>
        <w:rPr>
          <w:sz w:val="24"/>
          <w:szCs w:val="24"/>
        </w:rPr>
        <w:t xml:space="preserve"> </w:t>
      </w:r>
    </w:p>
    <w:p w:rsidR="002D4E50" w:rsidRDefault="002D4E50" w:rsidP="002D4E5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История земской медицины как прообраза общей врачебной практики/семейной медицины в России и основные принципы, роднящие земского врача и современного врача общей практики/семейного врача. Общая врачебная практика/семейная медицина в России и других странах (США, Великобритания, Нидерланды, Финляндия, Норвегия, Швеция, Германия).</w:t>
      </w:r>
    </w:p>
    <w:p w:rsidR="002D4E50" w:rsidRDefault="002D4E50" w:rsidP="002D4E50">
      <w:pPr>
        <w:shd w:val="clear" w:color="auto" w:fill="FFFFFF"/>
        <w:jc w:val="both"/>
        <w:rPr>
          <w:sz w:val="24"/>
          <w:szCs w:val="24"/>
        </w:rPr>
      </w:pPr>
      <w:r>
        <w:rPr>
          <w:i/>
          <w:iCs/>
          <w:color w:val="000000"/>
          <w:spacing w:val="6"/>
          <w:sz w:val="24"/>
          <w:szCs w:val="24"/>
        </w:rPr>
        <w:t>4. Законодательные акты и ведомственные н</w:t>
      </w:r>
      <w:r>
        <w:rPr>
          <w:i/>
          <w:iCs/>
          <w:sz w:val="24"/>
          <w:szCs w:val="24"/>
        </w:rPr>
        <w:t>ормативные документы, регламентирующие порядок поэтапного перехода и организации первичной медико-санитарной помощи по принципу врача общей практики (семейного врача) в Российской Федерации</w:t>
      </w:r>
      <w:r>
        <w:rPr>
          <w:sz w:val="24"/>
          <w:szCs w:val="24"/>
        </w:rPr>
        <w:t xml:space="preserve">. </w:t>
      </w:r>
    </w:p>
    <w:p w:rsidR="002D4E50" w:rsidRDefault="002D4E50" w:rsidP="002D4E50">
      <w:pPr>
        <w:pStyle w:val="a4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5. Основные функциональные обязанности врача общей практики (семейного врача).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Права врача общей практики (семейного врача).  Организация труда, оплата труда.</w:t>
      </w:r>
    </w:p>
    <w:p w:rsidR="002D4E50" w:rsidRDefault="002D4E50" w:rsidP="002D4E50">
      <w:pPr>
        <w:pStyle w:val="a4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6. Квалификационные требования к врачу общей практики  (семейному врачу), виды его профессиональной деятельности: </w:t>
      </w:r>
    </w:p>
    <w:p w:rsidR="002D4E50" w:rsidRDefault="002D4E50" w:rsidP="002D4E50">
      <w:pPr>
        <w:pStyle w:val="a4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профилактика, диагностика, лечение наиболее распространенных заболеваний и реабилитация пациентов</w:t>
      </w:r>
    </w:p>
    <w:p w:rsidR="002D4E50" w:rsidRDefault="002D4E50" w:rsidP="002D4E50">
      <w:pPr>
        <w:pStyle w:val="a4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оказание экстренной и неотложной медицинской помощи</w:t>
      </w:r>
    </w:p>
    <w:p w:rsidR="002D4E50" w:rsidRDefault="002D4E50" w:rsidP="002D4E50">
      <w:pPr>
        <w:pStyle w:val="a4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медицинских манипуляций</w:t>
      </w:r>
    </w:p>
    <w:p w:rsidR="002D4E50" w:rsidRDefault="002D4E50" w:rsidP="002D4E50">
      <w:pPr>
        <w:pStyle w:val="a4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организационная работа. </w:t>
      </w:r>
    </w:p>
    <w:p w:rsidR="002D4E50" w:rsidRDefault="002D4E50" w:rsidP="002D4E50">
      <w:pPr>
        <w:pStyle w:val="a5"/>
        <w:ind w:left="0"/>
      </w:pPr>
      <w:r>
        <w:rPr>
          <w:i/>
          <w:iCs/>
        </w:rPr>
        <w:t>7. Модели ОВП/СМ.</w:t>
      </w:r>
      <w:r>
        <w:t xml:space="preserve"> Основные стратегии и пути развития ОВП/СМ в России.</w:t>
      </w:r>
    </w:p>
    <w:p w:rsidR="002D4E50" w:rsidRDefault="002D4E50" w:rsidP="002D4E50">
      <w:pPr>
        <w:pStyle w:val="a5"/>
        <w:ind w:left="0"/>
      </w:pPr>
      <w:r>
        <w:rPr>
          <w:i/>
          <w:iCs/>
        </w:rPr>
        <w:t>8. Структура и штат ОВП.</w:t>
      </w:r>
      <w:r>
        <w:t xml:space="preserve"> Функции помощника врача, медицинской сестры ОВП, социального работника, медицинского регистратора, администратора ОВП. Взаимодействие персонала ОВП. Понятие «коллективная работа», распределение обязанностей между сотрудниками ОВП. Гражданская и профессионально-правовая ответственность</w:t>
      </w:r>
    </w:p>
    <w:p w:rsidR="002D4E50" w:rsidRDefault="002D4E50" w:rsidP="002D4E50">
      <w:pPr>
        <w:pStyle w:val="a5"/>
        <w:ind w:left="0"/>
      </w:pPr>
      <w:r>
        <w:rPr>
          <w:i/>
          <w:iCs/>
        </w:rPr>
        <w:t>9. Экономическая и клиническая эффективность ОВП по сравнению с другими формами оказания ПМП</w:t>
      </w:r>
      <w:r>
        <w:t>.</w:t>
      </w:r>
      <w:r>
        <w:rPr>
          <w:i/>
          <w:iCs/>
        </w:rPr>
        <w:t xml:space="preserve"> </w:t>
      </w:r>
      <w:r>
        <w:t xml:space="preserve"> Многообразие болезней в ОВП, наиболее частые симптомы и синдромы, основные причины обращения, показания к лечению, наиболее частые причины консультаций в ОВП. Различия в содержании медицинских диагнозов в амбулаторной и госпитальной сферах. </w:t>
      </w:r>
    </w:p>
    <w:p w:rsidR="002D4E50" w:rsidRDefault="002D4E50" w:rsidP="002D4E50">
      <w:pPr>
        <w:pStyle w:val="a5"/>
        <w:ind w:left="0"/>
      </w:pPr>
      <w:r>
        <w:t xml:space="preserve">10. </w:t>
      </w:r>
      <w:r>
        <w:rPr>
          <w:i/>
          <w:iCs/>
        </w:rPr>
        <w:t xml:space="preserve">Обучение врача общей практики/семейного врача в Российской Федерации. </w:t>
      </w:r>
      <w:r>
        <w:t xml:space="preserve">Клиническая ординатура и переподготовка стажированных врачей. Опыт обучения в Карелии. </w:t>
      </w:r>
    </w:p>
    <w:p w:rsidR="002D4E50" w:rsidRDefault="002D4E50" w:rsidP="002D4E50">
      <w:pPr>
        <w:pStyle w:val="a5"/>
        <w:ind w:left="0"/>
        <w:rPr>
          <w:i/>
          <w:iCs/>
        </w:rPr>
      </w:pPr>
      <w:r>
        <w:rPr>
          <w:i/>
          <w:iCs/>
        </w:rPr>
        <w:t xml:space="preserve">11. Общая врачебная практика в Республике Карелия. </w:t>
      </w:r>
    </w:p>
    <w:p w:rsidR="002D4E50" w:rsidRDefault="002D4E50" w:rsidP="002D4E50">
      <w:pPr>
        <w:pStyle w:val="a5"/>
        <w:ind w:left="0"/>
      </w:pPr>
    </w:p>
    <w:p w:rsidR="002D4E50" w:rsidRDefault="002D4E50" w:rsidP="002D4E50">
      <w:pPr>
        <w:pStyle w:val="a5"/>
        <w:ind w:left="0"/>
      </w:pPr>
    </w:p>
    <w:p w:rsidR="002D4E50" w:rsidRDefault="002D4E50" w:rsidP="002D4E50">
      <w:pPr>
        <w:pStyle w:val="a5"/>
        <w:ind w:left="0"/>
      </w:pPr>
    </w:p>
    <w:p w:rsidR="002D4E50" w:rsidRDefault="002D4E50" w:rsidP="002D4E5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Медицинская психология в общей врачебной практике</w:t>
      </w:r>
    </w:p>
    <w:p w:rsidR="002D4E50" w:rsidRDefault="002D4E50" w:rsidP="002D4E50">
      <w:pPr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>Психические свойства личности. Психология здорового и больного человека, психология стареющего человека, психология человека, прекращающего профессиональную деятельность, психология одинокого человека. Особенности психики в детском и юношеском возрасте, проблема трудновоспитуемых детей. Личностные особенности и воздействие их на течение соматических заболеваний. Роль психических факторов в предупреждении  возникновения и развития заболеваний. Психология межличностных отношений, отношений между врачом и пациентом, между пациентом и его родственниками, родителями и детьми. Психологические особенности взаимоотношений врача общей практики с врачами других специальностей.</w:t>
      </w:r>
    </w:p>
    <w:p w:rsidR="002D4E50" w:rsidRDefault="002D4E50" w:rsidP="002D4E50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Основы семейной психологии. Определение понятия "супружеский союз". Психология психологической совместимости и несовместимости, супружеское соглашение и ожидание. Жизненный цикл семьи. Типы взаимоотношений членов семьи. Закономерности  процесса воспитания ребенка в семье. Функции эмоций в межличностных отношениях в семье.</w:t>
      </w:r>
    </w:p>
    <w:p w:rsidR="002D4E50" w:rsidRDefault="002D4E50" w:rsidP="002D4E50">
      <w:pPr>
        <w:tabs>
          <w:tab w:val="left" w:pos="0"/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Медицинская деонтология. Элементы медицинской деонтологии. Требования медицинской деонтологии к организации работы врача общей практики (семейного врача). </w:t>
      </w:r>
    </w:p>
    <w:p w:rsidR="002D4E50" w:rsidRDefault="002D4E50" w:rsidP="002D4E50">
      <w:pPr>
        <w:rPr>
          <w:sz w:val="24"/>
          <w:szCs w:val="24"/>
        </w:rPr>
      </w:pPr>
      <w:r>
        <w:rPr>
          <w:sz w:val="24"/>
          <w:szCs w:val="24"/>
        </w:rPr>
        <w:t xml:space="preserve"> Применение требований  медицинской деонтологии и психогигиены, методов психопрофилактики и психотерапии во взаимоотношениях врача общей практики (семейного врача) с членами семьи.</w:t>
      </w:r>
    </w:p>
    <w:p w:rsidR="002D4E50" w:rsidRDefault="002D4E50" w:rsidP="002D4E50">
      <w:pPr>
        <w:rPr>
          <w:sz w:val="24"/>
          <w:szCs w:val="24"/>
        </w:rPr>
      </w:pPr>
    </w:p>
    <w:p w:rsidR="002D4E50" w:rsidRDefault="002D4E50" w:rsidP="002D4E50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Навыки общения</w:t>
      </w:r>
      <w:r>
        <w:rPr>
          <w:sz w:val="24"/>
          <w:szCs w:val="24"/>
        </w:rPr>
        <w:t xml:space="preserve"> </w:t>
      </w:r>
    </w:p>
    <w:p w:rsidR="002D4E50" w:rsidRDefault="002D4E50" w:rsidP="002D4E50">
      <w:pPr>
        <w:jc w:val="both"/>
        <w:rPr>
          <w:sz w:val="24"/>
          <w:szCs w:val="24"/>
        </w:rPr>
      </w:pPr>
      <w:r>
        <w:rPr>
          <w:sz w:val="24"/>
          <w:szCs w:val="24"/>
        </w:rPr>
        <w:t>Приемы вербальной коммуникации. Активное выслушивание. Визуальный контакт. Поведение врача и его помощников при общении с пациентом. Особенности коммуникации с детьми, подростками, пожилыми людьми. Беседа с пациентом и членами его семьи; конфиденциальность. Этические принципы коммуникации. Сообщение плохих трагических новостей и другие сложные ситуации, которые могут возникать в процессе длительного ведения пациента. Завершение общения. Консультирование, информирование и обучение больного. Трудный больной, умирающий больной, пожилой больной. Работа в команде. Модели принятия решения.</w:t>
      </w:r>
    </w:p>
    <w:p w:rsidR="002D4E50" w:rsidRDefault="002D4E50" w:rsidP="002D4E50">
      <w:pPr>
        <w:pStyle w:val="5"/>
        <w:tabs>
          <w:tab w:val="num" w:pos="2160"/>
        </w:tabs>
        <w:spacing w:before="120"/>
        <w:ind w:left="1728" w:hanging="648"/>
        <w:rPr>
          <w:b/>
          <w:bCs/>
          <w:i w:val="0"/>
          <w:iCs/>
          <w:szCs w:val="24"/>
        </w:rPr>
      </w:pPr>
      <w:bookmarkStart w:id="1" w:name="_Toc83812427"/>
      <w:bookmarkStart w:id="2" w:name="_Toc79833006"/>
      <w:r>
        <w:rPr>
          <w:b/>
          <w:bCs/>
          <w:i w:val="0"/>
          <w:iCs/>
          <w:szCs w:val="24"/>
        </w:rPr>
        <w:t>Технология работы ОВП и ВОП.</w:t>
      </w:r>
      <w:bookmarkEnd w:id="1"/>
      <w:bookmarkEnd w:id="2"/>
    </w:p>
    <w:p w:rsidR="002D4E50" w:rsidRDefault="002D4E50" w:rsidP="002D4E50">
      <w:pPr>
        <w:rPr>
          <w:sz w:val="24"/>
          <w:szCs w:val="24"/>
        </w:rPr>
      </w:pPr>
    </w:p>
    <w:p w:rsidR="002D4E50" w:rsidRDefault="002D4E50" w:rsidP="002D4E50">
      <w:pPr>
        <w:rPr>
          <w:sz w:val="24"/>
          <w:szCs w:val="24"/>
        </w:rPr>
      </w:pPr>
    </w:p>
    <w:p w:rsidR="002D4E50" w:rsidRDefault="002D4E50" w:rsidP="002D4E50">
      <w:pPr>
        <w:pStyle w:val="3"/>
        <w:ind w:left="0"/>
        <w:rPr>
          <w:sz w:val="24"/>
          <w:szCs w:val="24"/>
        </w:rPr>
      </w:pPr>
      <w:r>
        <w:rPr>
          <w:sz w:val="24"/>
          <w:szCs w:val="24"/>
        </w:rPr>
        <w:t>Влияние этапов развития индивида, семьи на формирование представлений о событии, болезни. Последовательность реакции индивида на сообщение плохой новости. Особенности реакции людей с внутренним, внешним и случайным локус-контролем. Приверженность пациента лечению.</w:t>
      </w:r>
    </w:p>
    <w:p w:rsidR="002D4E50" w:rsidRDefault="002D4E50" w:rsidP="002D4E50">
      <w:pPr>
        <w:pStyle w:val="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Воздействие пациентов с тяжелым хроническим заболеванием на членов семьи, социальное окружение. Аффективные эмоциональные расстройства пациента и членов семьи. Особенности информирования, консультирования пациента и его родственников о выявлении тяжелого хронического заболевания. Компромисс с людьми. </w:t>
      </w:r>
    </w:p>
    <w:p w:rsidR="002D4E50" w:rsidRDefault="002D4E50" w:rsidP="002D4E50">
      <w:pPr>
        <w:pStyle w:val="4"/>
        <w:rPr>
          <w:sz w:val="24"/>
          <w:szCs w:val="24"/>
        </w:rPr>
      </w:pPr>
      <w:bookmarkStart w:id="3" w:name="_Toc83812433"/>
      <w:bookmarkStart w:id="4" w:name="_Toc79833013"/>
      <w:r>
        <w:rPr>
          <w:b w:val="0"/>
          <w:bCs w:val="0"/>
          <w:sz w:val="24"/>
          <w:szCs w:val="24"/>
        </w:rPr>
        <w:t xml:space="preserve">Модуль 2.1.1 </w:t>
      </w:r>
      <w:r>
        <w:rPr>
          <w:sz w:val="24"/>
          <w:szCs w:val="24"/>
        </w:rPr>
        <w:t>Помощь пациенту, личности, семье</w:t>
      </w:r>
      <w:r>
        <w:rPr>
          <w:b w:val="0"/>
          <w:bCs w:val="0"/>
          <w:sz w:val="24"/>
          <w:szCs w:val="24"/>
        </w:rPr>
        <w:t xml:space="preserve"> </w:t>
      </w:r>
      <w:bookmarkEnd w:id="3"/>
      <w:bookmarkEnd w:id="4"/>
    </w:p>
    <w:p w:rsidR="002D4E50" w:rsidRDefault="002D4E50" w:rsidP="002D4E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Рост, развитие и ключевые этапы формирования человека: обзор основных физических и эмоциональных изменений. Нормальная физиология человека и семьи. Личность и её структура. Социум и личность. Влияние личности и социума на течение болезни и болезни на личность. Часто встречающиеся эмоциональные конфликты в семье.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Структура, функции, периоды жизни семьи и индивида, критические периоды. Шкала жизненных ценностей. Факторы, влияющие на появление психо-социальных проблем.</w:t>
      </w:r>
    </w:p>
    <w:p w:rsidR="002D4E50" w:rsidRDefault="002D4E50" w:rsidP="002D4E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сбора анамнеза в семейной медицине. Основные понятия и определения о семье. Внешние и внутренние контуры семьи.  Индивидуальные качества членов семьи. Жизненный цикл семьи. Функции семьи. Типы семьи. Зоны риска семьи.</w:t>
      </w:r>
    </w:p>
    <w:p w:rsidR="002D4E50" w:rsidRDefault="002D4E50" w:rsidP="002D4E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Нарушение жизнедеятельности семьи. Источники возникновения семейных проблем: этапы жизненного цикла, неблагоприятные варианты жизненного цикла, ситуационные проблемы и нормативные воздействия. Основные типы реакций семьи при возникновении проблемы. Семейные нарушения: состояние вины, непосильное психическое напряжение, семейная тревога, глобальная семейная неудовлетворенность, латентное нарушение функционирования семьи.</w:t>
      </w:r>
    </w:p>
    <w:p w:rsidR="002D4E50" w:rsidRDefault="002D4E50" w:rsidP="002D4E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Внутренние факторы нарушения жизнедеятельности семьи: нарушение семейных качеств личности, необходимых для функционирования семьи, представлений членов семьи о семье и личности друг друга, межличностной коммуникации, механизмов интеграции, структурно-ролевых аспектов семейной жизни. Семья как источник ресурсов помощи. Долгосрочные отношения с пациентом и членами его семьи.</w:t>
      </w:r>
    </w:p>
    <w:p w:rsidR="002D4E50" w:rsidRDefault="002D4E50" w:rsidP="002D4E50">
      <w:pPr>
        <w:rPr>
          <w:sz w:val="24"/>
          <w:szCs w:val="24"/>
        </w:rPr>
      </w:pPr>
    </w:p>
    <w:p w:rsidR="002D4E50" w:rsidRDefault="002D4E50" w:rsidP="002D4E50">
      <w:pPr>
        <w:pStyle w:val="1"/>
        <w:ind w:right="-1" w:firstLine="567"/>
        <w:rPr>
          <w:sz w:val="24"/>
          <w:szCs w:val="24"/>
        </w:rPr>
      </w:pPr>
    </w:p>
    <w:p w:rsidR="00E2655A" w:rsidRDefault="00E2655A">
      <w:bookmarkStart w:id="5" w:name="_GoBack"/>
      <w:bookmarkEnd w:id="5"/>
    </w:p>
    <w:sectPr w:rsidR="00E2655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239" w:rsidRDefault="00F24239">
      <w:r>
        <w:separator/>
      </w:r>
    </w:p>
  </w:endnote>
  <w:endnote w:type="continuationSeparator" w:id="0">
    <w:p w:rsidR="00F24239" w:rsidRDefault="00F2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014" w:rsidRDefault="00BD6014" w:rsidP="00BD601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6014" w:rsidRDefault="00BD6014" w:rsidP="00BD601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014" w:rsidRDefault="00BD6014" w:rsidP="00BD601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5CD8">
      <w:rPr>
        <w:rStyle w:val="a7"/>
        <w:noProof/>
      </w:rPr>
      <w:t>1</w:t>
    </w:r>
    <w:r>
      <w:rPr>
        <w:rStyle w:val="a7"/>
      </w:rPr>
      <w:fldChar w:fldCharType="end"/>
    </w:r>
  </w:p>
  <w:p w:rsidR="00BD6014" w:rsidRDefault="00BD6014" w:rsidP="00BD601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239" w:rsidRDefault="00F24239">
      <w:r>
        <w:separator/>
      </w:r>
    </w:p>
  </w:footnote>
  <w:footnote w:type="continuationSeparator" w:id="0">
    <w:p w:rsidR="00F24239" w:rsidRDefault="00F24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4304E"/>
    <w:multiLevelType w:val="hybridMultilevel"/>
    <w:tmpl w:val="38E2B384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72FA5"/>
    <w:multiLevelType w:val="hybridMultilevel"/>
    <w:tmpl w:val="F8BC09B8"/>
    <w:lvl w:ilvl="0" w:tplc="0419000F">
      <w:start w:val="1"/>
      <w:numFmt w:val="decimal"/>
      <w:lvlText w:val="%1."/>
      <w:lvlJc w:val="left"/>
      <w:pPr>
        <w:tabs>
          <w:tab w:val="num" w:pos="1724"/>
        </w:tabs>
        <w:ind w:left="172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E11D9"/>
    <w:multiLevelType w:val="hybridMultilevel"/>
    <w:tmpl w:val="D1CC28C8"/>
    <w:lvl w:ilvl="0" w:tplc="01F6B8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2B2744"/>
    <w:multiLevelType w:val="hybridMultilevel"/>
    <w:tmpl w:val="B47EF7EC"/>
    <w:lvl w:ilvl="0" w:tplc="BD120A2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090882"/>
    <w:multiLevelType w:val="hybridMultilevel"/>
    <w:tmpl w:val="2CFE6FC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65165"/>
    <w:multiLevelType w:val="hybridMultilevel"/>
    <w:tmpl w:val="D7D6E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211038"/>
    <w:multiLevelType w:val="hybridMultilevel"/>
    <w:tmpl w:val="F3EE9B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7C2290"/>
    <w:multiLevelType w:val="hybridMultilevel"/>
    <w:tmpl w:val="57EA1FA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174E4E"/>
    <w:multiLevelType w:val="hybridMultilevel"/>
    <w:tmpl w:val="8FDA0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6E154A"/>
    <w:multiLevelType w:val="hybridMultilevel"/>
    <w:tmpl w:val="DDE402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B4C"/>
    <w:rsid w:val="00115EE1"/>
    <w:rsid w:val="002151CC"/>
    <w:rsid w:val="002D4E50"/>
    <w:rsid w:val="006E161D"/>
    <w:rsid w:val="008C5239"/>
    <w:rsid w:val="008C5CD8"/>
    <w:rsid w:val="00AE6B4C"/>
    <w:rsid w:val="00BD6014"/>
    <w:rsid w:val="00C33614"/>
    <w:rsid w:val="00E2655A"/>
    <w:rsid w:val="00F2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40204-632E-4CE8-A2BE-B5E41574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50"/>
  </w:style>
  <w:style w:type="paragraph" w:styleId="4">
    <w:name w:val="heading 4"/>
    <w:basedOn w:val="a"/>
    <w:next w:val="a"/>
    <w:qFormat/>
    <w:rsid w:val="002D4E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D4E50"/>
    <w:pPr>
      <w:keepNext/>
      <w:numPr>
        <w:ilvl w:val="12"/>
      </w:numPr>
      <w:ind w:left="360"/>
      <w:outlineLvl w:val="4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4E50"/>
    <w:rPr>
      <w:color w:val="0000FF"/>
      <w:u w:val="single"/>
    </w:rPr>
  </w:style>
  <w:style w:type="paragraph" w:styleId="a4">
    <w:name w:val="Body Text"/>
    <w:basedOn w:val="a"/>
    <w:rsid w:val="002D4E50"/>
    <w:pPr>
      <w:spacing w:after="120"/>
    </w:pPr>
  </w:style>
  <w:style w:type="paragraph" w:styleId="a5">
    <w:name w:val="Body Text Indent"/>
    <w:basedOn w:val="a"/>
    <w:rsid w:val="002D4E50"/>
    <w:pPr>
      <w:spacing w:after="120"/>
      <w:ind w:left="283"/>
    </w:pPr>
    <w:rPr>
      <w:sz w:val="24"/>
      <w:szCs w:val="24"/>
    </w:rPr>
  </w:style>
  <w:style w:type="paragraph" w:styleId="2">
    <w:name w:val="Body Text 2"/>
    <w:basedOn w:val="a"/>
    <w:rsid w:val="002D4E50"/>
    <w:pPr>
      <w:jc w:val="both"/>
    </w:pPr>
    <w:rPr>
      <w:szCs w:val="24"/>
    </w:rPr>
  </w:style>
  <w:style w:type="paragraph" w:styleId="3">
    <w:name w:val="Body Text Indent 3"/>
    <w:basedOn w:val="a"/>
    <w:rsid w:val="002D4E50"/>
    <w:pPr>
      <w:spacing w:after="120"/>
      <w:ind w:left="283"/>
    </w:pPr>
    <w:rPr>
      <w:sz w:val="16"/>
      <w:szCs w:val="16"/>
    </w:rPr>
  </w:style>
  <w:style w:type="paragraph" w:customStyle="1" w:styleId="1">
    <w:name w:val="Обычный1"/>
    <w:rsid w:val="002D4E50"/>
  </w:style>
  <w:style w:type="paragraph" w:customStyle="1" w:styleId="20">
    <w:name w:val="Обычный2"/>
    <w:next w:val="1"/>
    <w:rsid w:val="002D4E50"/>
    <w:rPr>
      <w:noProof/>
    </w:rPr>
  </w:style>
  <w:style w:type="paragraph" w:styleId="a6">
    <w:name w:val="footer"/>
    <w:basedOn w:val="a"/>
    <w:rsid w:val="00BD60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6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3706</Words>
  <Characters>21127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ДЛЯ СТУДЕНТОВ</vt:lpstr>
    </vt:vector>
  </TitlesOfParts>
  <Company>PetrSU</Company>
  <LinksUpToDate>false</LinksUpToDate>
  <CharactersWithSpaces>24784</CharactersWithSpaces>
  <SharedDoc>false</SharedDoc>
  <HLinks>
    <vt:vector size="6" baseType="variant">
      <vt:variant>
        <vt:i4>2883628</vt:i4>
      </vt:variant>
      <vt:variant>
        <vt:i4>0</vt:i4>
      </vt:variant>
      <vt:variant>
        <vt:i4>0</vt:i4>
      </vt:variant>
      <vt:variant>
        <vt:i4>5</vt:i4>
      </vt:variant>
      <vt:variant>
        <vt:lpwstr>http://povman.sstu.edu.ru/k31.html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ДЛЯ СТУДЕНТОВ</dc:title>
  <dc:subject/>
  <dc:creator>ywfgh</dc:creator>
  <cp:keywords/>
  <cp:lastModifiedBy>Irina</cp:lastModifiedBy>
  <cp:revision>2</cp:revision>
  <dcterms:created xsi:type="dcterms:W3CDTF">2014-09-03T09:46:00Z</dcterms:created>
  <dcterms:modified xsi:type="dcterms:W3CDTF">2014-09-03T09:46:00Z</dcterms:modified>
</cp:coreProperties>
</file>