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Реферат по медицинской энтомологии:</w:t>
      </w:r>
    </w:p>
    <w:p w:rsidR="00C56EC8" w:rsidRDefault="00E12FE8">
      <w:pPr>
        <w:tabs>
          <w:tab w:val="left" w:pos="720"/>
        </w:tabs>
        <w:ind w:left="72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Санитарно-эпидемиологическрое значение москитов, как переносчиков средиземноморского висцерального лейшманиоза.</w:t>
      </w: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E12FE8">
      <w:pPr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Выполнил: студент 2 курса</w:t>
      </w:r>
    </w:p>
    <w:p w:rsidR="00C56EC8" w:rsidRDefault="00E12FE8">
      <w:pPr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Группы 9451</w:t>
      </w:r>
    </w:p>
    <w:p w:rsidR="00C56EC8" w:rsidRDefault="00E12FE8">
      <w:pPr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Гавриленко Наталья Владимировна</w:t>
      </w: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C56EC8">
      <w:pPr>
        <w:jc w:val="right"/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Лейшманиозы</w:t>
      </w:r>
      <w:r>
        <w:rPr>
          <w:rFonts w:ascii="Verdana" w:hAnsi="Verdana"/>
          <w:sz w:val="24"/>
          <w:szCs w:val="24"/>
        </w:rPr>
        <w:t xml:space="preserve"> (</w:t>
      </w:r>
      <w:r>
        <w:rPr>
          <w:rFonts w:ascii="Verdana" w:hAnsi="Verdana"/>
          <w:sz w:val="24"/>
          <w:szCs w:val="24"/>
          <w:lang w:val="en-US"/>
        </w:rPr>
        <w:t>L</w:t>
      </w:r>
      <w:r>
        <w:rPr>
          <w:rFonts w:ascii="Verdana" w:hAnsi="Verdana"/>
          <w:sz w:val="24"/>
          <w:szCs w:val="24"/>
        </w:rPr>
        <w:t>eishmanioses) — группа трансмиссивных болезней, вызываемых жгутиковыми простейшими рода Leishmania, переносчиками которых служат москиты, относящиеся к роду Phlebotomus. Вне зависимости от вида лейшмании в своем жизненном цикле проходят две стадии развития: безжгутиковую (амастиготную) внутриклеточную (в организме человека- в селезенке, печени, костном мозге, лимфатических узлах, макрофагах кожи) и жгутиконосную (промастиготную) подвижную (в просвете кишечника переносчика-москита). Лейшмании — внутриклеточные паразиты, размножающиеся в организме позвоночных в свободных макрофагах или клетках системы мононуклеарных фагоцитов. Амастиготы лейшмании имеют овальную или круглую форму, размеры 3—5´1 мкм. Проастиготы — подвижная форма со жгутиком, имеет веретенообразную форму (длина 10—20 мкм, ширина 4—6 мкм). Различают висцеральный и кожный лейшманиоз.</w:t>
      </w: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Висцеральный лейшманиоз (leishmaniosis visceralis) характеризуется хроническим течением, волнообразной лихорадкой, сплено- и гепатомегалией, кахексией, анемией и лейкопенией. Различают индийский (кала-азар, черная болезнь), средиземноморский (средиземноморско-среднеазиатский) и восточноафриканский висцеральный лейшманиоз.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Лейшманиоз висцеральный средиземноморско</w:t>
      </w:r>
      <w:r>
        <w:rPr>
          <w:rFonts w:ascii="Verdana" w:eastAsia="MS Gothic" w:hAnsi="Verdana" w:cs="MS Gothic"/>
          <w:b/>
          <w:sz w:val="24"/>
          <w:szCs w:val="24"/>
        </w:rPr>
        <w:noBreakHyphen/>
      </w:r>
      <w:r>
        <w:rPr>
          <w:rFonts w:ascii="Verdana" w:hAnsi="Verdana" w:cs="Verdana"/>
          <w:b/>
          <w:sz w:val="24"/>
          <w:szCs w:val="24"/>
        </w:rPr>
        <w:t xml:space="preserve">среднеазиатский  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  <w:u w:val="single"/>
        </w:rPr>
        <w:t>Эпидемиология.</w:t>
      </w:r>
      <w:r>
        <w:rPr>
          <w:rFonts w:ascii="Verdana" w:hAnsi="Verdana"/>
          <w:sz w:val="24"/>
          <w:szCs w:val="24"/>
        </w:rPr>
        <w:t xml:space="preserve">  Возбудитель — L. donovani infantum. Средиземноморско</w:t>
      </w:r>
      <w:r>
        <w:rPr>
          <w:rFonts w:ascii="Verdana" w:eastAsia="MS Gothic" w:hAnsi="Verdana" w:cs="MS Gothic"/>
          <w:sz w:val="24"/>
          <w:szCs w:val="24"/>
        </w:rPr>
        <w:noBreakHyphen/>
      </w:r>
      <w:r>
        <w:rPr>
          <w:rFonts w:ascii="Verdana" w:hAnsi="Verdana" w:cs="Verdana"/>
          <w:sz w:val="24"/>
          <w:szCs w:val="24"/>
        </w:rPr>
        <w:t>среднеазиатский висцеральный лейш</w:t>
      </w:r>
      <w:r>
        <w:rPr>
          <w:rFonts w:ascii="Verdana" w:hAnsi="Verdana"/>
          <w:sz w:val="24"/>
          <w:szCs w:val="24"/>
        </w:rPr>
        <w:t xml:space="preserve">маниоз – зооноз, склонный к очаговому распространению. Различают 3 типа очагов инвазии: </w:t>
      </w: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1) природные очаги, в которых лейшмании циркулируют среди диких животных (шакалы, лисицы, барсуки, грызуны, в том числе суслики и т.п.), являющиеся резервуаром возбудителей; </w:t>
      </w: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2) сельские очаги, в которых циркуляция возбудителей происходит преимущественно среди собак – главных источников возбудителей, а также среди диких животных – способных иногда становиться источниками заражения; </w:t>
      </w: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3) городские очаги, в которых основным источником инвазии являются собаки, но возбудитель обнаруживается и у синантропных крыс. </w:t>
      </w: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 целом собаки в сельских и городских очагах лейшманиоза представляют собой наиболее значимый источник заражения людей. Ведущий механизм заражения – трансмиссивный, через укус инвазированных переносчиков – москитов рода Phlebotomus. Возможно заражение при гемотрансфузиях от доноров с латентной инвазией. Болеют преимущественно дети от 1 года до 5 лет, но нередко и взрослые – приезжие из неэндемичных районов.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 w:cs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Заболеваемость носит спорадический характер, в городах возможны локальные эпидемические вспышки. Сезон заражения – лето, а сезон заболеваемости – осень того же или весна следующего года. Очаги болезни располагаются между 45° С.Ш. и 15° ю.ш. в странах Средиземноморья, в северо</w:t>
      </w:r>
      <w:r>
        <w:rPr>
          <w:rFonts w:ascii="Verdana" w:eastAsia="MS Gothic" w:hAnsi="Verdana" w:cs="MS Gothic"/>
          <w:sz w:val="24"/>
          <w:szCs w:val="24"/>
        </w:rPr>
        <w:t>-западных</w:t>
      </w:r>
      <w:r>
        <w:rPr>
          <w:rFonts w:ascii="Verdana" w:hAnsi="Verdana" w:cs="Verdana"/>
          <w:sz w:val="24"/>
          <w:szCs w:val="24"/>
        </w:rPr>
        <w:t xml:space="preserve"> районах Китая, на Ближнем Востоке, в Средней Азии, Казахстане (Кзыл</w:t>
      </w:r>
      <w:r>
        <w:rPr>
          <w:rFonts w:ascii="Verdana" w:eastAsia="MS Gothic" w:hAnsi="Verdana" w:cs="MS Gothic"/>
          <w:sz w:val="24"/>
          <w:szCs w:val="24"/>
        </w:rPr>
        <w:t>-</w:t>
      </w:r>
      <w:r>
        <w:rPr>
          <w:rFonts w:ascii="Verdana" w:hAnsi="Verdana" w:cs="Verdana"/>
          <w:sz w:val="24"/>
          <w:szCs w:val="24"/>
        </w:rPr>
        <w:t>ординская область), Азербайджане, Грузии.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  <w:u w:val="single"/>
        </w:rPr>
        <w:t>Патогенез и патологоанатомическая картина.</w:t>
      </w:r>
      <w:r>
        <w:rPr>
          <w:rFonts w:ascii="Verdana" w:hAnsi="Verdana"/>
          <w:sz w:val="24"/>
          <w:szCs w:val="24"/>
        </w:rPr>
        <w:t xml:space="preserve">  Инокулированные промастиготы лейшмании захватываются макрофагами, превращаются в них в амастиготы и размножаются. В месте внедрения паразитов формируется гранулема, состоящая из макрофагов, содержащих лейшмании, ретикулярных клеток, эпителиоидных и гигантских клеток (первичный аффект). Спустя несколько недель гранулема подвергается обратному развитию или рубцеванию.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 дальнейшем лейшмании могут проникать в регионарные лимфатические узлы, затем диссеминировать в селезенку, костный мозг, печень и другие органы. В большинстве случаев в результате иммунного ответа, в первую очередь реакций гиперчувствительности замедленного типа, происходит разрушение инвазированных клеток: инвазия приобретает субклинический или латентный характер. В последних случаях возможна передача возбудителей при гемотрансфузиях.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 случаях пониженной реактивности или при воздействии иммуносупрессорных факторов (например, применение кортикостероидов и т.п.) отмечается интенсивное размножение лейшмании в гиперплазированных макрофагах, возникает специфическая интоксикация, происходит увеличение паренхиматозных органов с нарушением их функции. Гиперплазия звездчатых эндотелиоцитов в печени приводит к сдавлению и атрофии гепатоцитов с последующим интерлобулярным фиброзом печеночной ткани. Отмечается атрофия пульпы селезенки и зародышевых центров в лимфатических узлах, нарушение костномозгового кроветворения, возникает анемия и кахексия.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Гиперплазия элементов СМФ сопровождается продукцией большого количества иммуноглобулинов, как правило, не играющих защитной роли и нередко обусловливающих иммунопатологические процессы. Часто развиваются вторичная инфекция, амилоидоз почек. Во внутренних органах отмечаются изменения, характерные для гипохромной анемии.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Специфические изменения в паренхиматозных органах подвергаются обратному развитию при адекватном лечении. У реконвалесцентов формируется стойкий гомологичный иммунитет.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  <w:u w:val="single"/>
        </w:rPr>
        <w:t>Клиническая картина</w:t>
      </w:r>
      <w:r>
        <w:rPr>
          <w:rFonts w:ascii="Verdana" w:hAnsi="Verdana"/>
          <w:sz w:val="24"/>
          <w:szCs w:val="24"/>
        </w:rPr>
        <w:t>.  Инкубационный период составляет от 20 дней до 3–5 месяцев, иногда 1 год и более. В месте инокуляции лейшманий у детей 1–1,5 лет, реже у более старших детей и взрослых возникает первичный аффект в виде папулы, иногда покрытой чешуйкой. Важно правильно оценить этот симптом, так как он появляется задолго до общих проявлений болезни. В течении висцерального лейшманиоза различают 3 периода: начальный, разгара болезни и терминальный.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В </w:t>
      </w:r>
      <w:r>
        <w:rPr>
          <w:rFonts w:ascii="Verdana" w:hAnsi="Verdana"/>
          <w:i/>
          <w:sz w:val="24"/>
          <w:szCs w:val="24"/>
        </w:rPr>
        <w:t>начальный период</w:t>
      </w:r>
      <w:r>
        <w:rPr>
          <w:rFonts w:ascii="Verdana" w:hAnsi="Verdana"/>
          <w:sz w:val="24"/>
          <w:szCs w:val="24"/>
        </w:rPr>
        <w:t xml:space="preserve"> отмечаются слабость, понижение аппетита, адинамия, небольшая спленомегалия.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Период </w:t>
      </w:r>
      <w:r>
        <w:rPr>
          <w:rFonts w:ascii="Verdana" w:hAnsi="Verdana"/>
          <w:i/>
          <w:sz w:val="24"/>
          <w:szCs w:val="24"/>
        </w:rPr>
        <w:t>разгара болезни</w:t>
      </w:r>
      <w:r>
        <w:rPr>
          <w:rFonts w:ascii="Verdana" w:hAnsi="Verdana"/>
          <w:sz w:val="24"/>
          <w:szCs w:val="24"/>
        </w:rPr>
        <w:t xml:space="preserve"> начинается с кардинального симптома – лихорадки, которая обычно имеет волнообразный характер с подъемами температуры тела до 39–40°С, сменяющимися ремиссиями. Длительность лихорадки колеблется от нескольких дней до нескольких месяцев. Продолжительность ремиссии также различна – от нескольких дней до 1–2 мес.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Постоянными признаками висцерального лейшманиоза является увеличение и уплотнение печени и главным образом селезенки; последняя может занимать большую часть брюшной полости. Увеличение печени обычно менее значительно. При пальпации оба органа плотны и безболезненны; болезненность наблюдается обычно при развитии периоспленита или перигепатита. Под влиянием лечения размеры органов уменьшаются и могут нормализоваться.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Для средиземноморско</w:t>
      </w:r>
      <w:r>
        <w:rPr>
          <w:rFonts w:ascii="Verdana" w:eastAsia="MS Gothic" w:hAnsi="Verdana" w:cs="MS Gothic"/>
          <w:sz w:val="24"/>
          <w:szCs w:val="24"/>
        </w:rPr>
        <w:noBreakHyphen/>
      </w:r>
      <w:r>
        <w:rPr>
          <w:rFonts w:ascii="Verdana" w:hAnsi="Verdana" w:cs="Verdana"/>
          <w:sz w:val="24"/>
          <w:szCs w:val="24"/>
        </w:rPr>
        <w:t>среднеазиатского висцерального лейшманиоза характерно вовлечение в пато</w:t>
      </w:r>
      <w:r>
        <w:rPr>
          <w:rFonts w:ascii="Verdana" w:hAnsi="Verdana"/>
          <w:sz w:val="24"/>
          <w:szCs w:val="24"/>
        </w:rPr>
        <w:t>логический процесс периферических, мезентеральных, перибронхиальных и других групп лимфатических узлов с развитием полилимфаденита, мезаденита, бронхоаденита; в последних случаях может возникать приступообразный кашель. Часто выявляются пневмонии, вызываемые бактериальной флорой.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При отсутствии правильного лечения состояние больных постепенно ухудшается, они худеют (до кахексии). Развивается клиническая картина гиперспленизма, прогрессирует анемия, которая усугубляется поражением костного мозга. Возникают гранулоцитопения и агранулоцитоз, нередко развивается некроз миндалин и слизистых оболочек полости рта, десен (нома). Нередко развивается геморрагический синдром с кровоизлияниями в кожу, слизистые оболочки, носовыми и желудочно</w:t>
      </w:r>
      <w:r>
        <w:rPr>
          <w:rFonts w:ascii="Verdana" w:eastAsia="MS Gothic" w:hAnsi="Verdana" w:cs="MS Gothic"/>
          <w:sz w:val="24"/>
          <w:szCs w:val="24"/>
        </w:rPr>
        <w:t>-</w:t>
      </w:r>
      <w:r>
        <w:rPr>
          <w:rFonts w:ascii="Verdana" w:hAnsi="Verdana" w:cs="Verdana"/>
          <w:sz w:val="24"/>
          <w:szCs w:val="24"/>
        </w:rPr>
        <w:t xml:space="preserve">кишечными кровотечениями. </w:t>
      </w:r>
      <w:r>
        <w:rPr>
          <w:rFonts w:ascii="Verdana" w:hAnsi="Verdana"/>
          <w:sz w:val="24"/>
          <w:szCs w:val="24"/>
        </w:rPr>
        <w:t>Выраженная спленогепатомегалия и фиброз печени приводят к портальной гипертензии, появлению асцита и отеков. Их возникновению способствует гипоальбуминемия. Возможны инфаркты селезенки.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Вследствие увеличения селезенки и печени, высокого стояния купола диафрагмы сердце смещается вправо, его тоны становятся глухими; определяется тахикардия как в период лихорадки, так и при нормальной температуре; артериальное давление обычно понижено. По мере развития анемии и интоксикации признаки сердечной недостаточности нарастают. Отмечается поражение пищеварительного тракта, возникает диарея. У женщин обычно наблюдается (олиго) аменорея, у мужчин снижается половая активность.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 гемограмме определяется уменьшение числа эритроцитов (до 1</w:t>
      </w:r>
      <w:r>
        <w:rPr>
          <w:rFonts w:ascii="Verdana" w:eastAsia="MS Gothic" w:hAnsi="Verdana" w:cs="MS Gothic"/>
          <w:sz w:val="24"/>
          <w:szCs w:val="24"/>
        </w:rPr>
        <w:noBreakHyphen/>
      </w:r>
      <w:r>
        <w:rPr>
          <w:rFonts w:ascii="Verdana" w:hAnsi="Verdana" w:cs="Verdana"/>
          <w:sz w:val="24"/>
          <w:szCs w:val="24"/>
        </w:rPr>
        <w:t>2 * 10^12 /л и менее) и гемоглобин</w:t>
      </w:r>
      <w:r>
        <w:rPr>
          <w:rFonts w:ascii="Verdana" w:hAnsi="Verdana"/>
          <w:sz w:val="24"/>
          <w:szCs w:val="24"/>
        </w:rPr>
        <w:t>а (до 40–50 г/л и менее), цветового показателя (0,6–0,8). Характерны пойкилоцитоз, анизоцитоз, анизохромия. Отмечаются лейкопения (до 2</w:t>
      </w:r>
      <w:r>
        <w:rPr>
          <w:rFonts w:ascii="Verdana" w:eastAsia="MS Gothic" w:hAnsi="Verdana" w:cs="MS Gothic"/>
          <w:sz w:val="24"/>
          <w:szCs w:val="24"/>
        </w:rPr>
        <w:noBreakHyphen/>
      </w:r>
      <w:r>
        <w:rPr>
          <w:rFonts w:ascii="Verdana" w:hAnsi="Verdana" w:cs="Verdana"/>
          <w:sz w:val="24"/>
          <w:szCs w:val="24"/>
        </w:rPr>
        <w:t>2,5 * 10^9 /л и менее), нейтропения (иногда до 10 %) при относительном лимфоцитозе, возможен агранулоцитоз. Постоянный п</w:t>
      </w:r>
      <w:r>
        <w:rPr>
          <w:rFonts w:ascii="Verdana" w:hAnsi="Verdana"/>
          <w:sz w:val="24"/>
          <w:szCs w:val="24"/>
        </w:rPr>
        <w:t>ризнак – анэозинофилия, обычно выявляется тромбоцитопения. Характерно резкое повышение СОЭ (до 90 мм/ч). Снижаются свертываемость крови и резистентность эритроцитов.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</w:t>
      </w:r>
      <w:r>
        <w:rPr>
          <w:rFonts w:ascii="Verdana" w:hAnsi="Verdana"/>
          <w:i/>
          <w:sz w:val="24"/>
          <w:szCs w:val="24"/>
        </w:rPr>
        <w:t xml:space="preserve"> терминальный</w:t>
      </w:r>
      <w:r>
        <w:rPr>
          <w:rFonts w:ascii="Verdana" w:hAnsi="Verdana"/>
          <w:sz w:val="24"/>
          <w:szCs w:val="24"/>
        </w:rPr>
        <w:t xml:space="preserve"> период болезни развиваются кахексия, падение мышечного тонуса, истончение кожи, через тонкую брюшную стенку проступают контуры огромной селезенки и увеличенной печени. Кожа приобретает «фарфоровый» вид, иногда с землистым или восковидным оттенком, особенно в случаях выраженной анемии.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 w:cs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Средиземноморско</w:t>
      </w:r>
      <w:r>
        <w:rPr>
          <w:rFonts w:ascii="Verdana" w:eastAsia="MS Gothic" w:hAnsi="Verdana" w:cs="MS Gothic"/>
          <w:sz w:val="24"/>
          <w:szCs w:val="24"/>
        </w:rPr>
        <w:noBreakHyphen/>
      </w:r>
      <w:r>
        <w:rPr>
          <w:rFonts w:ascii="Verdana" w:hAnsi="Verdana" w:cs="Verdana"/>
          <w:sz w:val="24"/>
          <w:szCs w:val="24"/>
        </w:rPr>
        <w:t>среднеазиатский висцеральный лейшманиоз может проявляться в острой, подострой и хронической формах.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Острая форма</w:t>
      </w:r>
      <w:r>
        <w:rPr>
          <w:rFonts w:ascii="Verdana" w:hAnsi="Verdana"/>
          <w:sz w:val="24"/>
          <w:szCs w:val="24"/>
        </w:rPr>
        <w:t>,  обычно выявляемая у детей младшего возраста, встречается редко, характеризуется бурным течением и при несвоевременном лечении заканчивается летально.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Подострая</w:t>
      </w:r>
      <w:r>
        <w:rPr>
          <w:rFonts w:ascii="Verdana" w:hAnsi="Verdana"/>
          <w:sz w:val="24"/>
          <w:szCs w:val="24"/>
        </w:rPr>
        <w:t xml:space="preserve"> форма,  более частая, протекает тяжело в течение 5–6 месяцев с прогрессированием характерных симптомов болезни и осложнениями. Без лечения нередко наступает летальный исход.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Хроническая форма</w:t>
      </w:r>
      <w:r>
        <w:rPr>
          <w:rFonts w:ascii="Verdana" w:hAnsi="Verdana"/>
          <w:sz w:val="24"/>
          <w:szCs w:val="24"/>
        </w:rPr>
        <w:t>,  самая частая и благоприятная, характеризуется продолжительными ремиссиями и обычно заканчивается выздоровлением при своевременном лечении. Наблюдается у детей старшего возраста и у взрослых.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  <w:u w:val="single"/>
        </w:rPr>
        <w:t>Прогноз.</w:t>
      </w:r>
      <w:r>
        <w:rPr>
          <w:rFonts w:ascii="Verdana" w:hAnsi="Verdana"/>
          <w:sz w:val="24"/>
          <w:szCs w:val="24"/>
        </w:rPr>
        <w:t xml:space="preserve">  Серьезный, при тяжелых и осложненных формах и несвоевременном лечении – неблагоприятный; легкие формы могут заканчиваться спонтанным выздоровлением.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Диагностика.</w:t>
      </w:r>
      <w:r>
        <w:rPr>
          <w:rFonts w:ascii="Verdana" w:hAnsi="Verdana"/>
          <w:sz w:val="24"/>
          <w:szCs w:val="24"/>
        </w:rPr>
        <w:t xml:space="preserve">  В эндемичных очагах клинический диагноз поставить нетрудно. Подтверждение диагноза осуществляют с помощью микроскопического исследования. Лейшмании иногда обнаруживают в мазке и толстой капле крови. Наиболее информативным является обнаружение лейшмании в препаратах костного мозга: до 95–100 % положительных результатов. Проводят посев пунктата костного мозга для получения культуры возбудителя (на среде NNN обнаруживают промастиготы). Иногда прибегают к биопсии лимфатических узлов, селезенки, печени. Применяют серологические методы исследования (РСК, НРИФ, ИФА и др.). Может быть использована биологическая проба с заражением хомячков.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 w:cs="Verdana"/>
          <w:sz w:val="24"/>
          <w:szCs w:val="24"/>
        </w:rPr>
      </w:pPr>
      <w:r>
        <w:rPr>
          <w:rFonts w:ascii="Verdana" w:hAnsi="Verdana"/>
          <w:i/>
          <w:sz w:val="24"/>
          <w:szCs w:val="24"/>
          <w:u w:val="single"/>
        </w:rPr>
        <w:t>Лечение.</w:t>
      </w:r>
      <w:r>
        <w:rPr>
          <w:rFonts w:ascii="Verdana" w:hAnsi="Verdana"/>
          <w:sz w:val="24"/>
          <w:szCs w:val="24"/>
        </w:rPr>
        <w:t xml:space="preserve">  Наиболее эффективны препараты 5</w:t>
      </w:r>
      <w:r>
        <w:rPr>
          <w:rFonts w:ascii="Verdana" w:eastAsia="MS Gothic" w:hAnsi="Verdana" w:cs="MS Gothic"/>
          <w:sz w:val="24"/>
          <w:szCs w:val="24"/>
        </w:rPr>
        <w:noBreakHyphen/>
      </w:r>
      <w:r>
        <w:rPr>
          <w:rFonts w:ascii="Verdana" w:hAnsi="Verdana" w:cs="Verdana"/>
          <w:sz w:val="24"/>
          <w:szCs w:val="24"/>
        </w:rPr>
        <w:t>валентной сурьмы, пентамидина изотионат.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Препараты сурьмы вводят внутривенно в течение 7–16 дней в постепенно возрастающей дозе. При неэффективности этих препаратов назначают пентамидин по 0,004 г на 1 кг в сутки ежедневно или через день, на курс 10–15 инъекций.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Помимо  специфических препаратов, необходимы патогенетическая терапия и профилактика бактериальных наслоений.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  <w:u w:val="single"/>
        </w:rPr>
        <w:t>Профилактика.</w:t>
      </w:r>
      <w:r>
        <w:rPr>
          <w:rFonts w:ascii="Verdana" w:hAnsi="Verdana"/>
          <w:sz w:val="24"/>
          <w:szCs w:val="24"/>
        </w:rPr>
        <w:t xml:space="preserve">  Основана на мероприятиях по уничтожению москитов, санации больных собак.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tabs>
          <w:tab w:val="left" w:pos="5220"/>
        </w:tabs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Использованные материалы:</w:t>
      </w:r>
    </w:p>
    <w:p w:rsidR="00C56EC8" w:rsidRDefault="00C56EC8">
      <w:pPr>
        <w:rPr>
          <w:rFonts w:ascii="Verdana" w:hAnsi="Verdana"/>
          <w:sz w:val="24"/>
          <w:szCs w:val="24"/>
        </w:rPr>
      </w:pPr>
    </w:p>
    <w:p w:rsidR="00C56EC8" w:rsidRDefault="00E12FE8">
      <w:pPr>
        <w:pStyle w:val="ae"/>
        <w:numPr>
          <w:ilvl w:val="0"/>
          <w:numId w:val="1"/>
        </w:numPr>
        <w:tabs>
          <w:tab w:val="left" w:pos="720"/>
        </w:tabs>
      </w:pPr>
      <w:r w:rsidRPr="001C708E">
        <w:rPr>
          <w:rFonts w:ascii="Verdana" w:hAnsi="Verdana"/>
          <w:lang w:val="en-US"/>
        </w:rPr>
        <w:t>www.ya.ru</w:t>
      </w:r>
    </w:p>
    <w:p w:rsidR="00C56EC8" w:rsidRDefault="00E12FE8">
      <w:pPr>
        <w:pStyle w:val="ae"/>
        <w:numPr>
          <w:ilvl w:val="0"/>
          <w:numId w:val="1"/>
        </w:numPr>
        <w:tabs>
          <w:tab w:val="left" w:pos="720"/>
        </w:tabs>
        <w:rPr>
          <w:rFonts w:ascii="Verdana" w:hAnsi="Verdana"/>
          <w:sz w:val="24"/>
          <w:szCs w:val="24"/>
        </w:rPr>
      </w:pPr>
      <w:r w:rsidRPr="001C708E">
        <w:rPr>
          <w:rFonts w:ascii="Verdana" w:hAnsi="Verdana"/>
        </w:rPr>
        <w:t>http://www.myrtus.ru/</w:t>
      </w:r>
    </w:p>
    <w:p w:rsidR="00C56EC8" w:rsidRDefault="00E12FE8">
      <w:pPr>
        <w:pStyle w:val="ae"/>
        <w:numPr>
          <w:ilvl w:val="0"/>
          <w:numId w:val="1"/>
        </w:numPr>
        <w:tabs>
          <w:tab w:val="left" w:pos="720"/>
        </w:tabs>
      </w:pPr>
      <w:r>
        <w:rPr>
          <w:rFonts w:ascii="Verdana" w:hAnsi="Verdana"/>
          <w:sz w:val="24"/>
          <w:szCs w:val="24"/>
        </w:rPr>
        <w:t>http://www.doktorvisus.ru/</w:t>
      </w:r>
      <w:bookmarkStart w:id="0" w:name="_GoBack"/>
      <w:bookmarkEnd w:id="0"/>
    </w:p>
    <w:sectPr w:rsidR="00C56EC8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EC8" w:rsidRDefault="00E12FE8">
      <w:r>
        <w:separator/>
      </w:r>
    </w:p>
  </w:endnote>
  <w:endnote w:type="continuationSeparator" w:id="0">
    <w:p w:rsidR="00C56EC8" w:rsidRDefault="00E1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EC8" w:rsidRDefault="00E12FE8">
    <w:pPr>
      <w:pStyle w:val="ad"/>
      <w:jc w:val="center"/>
    </w:pPr>
    <w:r>
      <w:fldChar w:fldCharType="begin"/>
    </w:r>
    <w:r>
      <w:instrText xml:space="preserve"> PAGE </w:instrText>
    </w:r>
    <w:r>
      <w:fldChar w:fldCharType="end"/>
    </w:r>
  </w:p>
  <w:p w:rsidR="00C56EC8" w:rsidRDefault="00C56EC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EC8" w:rsidRDefault="00E12FE8">
    <w:pPr>
      <w:pStyle w:val="ad"/>
      <w:jc w:val="center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Новосибирск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EC8" w:rsidRDefault="00E12FE8">
      <w:r>
        <w:separator/>
      </w:r>
    </w:p>
  </w:footnote>
  <w:footnote w:type="continuationSeparator" w:id="0">
    <w:p w:rsidR="00C56EC8" w:rsidRDefault="00E12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EC8" w:rsidRDefault="00C56EC8">
    <w:pPr>
      <w:pStyle w:val="ac"/>
      <w:jc w:val="center"/>
      <w:rPr>
        <w:rFonts w:ascii="Verdana" w:hAnsi="Verdana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EC8" w:rsidRDefault="00E12FE8">
    <w:pPr>
      <w:pStyle w:val="ac"/>
      <w:jc w:val="center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Новосибирский Государственный Университет</w:t>
    </w:r>
  </w:p>
  <w:p w:rsidR="00C56EC8" w:rsidRDefault="00E12FE8">
    <w:pPr>
      <w:pStyle w:val="ac"/>
      <w:jc w:val="center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Медицинский Факультет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FE8"/>
    <w:rsid w:val="001C708E"/>
    <w:rsid w:val="00C56EC8"/>
    <w:rsid w:val="00E1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10F3F-7239-4BD4-B4BB-9B32457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 абзаца"/>
  </w:style>
  <w:style w:type="character" w:customStyle="1" w:styleId="a4">
    <w:name w:val="Верхний колонтитул Знак"/>
    <w:basedOn w:val="a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basedOn w:val="a3"/>
    <w:semiHidden/>
    <w:rPr>
      <w:color w:val="0000FF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semiHidden/>
    <w:pPr>
      <w:spacing w:after="120"/>
    </w:pPr>
  </w:style>
  <w:style w:type="paragraph" w:styleId="a9">
    <w:name w:val="List"/>
    <w:basedOn w:val="a8"/>
    <w:semiHidden/>
    <w:rPr>
      <w:rFonts w:ascii="Arial" w:hAnsi="Arial" w:cs="Tahoma"/>
    </w:rPr>
  </w:style>
  <w:style w:type="paragraph" w:customStyle="1" w:styleId="aa">
    <w:name w:val="Название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ab">
    <w:name w:val="Указатель"/>
    <w:basedOn w:val="a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</w:style>
  <w:style w:type="paragraph" w:styleId="ad">
    <w:name w:val="footer"/>
    <w:basedOn w:val="a"/>
    <w:semiHidden/>
  </w:style>
  <w:style w:type="paragraph" w:customStyle="1" w:styleId="ae">
    <w:name w:val="Абзац списка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1609</Words>
  <Characters>9176</Characters>
  <Application>Microsoft Office Word</Application>
  <DocSecurity>0</DocSecurity>
  <Lines>76</Lines>
  <Paragraphs>21</Paragraphs>
  <ScaleCrop>false</ScaleCrop>
  <Company>diakov.net</Company>
  <LinksUpToDate>false</LinksUpToDate>
  <CharactersWithSpaces>10764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Гавриленко</dc:creator>
  <cp:keywords/>
  <cp:lastModifiedBy>Irina</cp:lastModifiedBy>
  <cp:revision>2</cp:revision>
  <cp:lastPrinted>1899-12-31T21:00:00Z</cp:lastPrinted>
  <dcterms:created xsi:type="dcterms:W3CDTF">2014-07-29T06:02:00Z</dcterms:created>
  <dcterms:modified xsi:type="dcterms:W3CDTF">2014-07-29T06:02:00Z</dcterms:modified>
</cp:coreProperties>
</file>