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30D" w:rsidRPr="00606E8F" w:rsidRDefault="0077430D" w:rsidP="00606E8F">
      <w:pPr>
        <w:spacing w:after="0" w:line="360" w:lineRule="auto"/>
        <w:ind w:firstLine="709"/>
        <w:jc w:val="center"/>
        <w:rPr>
          <w:rFonts w:ascii="Times New Roman" w:hAnsi="Times New Roman"/>
          <w:b/>
          <w:sz w:val="28"/>
          <w:szCs w:val="28"/>
        </w:rPr>
      </w:pPr>
      <w:r w:rsidRPr="00606E8F">
        <w:rPr>
          <w:rFonts w:ascii="Times New Roman" w:hAnsi="Times New Roman"/>
          <w:b/>
          <w:caps/>
          <w:sz w:val="28"/>
          <w:szCs w:val="28"/>
        </w:rPr>
        <w:t>Аннотация</w:t>
      </w:r>
    </w:p>
    <w:p w:rsidR="0077430D" w:rsidRPr="00606E8F" w:rsidRDefault="0077430D" w:rsidP="00606E8F">
      <w:pPr>
        <w:spacing w:after="0" w:line="360" w:lineRule="auto"/>
        <w:ind w:firstLine="709"/>
        <w:jc w:val="both"/>
        <w:rPr>
          <w:rFonts w:ascii="Times New Roman" w:hAnsi="Times New Roman"/>
          <w:sz w:val="28"/>
          <w:szCs w:val="28"/>
        </w:rPr>
      </w:pPr>
    </w:p>
    <w:p w:rsidR="0077430D"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35</w:t>
      </w:r>
      <w:r w:rsidR="0077430D" w:rsidRPr="00606E8F">
        <w:rPr>
          <w:rFonts w:ascii="Times New Roman" w:hAnsi="Times New Roman"/>
          <w:sz w:val="28"/>
          <w:szCs w:val="28"/>
        </w:rPr>
        <w:t xml:space="preserve"> страниц, </w:t>
      </w:r>
      <w:r w:rsidRPr="00606E8F">
        <w:rPr>
          <w:rFonts w:ascii="Times New Roman" w:hAnsi="Times New Roman"/>
          <w:sz w:val="28"/>
          <w:szCs w:val="28"/>
        </w:rPr>
        <w:t>25</w:t>
      </w:r>
      <w:r w:rsidR="0077430D" w:rsidRPr="00606E8F">
        <w:rPr>
          <w:rFonts w:ascii="Times New Roman" w:hAnsi="Times New Roman"/>
          <w:sz w:val="28"/>
          <w:szCs w:val="28"/>
        </w:rPr>
        <w:t xml:space="preserve"> источников</w:t>
      </w:r>
    </w:p>
    <w:p w:rsidR="00684E79" w:rsidRPr="00606E8F" w:rsidRDefault="00684E79" w:rsidP="00606E8F">
      <w:pPr>
        <w:spacing w:after="0" w:line="360" w:lineRule="auto"/>
        <w:ind w:firstLine="709"/>
        <w:jc w:val="both"/>
        <w:rPr>
          <w:rFonts w:ascii="Times New Roman" w:hAnsi="Times New Roman"/>
          <w:caps/>
          <w:sz w:val="28"/>
          <w:szCs w:val="28"/>
        </w:rPr>
      </w:pPr>
      <w:r w:rsidRPr="00606E8F">
        <w:rPr>
          <w:rFonts w:ascii="Times New Roman" w:hAnsi="Times New Roman"/>
          <w:caps/>
          <w:sz w:val="28"/>
          <w:szCs w:val="28"/>
        </w:rPr>
        <w:t>Права граждан, Конституция Российской Федерации, имущественные, неимущественные права граждан, Охрана прав, методы и способы</w:t>
      </w:r>
      <w:r w:rsidR="0041637B" w:rsidRPr="00606E8F">
        <w:rPr>
          <w:rFonts w:ascii="Times New Roman" w:hAnsi="Times New Roman"/>
          <w:caps/>
          <w:sz w:val="28"/>
          <w:szCs w:val="28"/>
        </w:rPr>
        <w:t xml:space="preserve"> и процесс</w:t>
      </w:r>
      <w:r w:rsidRPr="00606E8F">
        <w:rPr>
          <w:rFonts w:ascii="Times New Roman" w:hAnsi="Times New Roman"/>
          <w:caps/>
          <w:sz w:val="28"/>
          <w:szCs w:val="28"/>
        </w:rPr>
        <w:t xml:space="preserve"> защиты прав граждан</w:t>
      </w:r>
    </w:p>
    <w:p w:rsidR="00D742E4" w:rsidRPr="00606E8F" w:rsidRDefault="00D742E4"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xml:space="preserve">Объектом исследования, является </w:t>
      </w:r>
      <w:r w:rsidR="0041637B" w:rsidRPr="00606E8F">
        <w:rPr>
          <w:rFonts w:ascii="Times New Roman" w:hAnsi="Times New Roman"/>
          <w:sz w:val="28"/>
          <w:szCs w:val="28"/>
        </w:rPr>
        <w:t>гражданско-правовой охраны личной</w:t>
      </w:r>
    </w:p>
    <w:p w:rsidR="0041637B" w:rsidRPr="00606E8F" w:rsidRDefault="00D742E4"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xml:space="preserve">Целью </w:t>
      </w:r>
      <w:r w:rsidR="009B22B0" w:rsidRPr="00606E8F">
        <w:rPr>
          <w:rFonts w:ascii="Times New Roman" w:hAnsi="Times New Roman"/>
          <w:sz w:val="28"/>
          <w:szCs w:val="28"/>
        </w:rPr>
        <w:t xml:space="preserve">исследования является </w:t>
      </w:r>
      <w:r w:rsidR="0041637B" w:rsidRPr="00606E8F">
        <w:rPr>
          <w:rFonts w:ascii="Times New Roman" w:hAnsi="Times New Roman"/>
          <w:sz w:val="28"/>
          <w:szCs w:val="28"/>
        </w:rPr>
        <w:t>комплексное исследование гражданско-правовой охраны личности граждан.</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Достижение поставленной цели предусматривается осуществить путем решения следующих задач:</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изучение теоретических концепций в области личных прав граждан;</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рассмотрение понятие и виды личных неимущественных прав;</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выявление специфики гражданско-правовой охраны личных прав граждан;</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рассмотрение судебной практики по охране личных неимущественных прав.</w:t>
      </w:r>
    </w:p>
    <w:p w:rsidR="0041637B" w:rsidRPr="00606E8F" w:rsidRDefault="0041637B"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Предметом исследования в данной работе являются теоретические и практические проблемы охраны личной жизни граждан.</w:t>
      </w:r>
    </w:p>
    <w:p w:rsidR="009B22B0" w:rsidRPr="00606E8F" w:rsidRDefault="009B22B0" w:rsidP="00606E8F">
      <w:pPr>
        <w:spacing w:after="0" w:line="360" w:lineRule="auto"/>
        <w:ind w:firstLine="709"/>
        <w:jc w:val="both"/>
        <w:rPr>
          <w:rFonts w:ascii="Times New Roman" w:hAnsi="Times New Roman"/>
          <w:sz w:val="28"/>
          <w:szCs w:val="28"/>
        </w:rPr>
      </w:pPr>
    </w:p>
    <w:p w:rsidR="00346603" w:rsidRPr="00606E8F" w:rsidRDefault="00606E8F" w:rsidP="00606E8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D742E4" w:rsidRPr="00606E8F">
        <w:rPr>
          <w:rFonts w:ascii="Times New Roman" w:hAnsi="Times New Roman"/>
          <w:b/>
          <w:sz w:val="28"/>
          <w:szCs w:val="28"/>
        </w:rPr>
        <w:t>СОД</w:t>
      </w:r>
      <w:r w:rsidR="007F1BB1" w:rsidRPr="00606E8F">
        <w:rPr>
          <w:rFonts w:ascii="Times New Roman" w:hAnsi="Times New Roman"/>
          <w:b/>
          <w:sz w:val="28"/>
          <w:szCs w:val="28"/>
        </w:rPr>
        <w:t>ЕРЖАНИЕ</w:t>
      </w:r>
    </w:p>
    <w:p w:rsidR="00696574" w:rsidRPr="00606E8F" w:rsidRDefault="00696574" w:rsidP="00606E8F">
      <w:pPr>
        <w:spacing w:after="0" w:line="360" w:lineRule="auto"/>
        <w:ind w:firstLine="709"/>
        <w:jc w:val="both"/>
        <w:rPr>
          <w:rFonts w:ascii="Times New Roman" w:hAnsi="Times New Roman"/>
          <w:b/>
          <w:sz w:val="28"/>
          <w:szCs w:val="28"/>
        </w:rPr>
      </w:pPr>
    </w:p>
    <w:p w:rsidR="00606E8F" w:rsidRPr="00606E8F" w:rsidRDefault="00606E8F" w:rsidP="00606E8F">
      <w:pPr>
        <w:tabs>
          <w:tab w:val="left" w:pos="8814"/>
        </w:tabs>
        <w:spacing w:after="0" w:line="360" w:lineRule="auto"/>
        <w:jc w:val="both"/>
        <w:rPr>
          <w:rFonts w:ascii="Times New Roman" w:hAnsi="Times New Roman"/>
          <w:sz w:val="28"/>
          <w:szCs w:val="28"/>
        </w:rPr>
      </w:pPr>
      <w:r w:rsidRPr="00606E8F">
        <w:rPr>
          <w:rFonts w:ascii="Times New Roman" w:hAnsi="Times New Roman"/>
          <w:sz w:val="28"/>
          <w:szCs w:val="28"/>
        </w:rPr>
        <w:t>Введение</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1. </w:t>
      </w:r>
      <w:r w:rsidRPr="00606E8F">
        <w:rPr>
          <w:rFonts w:ascii="Times New Roman" w:hAnsi="Times New Roman"/>
          <w:sz w:val="28"/>
          <w:szCs w:val="28"/>
        </w:rPr>
        <w:t>Понятие и виды личных неимущественных прав</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1.1 </w:t>
      </w:r>
      <w:r w:rsidRPr="00606E8F">
        <w:rPr>
          <w:rFonts w:ascii="Times New Roman" w:hAnsi="Times New Roman"/>
          <w:sz w:val="28"/>
          <w:szCs w:val="28"/>
        </w:rPr>
        <w:t>Право человека на жизнь</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1.2 </w:t>
      </w:r>
      <w:r w:rsidRPr="00606E8F">
        <w:rPr>
          <w:rFonts w:ascii="Times New Roman" w:hAnsi="Times New Roman"/>
          <w:sz w:val="28"/>
          <w:szCs w:val="28"/>
        </w:rPr>
        <w:t>Право граждан на свободу, личную неприкосновенность и неприкосновенность личной жизни</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2. </w:t>
      </w:r>
      <w:r w:rsidRPr="00606E8F">
        <w:rPr>
          <w:rFonts w:ascii="Times New Roman" w:hAnsi="Times New Roman"/>
          <w:sz w:val="28"/>
          <w:szCs w:val="28"/>
        </w:rPr>
        <w:t>Гражданско-правовая охрана неприкосновенности</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2.1 </w:t>
      </w:r>
      <w:r w:rsidRPr="00606E8F">
        <w:rPr>
          <w:rFonts w:ascii="Times New Roman" w:hAnsi="Times New Roman"/>
          <w:sz w:val="28"/>
          <w:szCs w:val="28"/>
        </w:rPr>
        <w:t>Охрана тайны личной жизни</w:t>
      </w:r>
    </w:p>
    <w:p w:rsidR="00606E8F" w:rsidRPr="00606E8F" w:rsidRDefault="00606E8F" w:rsidP="00606E8F">
      <w:pPr>
        <w:tabs>
          <w:tab w:val="left" w:pos="8814"/>
        </w:tabs>
        <w:spacing w:after="0" w:line="360" w:lineRule="auto"/>
        <w:jc w:val="both"/>
        <w:rPr>
          <w:rFonts w:ascii="Times New Roman" w:hAnsi="Times New Roman"/>
          <w:sz w:val="28"/>
          <w:szCs w:val="28"/>
        </w:rPr>
      </w:pPr>
      <w:r>
        <w:rPr>
          <w:rFonts w:ascii="Times New Roman" w:hAnsi="Times New Roman"/>
          <w:sz w:val="28"/>
          <w:szCs w:val="28"/>
        </w:rPr>
        <w:t xml:space="preserve">3. </w:t>
      </w:r>
      <w:r w:rsidRPr="00606E8F">
        <w:rPr>
          <w:rFonts w:ascii="Times New Roman" w:hAnsi="Times New Roman"/>
          <w:sz w:val="28"/>
          <w:szCs w:val="28"/>
        </w:rPr>
        <w:t>Процесс реализации защиты личных прав граждан</w:t>
      </w:r>
    </w:p>
    <w:p w:rsidR="00606E8F" w:rsidRPr="00606E8F" w:rsidRDefault="00606E8F" w:rsidP="00606E8F">
      <w:pPr>
        <w:tabs>
          <w:tab w:val="left" w:pos="8814"/>
        </w:tabs>
        <w:spacing w:after="0" w:line="360" w:lineRule="auto"/>
        <w:jc w:val="both"/>
        <w:rPr>
          <w:rFonts w:ascii="Times New Roman" w:hAnsi="Times New Roman"/>
          <w:sz w:val="28"/>
          <w:szCs w:val="28"/>
        </w:rPr>
      </w:pPr>
      <w:r w:rsidRPr="00606E8F">
        <w:rPr>
          <w:rFonts w:ascii="Times New Roman" w:hAnsi="Times New Roman"/>
          <w:sz w:val="28"/>
          <w:szCs w:val="28"/>
        </w:rPr>
        <w:t>Заключение</w:t>
      </w:r>
    </w:p>
    <w:p w:rsidR="00606E8F" w:rsidRPr="00606E8F" w:rsidRDefault="00606E8F" w:rsidP="00606E8F">
      <w:pPr>
        <w:tabs>
          <w:tab w:val="left" w:pos="8814"/>
        </w:tabs>
        <w:spacing w:after="0" w:line="360" w:lineRule="auto"/>
        <w:jc w:val="both"/>
        <w:rPr>
          <w:rFonts w:ascii="Times New Roman" w:hAnsi="Times New Roman"/>
          <w:sz w:val="28"/>
          <w:szCs w:val="28"/>
        </w:rPr>
      </w:pPr>
      <w:r w:rsidRPr="00606E8F">
        <w:rPr>
          <w:rFonts w:ascii="Times New Roman" w:hAnsi="Times New Roman"/>
          <w:sz w:val="28"/>
          <w:szCs w:val="28"/>
        </w:rPr>
        <w:t>Библиографический список</w:t>
      </w:r>
    </w:p>
    <w:p w:rsidR="00606E8F" w:rsidRPr="00606E8F" w:rsidRDefault="00606E8F" w:rsidP="00606E8F">
      <w:pPr>
        <w:tabs>
          <w:tab w:val="left" w:pos="8814"/>
        </w:tabs>
        <w:spacing w:after="0" w:line="360" w:lineRule="auto"/>
        <w:jc w:val="both"/>
        <w:rPr>
          <w:rFonts w:ascii="Times New Roman" w:hAnsi="Times New Roman"/>
          <w:sz w:val="28"/>
          <w:szCs w:val="28"/>
        </w:rPr>
      </w:pPr>
    </w:p>
    <w:p w:rsidR="002D337D" w:rsidRPr="00606E8F" w:rsidRDefault="00606E8F" w:rsidP="00606E8F">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0E2E01" w:rsidRPr="00606E8F">
        <w:rPr>
          <w:rFonts w:ascii="Times New Roman" w:hAnsi="Times New Roman"/>
          <w:b/>
          <w:sz w:val="28"/>
          <w:szCs w:val="28"/>
        </w:rPr>
        <w:t>В</w:t>
      </w:r>
      <w:r w:rsidR="002D337D" w:rsidRPr="00606E8F">
        <w:rPr>
          <w:rFonts w:ascii="Times New Roman" w:hAnsi="Times New Roman"/>
          <w:b/>
          <w:sz w:val="28"/>
          <w:szCs w:val="28"/>
        </w:rPr>
        <w:t>ВЕДЕНИЕ</w:t>
      </w:r>
    </w:p>
    <w:p w:rsidR="00FA033A" w:rsidRPr="00606E8F" w:rsidRDefault="00FA033A" w:rsidP="00606E8F">
      <w:pPr>
        <w:spacing w:after="0" w:line="360" w:lineRule="auto"/>
        <w:ind w:firstLine="709"/>
        <w:jc w:val="both"/>
        <w:rPr>
          <w:rFonts w:ascii="Times New Roman" w:hAnsi="Times New Roman"/>
          <w:b/>
          <w:sz w:val="28"/>
          <w:szCs w:val="28"/>
        </w:rPr>
      </w:pP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Суть гражданско-правовой охраны личной жизни состоит в обеспечении свободы гражданина определить поведение в индивидуальной жизнедеятельности по своему усмотрению, исключающей вмешательство в его личную жизнь со стороны других лиц, кроме случаев, предусмотренных законодательством.</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Многообразные связи права и личности наиболее полно могут быть охарактеризованы через понятие правового статуса, в котором отражаются все основные стороны юридического бытия индивида: его интересы, потребности, взаимоотношения с государством, трудовая и общественно-политическая деятельность, социальные притязания и их удовлетворение. Это собирательная, аккумулирующая категория.</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В самом кратком виде правовой статус определяется в науке как «юридически закрепленное положение личности в обществе». В основе правового статуса лежит фактический социальный статус, то есть реальное положение человека в данной системе общественных отношений. Право лишь закрепляет это положение, вводит его в законодательные рамки. Социальный и правовой статусы соотносятся как содержание и форма. В догосударственном обществе определенный социальный статус был, а правового нет, поскольку там не было права.</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Административно-командная система оказывала огромное давление на личные убеждения человека, ограничивала свободу совести, преследовала людей за религиозные убеждения. Прежний тоталитарный режим сводил на нет такие важнейшие права, как право на личную неприкосновенность и безопасность, судебную защиту прав человека в случае их нарушения и т. д. Вся сфера личных прав человека в общей иерархии прав рассматривалась как нечто второстепенное.</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Актуальность этой темы обусловлена тем, что с усложнением системы гражданских правоотношений вопрос грамотной защиты личных прав граждан приобретает все большее значение.</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Основные права личности закреплены в основном юридическом документе – Конституции. Поэтому Конституция любого государства ориентирована на юридический аспект взаимодействия с личностью, т.е. на личность как на гражданина. В этом случае цель и задачи Конституции сводятся к обеспечению декларации прав и свобод личности в рамках понятия «гражданин». Поэтому права личности – это охраняемая законом мера возможного поведения, направленная на удовлетворение интересов человека. Права человека – универсальная категория, представляющая собой вытекающие из самой природы человека возможности пользоваться элементарными, наиболее важными благами и условиями безопасного, свободного существования личности в обществе. В современный период права человека понимаются как общесоциальное понятие, отражающее наднациональные, общечеловеческие требования и стандарты в области свободы личности.</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Права гражданина – это охраняемая законом мера юридически возможного поведения, направленная на удовлетворение интересов не всякого человека, а лишь того, который находится в устойчивой правовой связи с конкретным государством. В отличие от прав граждан права человека не всегда выступают как юридические категории, а только как моральные или социальные. Они могут существовать независимо от государственного признания и законодательного закрепления, вне связи человека с конкретной страной. Свобода личности – это тоже право гражданина, но выражающее собой лишь отсутствие каких-либо препятствий, стеснений в чем-либо.</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Основной целью курсовой работы является комплексное исследование гражданско-правовой охраны личности граждан.</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Достижение поставленной цели предусматривается осуществить путем решения следующих задач:</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изучение теоретических концепций в области личных прав граждан;</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рассмотрение понятие и виды личных неимущественных прав;</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выявление специфики гражданско-правовой охраны личных прав граждан;</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рассмотрение судебной практики по охране личных неимущественных прав.</w:t>
      </w:r>
    </w:p>
    <w:p w:rsidR="00F10F89"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Предметом исследования в данной работе являются теоретические и практические проблемы охраны личной жизни граждан.</w:t>
      </w:r>
    </w:p>
    <w:p w:rsidR="00B418D4" w:rsidRPr="00606E8F" w:rsidRDefault="00F10F8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При написании работы применялись следующие методы исследования: общенаучный, сравнительно-правовой, формально-логический.</w:t>
      </w:r>
    </w:p>
    <w:p w:rsidR="00B418D4" w:rsidRPr="00606E8F" w:rsidRDefault="00B418D4" w:rsidP="00606E8F">
      <w:pPr>
        <w:spacing w:after="0" w:line="360" w:lineRule="auto"/>
        <w:ind w:firstLine="709"/>
        <w:jc w:val="both"/>
        <w:rPr>
          <w:rFonts w:ascii="Times New Roman" w:hAnsi="Times New Roman"/>
          <w:b/>
          <w:sz w:val="28"/>
          <w:szCs w:val="28"/>
        </w:rPr>
      </w:pPr>
    </w:p>
    <w:p w:rsidR="00B418D4" w:rsidRPr="00606E8F" w:rsidRDefault="00606E8F" w:rsidP="00606E8F">
      <w:pPr>
        <w:spacing w:after="0" w:line="360" w:lineRule="auto"/>
        <w:ind w:firstLine="709"/>
        <w:jc w:val="center"/>
        <w:rPr>
          <w:rFonts w:ascii="Times New Roman" w:hAnsi="Times New Roman"/>
          <w:b/>
          <w:caps/>
          <w:sz w:val="28"/>
          <w:szCs w:val="28"/>
        </w:rPr>
      </w:pPr>
      <w:r>
        <w:rPr>
          <w:rFonts w:ascii="Times New Roman" w:hAnsi="Times New Roman"/>
          <w:b/>
          <w:sz w:val="28"/>
          <w:szCs w:val="28"/>
        </w:rPr>
        <w:br w:type="page"/>
      </w:r>
      <w:r w:rsidR="00F10F89" w:rsidRPr="00606E8F">
        <w:rPr>
          <w:rFonts w:ascii="Times New Roman" w:hAnsi="Times New Roman"/>
          <w:b/>
          <w:caps/>
          <w:sz w:val="28"/>
          <w:szCs w:val="28"/>
        </w:rPr>
        <w:t>1</w:t>
      </w:r>
      <w:r w:rsidRPr="00606E8F">
        <w:rPr>
          <w:rFonts w:ascii="Times New Roman" w:hAnsi="Times New Roman"/>
          <w:b/>
          <w:caps/>
          <w:sz w:val="28"/>
          <w:szCs w:val="28"/>
        </w:rPr>
        <w:t>.</w:t>
      </w:r>
      <w:r w:rsidR="00F10F89" w:rsidRPr="00606E8F">
        <w:rPr>
          <w:rFonts w:ascii="Times New Roman" w:hAnsi="Times New Roman"/>
          <w:b/>
          <w:caps/>
          <w:sz w:val="28"/>
          <w:szCs w:val="28"/>
        </w:rPr>
        <w:t xml:space="preserve"> Понятие и виды личных неимущественных прав</w:t>
      </w:r>
    </w:p>
    <w:p w:rsidR="00B418D4" w:rsidRPr="00606E8F" w:rsidRDefault="00B418D4" w:rsidP="00606E8F">
      <w:pPr>
        <w:spacing w:after="0" w:line="360" w:lineRule="auto"/>
        <w:ind w:firstLine="709"/>
        <w:jc w:val="both"/>
        <w:rPr>
          <w:rFonts w:ascii="Times New Roman" w:hAnsi="Times New Roman"/>
          <w:b/>
          <w:sz w:val="28"/>
          <w:szCs w:val="28"/>
        </w:rPr>
      </w:pP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Гражданское законодательство регулирует два вида общественных отношений - имущественные и связанные с ними неимущественные, а также защищает неотчуждаемые права и свободы человека и нематериальные блага</w:t>
      </w:r>
      <w:r w:rsidRPr="00606E8F">
        <w:rPr>
          <w:rStyle w:val="a8"/>
          <w:rFonts w:ascii="Times New Roman" w:hAnsi="Times New Roman"/>
          <w:sz w:val="28"/>
          <w:szCs w:val="28"/>
        </w:rPr>
        <w:footnoteReference w:id="1"/>
      </w:r>
      <w:r w:rsidRPr="00606E8F">
        <w:rPr>
          <w:rFonts w:ascii="Times New Roman" w:hAnsi="Times New Roman" w:cs="Times New Roman"/>
          <w:sz w:val="28"/>
          <w:szCs w:val="28"/>
        </w:rPr>
        <w:t>.</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Анализ отдельных норм ГК и других правовых актов показывает, что личные неимущественные отношения, не связанные с имущественными, в действительности имеют позитивное содержание и именно регулируются, а не только защищаются гражданско-правовыми актами. Личные неимущественные права осуществляются на основе равенства, диспозитивности, автономии воли и самостоятельности управомоченного и противостоящих ему обязанных субъектов (других граждан и юридических лиц).</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Неимущественные отношения, урегулированные нормами гражданского права, обладают рядом отличительных признаков: 1) нематериальный характер; 2) направленность на выявление и развитие индивидуальности личности; 3) особый объект; 4) специфика оснований возникновения и прекращения.</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Нематериальный характер личных неимущественных прав проявляется в том, что они лишены экономического содержания. Это означает, что личные неимущественные права не могут быть точно оценены (например, в деньгах), для них нехарактерна возмездность, их осуществление не сопровождается имущественным предоставлением (эквивалентом) со стороны других лиц.</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Важный признак личных неимущественных прав - их направленность на выявление и развитие индивидуальности личности. Институт личных неимущественных прав охраняет самобытность и своеобразие управомоченного субъекта. Безусловно, каждый гражданин обладает собственным комплексом имущественных прав, которые также позволяют "выделить" его из массы других, но все же неимущественные права имеют приоритет при индивидуализации личности.</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Самостоятельный признак личных неимущественных прав - особенность их объектов. Само личное неимущественное право и его объект тесно взаимосвязаны, но не тождественны. Объектами личных неимущественных прав выступают нематериальные (духовные) блага.</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В законодательстве приводится приблизительный перечень нематериальных благ: жизнь, здоровье, личная неприкосновенность, имя, честь, достоинство, неприкосновенность частной жизни, личная и семейная тайна и др</w:t>
      </w:r>
      <w:r w:rsidRPr="00606E8F">
        <w:rPr>
          <w:rStyle w:val="a8"/>
          <w:rFonts w:ascii="Times New Roman" w:hAnsi="Times New Roman"/>
          <w:sz w:val="28"/>
          <w:szCs w:val="28"/>
        </w:rPr>
        <w:footnoteReference w:id="2"/>
      </w:r>
      <w:r w:rsidRPr="00606E8F">
        <w:rPr>
          <w:rFonts w:ascii="Times New Roman" w:hAnsi="Times New Roman" w:cs="Times New Roman"/>
          <w:sz w:val="28"/>
          <w:szCs w:val="28"/>
        </w:rPr>
        <w:t>.</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Согласно п. 1 ст. 150 ГК нематериальные блага неотчуждаемы и непередаваемы иным способом. Это означает невозможность их продажи, дарения, аренды, передачи в залог и т.п. Однако следует уточнить, что после смерти гражданина неотчуждаемость не является характерной особенностью нематериального блага. Узаконенная возможность осуществления и защиты неимущественных прав после смерти их обладателя третьими лицами приводит к мысли о существовании при этом некоторых нематериальных благ в отрыве от человека в усеченном объеме (составе)</w:t>
      </w:r>
      <w:r w:rsidR="003301B0" w:rsidRPr="00606E8F">
        <w:rPr>
          <w:rStyle w:val="a8"/>
          <w:rFonts w:ascii="Times New Roman" w:hAnsi="Times New Roman"/>
          <w:sz w:val="28"/>
          <w:szCs w:val="28"/>
        </w:rPr>
        <w:footnoteReference w:id="3"/>
      </w:r>
      <w:r w:rsidRPr="00606E8F">
        <w:rPr>
          <w:rFonts w:ascii="Times New Roman" w:hAnsi="Times New Roman" w:cs="Times New Roman"/>
          <w:sz w:val="28"/>
          <w:szCs w:val="28"/>
        </w:rPr>
        <w:t>.</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Следующий признак личных неимущественных прав - специфика оснований их возникновения и прекращения. Личные неимущественные права могут возникать при наступлении определенных событий. Так, с момента рождения (событие) человек обладает субъективными правами на имя, здоровье, индивидуальный облик и др.</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Отдельные личные неимущественные права (или их правомочия) возникают в связи с заключением сделок: например, право на тайну переписки - из договора оказания услуг связи, право на адвокатскую тайну - из договора поручения.</w:t>
      </w:r>
    </w:p>
    <w:p w:rsidR="00D944A5" w:rsidRPr="00606E8F" w:rsidRDefault="00D944A5"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Большинство личных неимущественных прав прекращаются со смертью их носителя. Однако некоторые правомочия, составляющие личное неимущественное право, осуществляются правопреемниками и после смерти управомоченного</w:t>
      </w:r>
      <w:r w:rsidR="003301B0" w:rsidRPr="00606E8F">
        <w:rPr>
          <w:rStyle w:val="a8"/>
          <w:rFonts w:ascii="Times New Roman" w:hAnsi="Times New Roman"/>
          <w:sz w:val="28"/>
          <w:szCs w:val="28"/>
        </w:rPr>
        <w:footnoteReference w:id="4"/>
      </w:r>
      <w:r w:rsidRPr="00606E8F">
        <w:rPr>
          <w:rFonts w:ascii="Times New Roman" w:hAnsi="Times New Roman" w:cs="Times New Roman"/>
          <w:sz w:val="28"/>
          <w:szCs w:val="28"/>
        </w:rPr>
        <w:t>. Например, наследник вправе дать согласие на использование имени наследодателя в товарном знаке, но не может именоваться и подписываться именем умершего.</w:t>
      </w:r>
    </w:p>
    <w:p w:rsidR="003301B0" w:rsidRPr="00606E8F"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Любое субъективное личное неимущественное право представляет собой совокупность возможностей (правомочий). Как правило, субъект имеет правомочия по владению и пользованию объектом (нематериальным благом). Но это не свидетельствует о перенесении конструкций вещных прав в сферу неимущественных отношений. В цивилистической и общетеоретической правовой литературе распространено мнение о том, что содержание любого субъективного гражданского права составляют правомочия на собственные действия, требования соответствующего поведения от других лиц, на защиту</w:t>
      </w:r>
      <w:r w:rsidRPr="00606E8F">
        <w:rPr>
          <w:rStyle w:val="a8"/>
          <w:rFonts w:ascii="Times New Roman" w:hAnsi="Times New Roman"/>
          <w:sz w:val="28"/>
          <w:szCs w:val="28"/>
        </w:rPr>
        <w:footnoteReference w:id="5"/>
      </w:r>
      <w:r w:rsidRPr="00606E8F">
        <w:rPr>
          <w:rFonts w:ascii="Times New Roman" w:hAnsi="Times New Roman" w:cs="Times New Roman"/>
          <w:sz w:val="28"/>
          <w:szCs w:val="28"/>
        </w:rPr>
        <w:t>.</w:t>
      </w:r>
    </w:p>
    <w:p w:rsidR="003301B0" w:rsidRPr="00606E8F"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В свою очередь, правомочие на собственные действия иногда рассматривается как совокупность возможностей пользования, владения и распоряжения объектом. Однако по содержанию эти правомочия (как составляющие разных субъективных прав) не совпадают.</w:t>
      </w:r>
    </w:p>
    <w:p w:rsidR="003301B0" w:rsidRPr="00606E8F"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Субъект личного неимущественного права обладает и другими правомочиями помимо владения и пользования. Например, в состав права на честь, достоинство, деловую репутацию входит правомочие на изменение содержания чести, достоинства, деловой репутации; право на благоприятную окружающую среду включает правомочие на получение информации о санитарно-эпидемиологическом состоянии среды; право на жизнь содержит правомочие на распоряжение жизнью</w:t>
      </w:r>
      <w:r w:rsidRPr="00606E8F">
        <w:rPr>
          <w:rStyle w:val="a8"/>
          <w:rFonts w:ascii="Times New Roman" w:hAnsi="Times New Roman"/>
          <w:sz w:val="28"/>
          <w:szCs w:val="28"/>
        </w:rPr>
        <w:footnoteReference w:id="6"/>
      </w:r>
      <w:r w:rsidRPr="00606E8F">
        <w:rPr>
          <w:rFonts w:ascii="Times New Roman" w:hAnsi="Times New Roman" w:cs="Times New Roman"/>
          <w:sz w:val="28"/>
          <w:szCs w:val="28"/>
        </w:rPr>
        <w:t>. Построение единой модели структуры правомочий для всех личных неимущественных прав вряд ли целесообразно, так как невозможно учесть специфику всех прав.</w:t>
      </w:r>
    </w:p>
    <w:p w:rsidR="003301B0" w:rsidRPr="00606E8F"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Существуют различные критерии для систематизации личных неимущественных прав. Если в качестве критерия классификации выбрать цели, которые ставятся при осуществлении прав, то можно выделить несколько групп.</w:t>
      </w:r>
    </w:p>
    <w:p w:rsidR="003301B0" w:rsidRPr="00606E8F"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К первой группе следует отнести личные неимущественные права, обеспечивающие физическое и психическое благополучие (целостность) личности: права на жизнь, на здоровье, физическую и психическую неприкосновенность, на благоприятную окружающую среду. Во вторую группу входят права, обеспечивающие индивидуализацию личности: права на имя, индивидуальный облик и голос, на честь, достоинство, деловую репутацию. Третью группу составляют права, обеспечивающие автономию личности в обществе: права на тайну частной жизни (на медицинскую тайну, тайну переписки, телефонных переговоров и телеграфных сообщений и др.) и права на неприкосновенность частной жизни (на неприкосновенность личной свободы, жилища и др.)</w:t>
      </w:r>
      <w:r w:rsidR="00266AE8" w:rsidRPr="00606E8F">
        <w:rPr>
          <w:rStyle w:val="a8"/>
          <w:rFonts w:ascii="Times New Roman" w:hAnsi="Times New Roman"/>
          <w:sz w:val="28"/>
          <w:szCs w:val="28"/>
        </w:rPr>
        <w:footnoteReference w:id="7"/>
      </w:r>
      <w:r w:rsidRPr="00606E8F">
        <w:rPr>
          <w:rFonts w:ascii="Times New Roman" w:hAnsi="Times New Roman" w:cs="Times New Roman"/>
          <w:sz w:val="28"/>
          <w:szCs w:val="28"/>
        </w:rPr>
        <w:t>.</w:t>
      </w:r>
    </w:p>
    <w:p w:rsidR="003301B0" w:rsidRDefault="003301B0"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Данную классификацию нельзя считать завершенной. Она будет совершенствоваться в процессе уточнения правовой природы содержания отдельных прав, а также с учетом возникновения новых прав и изменения законодательства.</w:t>
      </w:r>
    </w:p>
    <w:p w:rsidR="00606E8F" w:rsidRDefault="00606E8F" w:rsidP="00606E8F">
      <w:pPr>
        <w:pStyle w:val="ConsPlusNormal"/>
        <w:widowControl/>
        <w:spacing w:line="360" w:lineRule="auto"/>
        <w:ind w:firstLine="709"/>
        <w:jc w:val="both"/>
        <w:rPr>
          <w:rFonts w:ascii="Times New Roman" w:hAnsi="Times New Roman" w:cs="Times New Roman"/>
          <w:sz w:val="28"/>
          <w:szCs w:val="28"/>
        </w:rPr>
      </w:pPr>
    </w:p>
    <w:p w:rsidR="00D944A5" w:rsidRPr="00606E8F" w:rsidRDefault="00606E8F" w:rsidP="00606E8F">
      <w:pPr>
        <w:pStyle w:val="ConsPlusNormal"/>
        <w:widowControl/>
        <w:spacing w:line="360" w:lineRule="auto"/>
        <w:ind w:firstLine="709"/>
        <w:jc w:val="center"/>
        <w:rPr>
          <w:rFonts w:ascii="Times New Roman" w:hAnsi="Times New Roman" w:cs="Times New Roman"/>
          <w:b/>
          <w:sz w:val="28"/>
          <w:szCs w:val="28"/>
        </w:rPr>
      </w:pPr>
      <w:r w:rsidRPr="00606E8F">
        <w:rPr>
          <w:rFonts w:ascii="Times New Roman" w:hAnsi="Times New Roman" w:cs="Times New Roman"/>
          <w:b/>
          <w:sz w:val="28"/>
          <w:szCs w:val="28"/>
        </w:rPr>
        <w:t xml:space="preserve">1.1 </w:t>
      </w:r>
      <w:r w:rsidR="00BE7BCD" w:rsidRPr="00606E8F">
        <w:rPr>
          <w:rFonts w:ascii="Times New Roman" w:hAnsi="Times New Roman" w:cs="Times New Roman"/>
          <w:b/>
          <w:sz w:val="28"/>
          <w:szCs w:val="28"/>
        </w:rPr>
        <w:t>Право человека на жизнь</w:t>
      </w:r>
    </w:p>
    <w:p w:rsidR="00606E8F" w:rsidRPr="00606E8F" w:rsidRDefault="00606E8F" w:rsidP="00606E8F">
      <w:pPr>
        <w:pStyle w:val="ConsPlusNormal"/>
        <w:widowControl/>
        <w:spacing w:line="360" w:lineRule="auto"/>
        <w:ind w:firstLine="709"/>
        <w:jc w:val="both"/>
        <w:rPr>
          <w:rFonts w:ascii="Times New Roman" w:hAnsi="Times New Roman" w:cs="Times New Roman"/>
          <w:b/>
          <w:sz w:val="28"/>
          <w:szCs w:val="28"/>
        </w:rPr>
      </w:pP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Каждый человек имеет право на жизнь. Жизнеспособный плод становится субъектом права с момента отделения от организма матери. Заключение о смерти дается на основе констатации необратимой гибели всего головного мозга. Исходя из этого, с юридической точки зрения жизнь можно охарактеризовать как высшее благо, возникающее с момента отделения жизнеспособного ребенка от организма матери и продолжающееся в течение функционирования всего головного мозга.</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Содержание права на жизнь складывается из правомочия на сохранение жизни (человеческой индивидуальности) и правомочия на распоряжение жизнью</w:t>
      </w:r>
      <w:r w:rsidRPr="00606E8F">
        <w:rPr>
          <w:rStyle w:val="a8"/>
          <w:rFonts w:ascii="Times New Roman" w:hAnsi="Times New Roman"/>
          <w:sz w:val="28"/>
          <w:szCs w:val="28"/>
        </w:rPr>
        <w:footnoteReference w:id="8"/>
      </w:r>
      <w:r w:rsidRPr="00606E8F">
        <w:rPr>
          <w:rFonts w:ascii="Times New Roman" w:hAnsi="Times New Roman" w:cs="Times New Roman"/>
          <w:sz w:val="28"/>
          <w:szCs w:val="28"/>
        </w:rPr>
        <w:t>.</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Правомочие на сохранение жизни (индивидуальности) проявляется в возможности самостоятельно решать вопросы (давать или не давать согласие) об изменении пола, о пересадке органов и тканей животных. Правомочие на сохранение жизни таких субъектов, как слабоумные и душевнобольные, лица, находящиеся в летаргическом сне, дети, воспитанные животными в природной среде, должно обеспечиваться дополнительными мерами со стороны обязанных лиц (специальное обучение, медицинское обслуживание, уход и пр.).</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Правомочие по распоряжению жизнью состоит в возможности подвергать себя значительному риску (например, проведение опасного опыта на здоровом человеке-добровольце) и возможности решать вопрос о прекращении жизни (в частности, отказ от ампутации конечностей при гангрене приводит к смертельному исходу).</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Правомочие гражданина по распоряжению своей жизнью связано с проблемой эвтаназии (ускорение смерти какими-либо действиями или средствами, в том числе прекращение искусственных мер по поддержанию жизни по просьбе больного). Между тем ряд юристов считают, что в законе должно быть разрешено проведение эвтаназии в исключительных случаях и при определенных условиях.</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Для защиты права на жизнь характерны превентивные способы защиты - гражданин вправе требовать пресечения действий, создающих угрозу нарушения этого права. Если возникновение неизлечимой болезни произошло по вине других лиц (например, неосторожное заражение вирусом иммунодефицита человека при переливании крови), то потерпевший может требовать компенсации неимущественного вреда</w:t>
      </w:r>
      <w:r w:rsidRPr="00606E8F">
        <w:rPr>
          <w:rStyle w:val="a8"/>
          <w:rFonts w:ascii="Times New Roman" w:hAnsi="Times New Roman"/>
          <w:sz w:val="28"/>
          <w:szCs w:val="28"/>
        </w:rPr>
        <w:footnoteReference w:id="9"/>
      </w:r>
      <w:r w:rsidRPr="00606E8F">
        <w:rPr>
          <w:rFonts w:ascii="Times New Roman" w:hAnsi="Times New Roman" w:cs="Times New Roman"/>
          <w:sz w:val="28"/>
          <w:szCs w:val="28"/>
        </w:rPr>
        <w:t>.</w:t>
      </w:r>
    </w:p>
    <w:p w:rsidR="00606E8F" w:rsidRDefault="00606E8F" w:rsidP="00606E8F">
      <w:pPr>
        <w:pStyle w:val="ConsPlusNormal"/>
        <w:widowControl/>
        <w:spacing w:line="360" w:lineRule="auto"/>
        <w:ind w:firstLine="709"/>
        <w:jc w:val="both"/>
        <w:rPr>
          <w:rFonts w:ascii="Times New Roman" w:hAnsi="Times New Roman" w:cs="Times New Roman"/>
          <w:b/>
          <w:sz w:val="28"/>
          <w:szCs w:val="28"/>
        </w:rPr>
      </w:pPr>
    </w:p>
    <w:p w:rsidR="00BE7BCD" w:rsidRPr="00606E8F" w:rsidRDefault="00BE7BCD" w:rsidP="00606E8F">
      <w:pPr>
        <w:pStyle w:val="ConsPlusNormal"/>
        <w:widowControl/>
        <w:spacing w:line="360" w:lineRule="auto"/>
        <w:ind w:firstLine="709"/>
        <w:jc w:val="center"/>
        <w:rPr>
          <w:rFonts w:ascii="Times New Roman" w:hAnsi="Times New Roman" w:cs="Times New Roman"/>
          <w:b/>
          <w:sz w:val="28"/>
          <w:szCs w:val="28"/>
        </w:rPr>
      </w:pPr>
      <w:r w:rsidRPr="00606E8F">
        <w:rPr>
          <w:rFonts w:ascii="Times New Roman" w:hAnsi="Times New Roman" w:cs="Times New Roman"/>
          <w:b/>
          <w:sz w:val="28"/>
          <w:szCs w:val="28"/>
        </w:rPr>
        <w:t>1.2 Право граждан на свободу, личную неприкосновенность и неприкосновенность личной жизни</w:t>
      </w:r>
    </w:p>
    <w:p w:rsidR="00606E8F" w:rsidRDefault="00606E8F" w:rsidP="00606E8F">
      <w:pPr>
        <w:pStyle w:val="ConsPlusNormal"/>
        <w:widowControl/>
        <w:spacing w:line="360" w:lineRule="auto"/>
        <w:ind w:firstLine="709"/>
        <w:jc w:val="both"/>
        <w:rPr>
          <w:rFonts w:ascii="Times New Roman" w:hAnsi="Times New Roman" w:cs="Times New Roman"/>
          <w:sz w:val="28"/>
          <w:szCs w:val="28"/>
        </w:rPr>
      </w:pP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Физическая неприкосновенность означает автономное решение вопросов о пользовании и распоряжении своим телом, отделенными от организма органами, тканями. Психическая неприкосновенность - свободное совершение поступков в соответствии со своим сознанием и волей.</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В содержание права на физическую и психическую неприкосновенность входят правомочие гражданина самостоятельно пользоваться и распоряжаться своим телом, отделенными от организма органами и тканями, правомочия свободно совершать поступки в соответствии со своим сознанием и волей, а также требовать, чтобы другие субъекты воздерживались от нарушения его права</w:t>
      </w:r>
      <w:r w:rsidRPr="00606E8F">
        <w:rPr>
          <w:rStyle w:val="a8"/>
          <w:rFonts w:ascii="Times New Roman" w:hAnsi="Times New Roman"/>
          <w:sz w:val="28"/>
          <w:szCs w:val="28"/>
        </w:rPr>
        <w:footnoteReference w:id="10"/>
      </w:r>
      <w:r w:rsidRPr="00606E8F">
        <w:rPr>
          <w:rFonts w:ascii="Times New Roman" w:hAnsi="Times New Roman" w:cs="Times New Roman"/>
          <w:sz w:val="28"/>
          <w:szCs w:val="28"/>
        </w:rPr>
        <w:t>.</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Право на физическую и психическую неприкосновенность реализуется путем заключения управомоченным возмездных договоров на личную охрану со специальными фирмами или отдельными гражданами (телохранителями, охранниками)</w:t>
      </w:r>
      <w:r w:rsidRPr="00606E8F">
        <w:rPr>
          <w:rStyle w:val="a8"/>
          <w:rFonts w:ascii="Times New Roman" w:hAnsi="Times New Roman"/>
          <w:sz w:val="28"/>
          <w:szCs w:val="28"/>
        </w:rPr>
        <w:footnoteReference w:id="11"/>
      </w:r>
      <w:r w:rsidRPr="00606E8F">
        <w:rPr>
          <w:rFonts w:ascii="Times New Roman" w:hAnsi="Times New Roman" w:cs="Times New Roman"/>
          <w:sz w:val="28"/>
          <w:szCs w:val="28"/>
        </w:rPr>
        <w:t>. Право на психическую неприкосновенность осуществляется также через заключение договоров между управомоченным и врачом-психотерапевтом или экстрасенсом на устранение воздействия гипноза.</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Гражданин вправе самостоятельно распоряжаться своим телом, отделенными от организма органами и тканями как при жизни, так и на случай смерти. Согласно ст. 5 Федерального закона от 12 января 1996 г. N 8-ФЗ "О погребении и похоронном деле"</w:t>
      </w:r>
      <w:r w:rsidR="00606E8F">
        <w:rPr>
          <w:rFonts w:ascii="Times New Roman" w:hAnsi="Times New Roman" w:cs="Times New Roman"/>
          <w:sz w:val="28"/>
          <w:szCs w:val="28"/>
        </w:rPr>
        <w:t xml:space="preserve"> </w:t>
      </w:r>
      <w:r w:rsidRPr="00606E8F">
        <w:rPr>
          <w:rFonts w:ascii="Times New Roman" w:hAnsi="Times New Roman" w:cs="Times New Roman"/>
          <w:sz w:val="28"/>
          <w:szCs w:val="28"/>
        </w:rPr>
        <w:t>гражданин может выразить в письменной или устной форме в присутствии свидетелей пожелание об отношении к своему телу после смерти: о согласии или несогласии быть подвергнутым патологоанатомическому вскрытию; о согласии или несогласии на изъятие органов и (или) тканей из его тела; быть погребенным на том или ином месте, по тем или иным обычаям или традициям, рядом с теми или иными ранее умершими; быть подвергнутым кремации; о доверии исполнить свое волеизъявление тому или иному лицу.</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При нарушении физической и психической неприкосновенности можно использовать такие способы защиты, как возмещение возникших убытков, компенсация неимущественного вреда, пресечение действий, препятствующих осуществлению права.</w:t>
      </w:r>
    </w:p>
    <w:p w:rsidR="00BE7BCD" w:rsidRPr="00606E8F" w:rsidRDefault="00BE7BCD" w:rsidP="00606E8F">
      <w:pPr>
        <w:pStyle w:val="ConsPlusNormal"/>
        <w:widowControl/>
        <w:spacing w:line="360" w:lineRule="auto"/>
        <w:ind w:firstLine="709"/>
        <w:jc w:val="both"/>
        <w:rPr>
          <w:rFonts w:ascii="Times New Roman" w:hAnsi="Times New Roman" w:cs="Times New Roman"/>
          <w:sz w:val="28"/>
          <w:szCs w:val="28"/>
        </w:rPr>
      </w:pPr>
    </w:p>
    <w:p w:rsidR="00BE7BCD" w:rsidRPr="00606E8F" w:rsidRDefault="00606E8F" w:rsidP="00606E8F">
      <w:pPr>
        <w:autoSpaceDE w:val="0"/>
        <w:autoSpaceDN w:val="0"/>
        <w:adjustRightInd w:val="0"/>
        <w:spacing w:after="0" w:line="360" w:lineRule="auto"/>
        <w:ind w:firstLine="709"/>
        <w:jc w:val="center"/>
        <w:rPr>
          <w:rFonts w:ascii="Times New Roman" w:hAnsi="Times New Roman"/>
          <w:b/>
          <w:caps/>
          <w:sz w:val="28"/>
          <w:szCs w:val="28"/>
          <w:lang w:eastAsia="ru-RU"/>
        </w:rPr>
      </w:pPr>
      <w:r>
        <w:rPr>
          <w:rFonts w:ascii="Times New Roman" w:hAnsi="Times New Roman"/>
          <w:sz w:val="28"/>
          <w:szCs w:val="28"/>
          <w:lang w:eastAsia="ru-RU"/>
        </w:rPr>
        <w:br w:type="page"/>
      </w:r>
      <w:r w:rsidR="00BE7BCD" w:rsidRPr="00606E8F">
        <w:rPr>
          <w:rFonts w:ascii="Times New Roman" w:hAnsi="Times New Roman"/>
          <w:b/>
          <w:caps/>
          <w:sz w:val="28"/>
          <w:szCs w:val="28"/>
        </w:rPr>
        <w:t>2</w:t>
      </w:r>
      <w:r w:rsidRPr="00606E8F">
        <w:rPr>
          <w:rFonts w:ascii="Times New Roman" w:hAnsi="Times New Roman"/>
          <w:b/>
          <w:caps/>
          <w:sz w:val="28"/>
          <w:szCs w:val="28"/>
        </w:rPr>
        <w:t>.</w:t>
      </w:r>
      <w:r w:rsidR="00BE7BCD" w:rsidRPr="00606E8F">
        <w:rPr>
          <w:rFonts w:ascii="Times New Roman" w:hAnsi="Times New Roman"/>
          <w:b/>
          <w:caps/>
          <w:sz w:val="28"/>
          <w:szCs w:val="28"/>
        </w:rPr>
        <w:t xml:space="preserve"> Гражданско-правовая охрана неприкосновенности</w:t>
      </w:r>
    </w:p>
    <w:p w:rsidR="00BE7BCD" w:rsidRPr="00606E8F" w:rsidRDefault="00BE7BCD" w:rsidP="00606E8F">
      <w:pPr>
        <w:autoSpaceDE w:val="0"/>
        <w:autoSpaceDN w:val="0"/>
        <w:adjustRightInd w:val="0"/>
        <w:spacing w:after="0" w:line="360" w:lineRule="auto"/>
        <w:ind w:firstLine="709"/>
        <w:jc w:val="both"/>
        <w:rPr>
          <w:rFonts w:ascii="Times New Roman" w:hAnsi="Times New Roman"/>
          <w:b/>
          <w:sz w:val="28"/>
          <w:szCs w:val="28"/>
          <w:lang w:eastAsia="ru-RU"/>
        </w:rPr>
      </w:pP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Гражданско-правовая охрана телесной неприкосновенности, жизни и здоровья не может быть сведена только к возмещению причиненного вреда. В настоящее время назрела необходимость в предоставлении гражданам права требовать устранения любых обстоятельств, нарушающих здоровые и безопасные условия их жизни</w:t>
      </w:r>
      <w:r w:rsidR="00456905" w:rsidRPr="00606E8F">
        <w:rPr>
          <w:rStyle w:val="a8"/>
          <w:rFonts w:ascii="Times New Roman" w:hAnsi="Times New Roman"/>
          <w:sz w:val="28"/>
          <w:szCs w:val="28"/>
          <w:lang w:eastAsia="ru-RU"/>
        </w:rPr>
        <w:footnoteReference w:id="12"/>
      </w:r>
      <w:r w:rsidRPr="00606E8F">
        <w:rPr>
          <w:rFonts w:ascii="Times New Roman" w:hAnsi="Times New Roman"/>
          <w:sz w:val="28"/>
          <w:szCs w:val="28"/>
          <w:lang w:eastAsia="ru-RU"/>
        </w:rPr>
        <w:t>.</w:t>
      </w: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Право на неприкосновенность жилища - личное неимущественное право гражданина, призванное обеспечить охрану одного из важнейших элементов его личной жизни. Юридические границы данного элемента личной жизни определяются имеющимся на законных основаниях у гражданина жилищем. Данным обстоятельством определяется тесная связь права на неприкосновенность жилища с правом на жилище. Однако при внешней схожести это разные права, требующие различных средств регулирования.</w:t>
      </w: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Право на неприкосновенность жилища не нашло пока отражения в гражданском законе, что не умаляет его значения. Как и другие личные неимущественные права, оно носит абсолютный характер и выражается в возможности управомоченного лица определять условия доступа в принадлежащее ему на законном основании жилище, требовать устранения любых обстоятельств, нарушающих неприкосновенность его жилища</w:t>
      </w:r>
      <w:r w:rsidR="002375E8" w:rsidRPr="00606E8F">
        <w:rPr>
          <w:rStyle w:val="a8"/>
          <w:rFonts w:ascii="Times New Roman" w:hAnsi="Times New Roman"/>
          <w:sz w:val="28"/>
          <w:szCs w:val="28"/>
          <w:lang w:eastAsia="ru-RU"/>
        </w:rPr>
        <w:footnoteReference w:id="13"/>
      </w:r>
      <w:r w:rsidRPr="00606E8F">
        <w:rPr>
          <w:rFonts w:ascii="Times New Roman" w:hAnsi="Times New Roman"/>
          <w:sz w:val="28"/>
          <w:szCs w:val="28"/>
          <w:lang w:eastAsia="ru-RU"/>
        </w:rPr>
        <w:t>. Вместе с тем, если гражданину в результате нарушения указанного права причинен имущественный ущерб, он вправе требовать его возмещения.</w:t>
      </w: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Законом могут предусматриваться случаи, когда на получение доступа в жилище гражданина не требуется его согласия. Так, уголовно-процессуальным законодательством определяется порядок доступа в жилище граждан в связи с обыском, административным законодательством регулируются случаи такого доступа в жилище при возникновении аварийных ситуаций (пожар, аварии электро-, тепло- и газовых сетей и т.п.). Однако представители соответствующих органов и организаций обязаны строго и тщательно соблюдать требования, предъявляемые законодательством к основаниям, условиям и порядку получения доступа в жилище гражданина без его согласия. Нарушение названных требований должно служить основанием для применения к нарушителям соответствующих мер защиты.</w:t>
      </w: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Право на неприкосновенность личной документации - одно из немногих личных неимущественных прав граждан, обеспечивающих неприкосновенность их личной жизни, которое нашло отражение в гражданском законе в дореформенный период, однако в гражданском законодательстве России оно так и не было сформулировано.</w:t>
      </w:r>
    </w:p>
    <w:p w:rsidR="00BE7BCD" w:rsidRPr="00606E8F" w:rsidRDefault="00BE7BCD"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xml:space="preserve">Это право </w:t>
      </w:r>
      <w:r w:rsidR="00456905" w:rsidRPr="00606E8F">
        <w:rPr>
          <w:rFonts w:ascii="Times New Roman" w:hAnsi="Times New Roman"/>
          <w:sz w:val="28"/>
          <w:szCs w:val="28"/>
          <w:lang w:eastAsia="ru-RU"/>
        </w:rPr>
        <w:t>определяется,</w:t>
      </w:r>
      <w:r w:rsidRPr="00606E8F">
        <w:rPr>
          <w:rFonts w:ascii="Times New Roman" w:hAnsi="Times New Roman"/>
          <w:sz w:val="28"/>
          <w:szCs w:val="28"/>
          <w:lang w:eastAsia="ru-RU"/>
        </w:rPr>
        <w:t xml:space="preserve"> как возможность управомоченного лица предоставлять по своему усмотрению право на опубликование, воспроизведение или распространение сведений, содержащихся в его личной документации (письмах, дневниках, записках и т.д.). По характеру право на неприкосновенность личной документации является абсолютным, поэтому неопределенный круг обязанных лиц должен воздерживаться от действий, нарушающих рассматриваемое право. После смерти гражданина, которому принадлежала документация, данное право переходит к его ближайшим родственникам (детям, родителям, пережившему супругу).</w:t>
      </w:r>
    </w:p>
    <w:p w:rsidR="00606E8F" w:rsidRDefault="00606E8F" w:rsidP="00606E8F">
      <w:pPr>
        <w:autoSpaceDE w:val="0"/>
        <w:autoSpaceDN w:val="0"/>
        <w:adjustRightInd w:val="0"/>
        <w:spacing w:after="0" w:line="360" w:lineRule="auto"/>
        <w:ind w:firstLine="709"/>
        <w:jc w:val="both"/>
        <w:rPr>
          <w:rFonts w:ascii="Times New Roman" w:hAnsi="Times New Roman"/>
          <w:b/>
          <w:sz w:val="28"/>
          <w:szCs w:val="28"/>
          <w:lang w:eastAsia="ru-RU"/>
        </w:rPr>
      </w:pPr>
    </w:p>
    <w:p w:rsidR="00BE7BCD" w:rsidRPr="00606E8F" w:rsidRDefault="00456905" w:rsidP="00606E8F">
      <w:pPr>
        <w:autoSpaceDE w:val="0"/>
        <w:autoSpaceDN w:val="0"/>
        <w:adjustRightInd w:val="0"/>
        <w:spacing w:after="0" w:line="360" w:lineRule="auto"/>
        <w:ind w:firstLine="709"/>
        <w:jc w:val="center"/>
        <w:rPr>
          <w:rFonts w:ascii="Times New Roman" w:hAnsi="Times New Roman"/>
          <w:b/>
          <w:sz w:val="28"/>
          <w:szCs w:val="28"/>
          <w:lang w:eastAsia="ru-RU"/>
        </w:rPr>
      </w:pPr>
      <w:r w:rsidRPr="00606E8F">
        <w:rPr>
          <w:rFonts w:ascii="Times New Roman" w:hAnsi="Times New Roman"/>
          <w:b/>
          <w:sz w:val="28"/>
          <w:szCs w:val="28"/>
          <w:lang w:eastAsia="ru-RU"/>
        </w:rPr>
        <w:t>2.1 Охрана тайной личной жизни</w:t>
      </w:r>
    </w:p>
    <w:p w:rsidR="00606E8F" w:rsidRDefault="00606E8F" w:rsidP="00606E8F">
      <w:pPr>
        <w:autoSpaceDE w:val="0"/>
        <w:autoSpaceDN w:val="0"/>
        <w:adjustRightInd w:val="0"/>
        <w:spacing w:after="0" w:line="360" w:lineRule="auto"/>
        <w:ind w:firstLine="709"/>
        <w:jc w:val="both"/>
        <w:rPr>
          <w:rFonts w:ascii="Times New Roman" w:hAnsi="Times New Roman"/>
          <w:sz w:val="28"/>
          <w:szCs w:val="28"/>
          <w:lang w:eastAsia="ru-RU"/>
        </w:rPr>
      </w:pP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Никакая автономия личности от государства, общества или какой-то социальной группы невозможна, если гражданину не гарантируется тайна ряда сторон его личной жизни. Закон призван закрепить наиболее важные гарантии тайны личной жизни и определить границы проникновения в нее со стороны иных лиц</w:t>
      </w:r>
      <w:r w:rsidR="002375E8" w:rsidRPr="00606E8F">
        <w:rPr>
          <w:rStyle w:val="a8"/>
          <w:rFonts w:ascii="Times New Roman" w:hAnsi="Times New Roman"/>
          <w:sz w:val="28"/>
          <w:szCs w:val="28"/>
          <w:lang w:eastAsia="ru-RU"/>
        </w:rPr>
        <w:footnoteReference w:id="14"/>
      </w:r>
      <w:r w:rsidRPr="00606E8F">
        <w:rPr>
          <w:rFonts w:ascii="Times New Roman" w:hAnsi="Times New Roman"/>
          <w:sz w:val="28"/>
          <w:szCs w:val="28"/>
          <w:lang w:eastAsia="ru-RU"/>
        </w:rPr>
        <w:t>.</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Законодательство трактует тайну как определенного рода сведения, разглашение (передача, утечка) которых может нанести ущерб интересам ее обладателя. Тайну личной жизни можно определить как сведения (информацию) о различных сторонах индивидуальной жизнедеятельности человека, разглашение (передача, утечка) которых может нанести ущерб гражданину.</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Тайна личной жизни охватывает различные стороны индивидуальной жизнедеятельности человека (интимные стороны, привычки и наклонности, здоровье, физические и физиологические особенности, средства личного общения, совершаемые человеком юридически значимые действия, финансовые дела и т.п.). В связи с этим право на тайну личной жизни включает в себя тайну:</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личной информации;</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усыновления;</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корреспонденции и телефонно-телеграфных сообщений;</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следственных действий;</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нотариальных действий;</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иных действий юрисдикционных органов;</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медицинскую тайну;</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адвокатскую тайну;</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банковскую тайну.</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При всем многообразии проявлений личной жизни граждан применительно к охране тайны личной жизни всех их объединяет то, что речь идет об информации конфиденциального характера, доступ посторонних лиц к которой возможен только либо с согласия гражданина, либо в силу прямого указания закона без его согласия, но со строгим и тщательным соблюдением оснований, условий и порядка ее получения и использования.</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К сожалению, право на тайну личной жизни не отражено в действующем гражданском законе. С теоретической же точки зрения право на тайну личной жизни представляет собой абсолютное право, в силу которого управомоченное лицо вправе требовать сохранения в тайне информации, полученной с его согласия либо в силу закона без его согласия, а также прекращения ее распространения. Предъявление управомоченным лицом требований в защиту этого права не препятствует возможности требовать возмещения ущерба, возникшего в результате нарушения права на тайну личной жизни.</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Весьма важной проблемой является определение границ доступа иных лиц (государственных органов, общественных организаций, должностных лиц, граждан) к информации о личной жизни. Вместе с тем, каковы бы ни были эти границы, любые нарушения закона, предусматривающего основания, условия и порядок доступа к информации о личной жизни граждан, должны быть поводом для предъявления ими требований в защиту своих прав.</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При разглашении тайны личной жизни, доступ к которой был получен в силу закона без согласия гражданина, а также когда информация была получена с согласия гражданина, но с нарушением профессиональной тайны (например, адвокатской), закон должен предусматривать особые меры защиты.</w:t>
      </w:r>
    </w:p>
    <w:p w:rsidR="00456905" w:rsidRPr="00606E8F" w:rsidRDefault="00456905" w:rsidP="00606E8F">
      <w:pPr>
        <w:autoSpaceDE w:val="0"/>
        <w:autoSpaceDN w:val="0"/>
        <w:adjustRightInd w:val="0"/>
        <w:spacing w:after="0" w:line="360" w:lineRule="auto"/>
        <w:ind w:firstLine="709"/>
        <w:jc w:val="both"/>
        <w:rPr>
          <w:rFonts w:ascii="Times New Roman" w:hAnsi="Times New Roman"/>
          <w:sz w:val="28"/>
          <w:szCs w:val="28"/>
          <w:lang w:eastAsia="ru-RU"/>
        </w:rPr>
      </w:pPr>
    </w:p>
    <w:p w:rsidR="00BE7BCD" w:rsidRPr="00606E8F" w:rsidRDefault="00606E8F" w:rsidP="00606E8F">
      <w:pPr>
        <w:autoSpaceDE w:val="0"/>
        <w:autoSpaceDN w:val="0"/>
        <w:adjustRightInd w:val="0"/>
        <w:spacing w:after="0" w:line="360" w:lineRule="auto"/>
        <w:ind w:firstLine="709"/>
        <w:jc w:val="center"/>
        <w:rPr>
          <w:rFonts w:ascii="Times New Roman" w:hAnsi="Times New Roman"/>
          <w:b/>
          <w:caps/>
          <w:sz w:val="28"/>
          <w:szCs w:val="28"/>
          <w:lang w:eastAsia="ru-RU"/>
        </w:rPr>
      </w:pPr>
      <w:r>
        <w:rPr>
          <w:rFonts w:ascii="Times New Roman" w:hAnsi="Times New Roman"/>
          <w:b/>
          <w:sz w:val="28"/>
          <w:szCs w:val="28"/>
          <w:lang w:eastAsia="ru-RU"/>
        </w:rPr>
        <w:br w:type="page"/>
      </w:r>
      <w:r w:rsidR="002375E8" w:rsidRPr="00606E8F">
        <w:rPr>
          <w:rFonts w:ascii="Times New Roman" w:hAnsi="Times New Roman"/>
          <w:b/>
          <w:caps/>
          <w:sz w:val="28"/>
          <w:szCs w:val="28"/>
        </w:rPr>
        <w:t>3</w:t>
      </w:r>
      <w:r w:rsidRPr="00606E8F">
        <w:rPr>
          <w:rFonts w:ascii="Times New Roman" w:hAnsi="Times New Roman"/>
          <w:b/>
          <w:caps/>
          <w:sz w:val="28"/>
          <w:szCs w:val="28"/>
        </w:rPr>
        <w:t>.</w:t>
      </w:r>
      <w:r w:rsidR="002375E8" w:rsidRPr="00606E8F">
        <w:rPr>
          <w:rFonts w:ascii="Times New Roman" w:hAnsi="Times New Roman"/>
          <w:b/>
          <w:caps/>
          <w:sz w:val="28"/>
          <w:szCs w:val="28"/>
        </w:rPr>
        <w:t xml:space="preserve"> Процесс реализации защиты личных прав граждан</w:t>
      </w:r>
    </w:p>
    <w:p w:rsidR="00BE7BCD" w:rsidRPr="00606E8F" w:rsidRDefault="00BE7BCD" w:rsidP="00606E8F">
      <w:pPr>
        <w:autoSpaceDE w:val="0"/>
        <w:autoSpaceDN w:val="0"/>
        <w:adjustRightInd w:val="0"/>
        <w:spacing w:after="0" w:line="360" w:lineRule="auto"/>
        <w:ind w:firstLine="709"/>
        <w:jc w:val="both"/>
        <w:rPr>
          <w:rFonts w:ascii="Times New Roman" w:hAnsi="Times New Roman"/>
          <w:b/>
          <w:sz w:val="28"/>
          <w:szCs w:val="28"/>
          <w:lang w:eastAsia="ru-RU"/>
        </w:rPr>
      </w:pPr>
    </w:p>
    <w:p w:rsidR="002375E8" w:rsidRPr="00606E8F" w:rsidRDefault="002375E8"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Защита прав и свобод человека представляет собой правовое явление. Применение мер защиты, которые, как правило, преследуют право-восстановительные цели, не обусловлено фактическим состоянием вины.</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Защита права - это государственно-принудительная деятельность, направленная на восстановление нарушенного права, обеспечение исполнения юридической обязанности</w:t>
      </w:r>
      <w:r w:rsidRPr="00606E8F">
        <w:rPr>
          <w:rStyle w:val="a8"/>
          <w:rFonts w:ascii="Times New Roman" w:hAnsi="Times New Roman"/>
          <w:sz w:val="28"/>
          <w:szCs w:val="28"/>
          <w:lang w:eastAsia="ru-RU"/>
        </w:rPr>
        <w:footnoteReference w:id="15"/>
      </w:r>
      <w:r w:rsidRPr="00606E8F">
        <w:rPr>
          <w:rFonts w:ascii="Times New Roman" w:hAnsi="Times New Roman"/>
          <w:sz w:val="28"/>
          <w:szCs w:val="28"/>
          <w:lang w:eastAsia="ru-RU"/>
        </w:rPr>
        <w:t>.</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Значимость принципов в концепции защиты прав и свобод человека обусловлена и тем, что они могут быть отнесены к доктринальным источникам права</w:t>
      </w:r>
      <w:r w:rsidRPr="00606E8F">
        <w:rPr>
          <w:rStyle w:val="a8"/>
          <w:rFonts w:ascii="Times New Roman" w:hAnsi="Times New Roman"/>
          <w:sz w:val="28"/>
          <w:szCs w:val="28"/>
          <w:lang w:eastAsia="ru-RU"/>
        </w:rPr>
        <w:footnoteReference w:id="16"/>
      </w:r>
      <w:r w:rsidRPr="00606E8F">
        <w:rPr>
          <w:rFonts w:ascii="Times New Roman" w:hAnsi="Times New Roman"/>
          <w:sz w:val="28"/>
          <w:szCs w:val="28"/>
          <w:lang w:eastAsia="ru-RU"/>
        </w:rPr>
        <w:t>. Ими выполняется задача основных направляющих векторов правового воздействия.</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Конституция РФ термин "защита" использует применительно к различным "субстанциям": к самой Конституции (ст. 82), основам конституционного строя (ст. 55, 56), к стране, Отечеству (ст. 59), национальным меньшинствам и малочисленным этническим общностям (п. "б" и "м" ст. 72), одной из форм осуществления власти народа - местному самоуправлению (ст. 133), денежной единице (ст. 75), формам собственности (ч. 2 ст. 8), к правам и свободам человека и гражданина, его чести, доброму имени, нравственности, здоровью, законным интересам (ст. 2, 23, 30, 37, 45, 61, 71, 72)</w:t>
      </w:r>
      <w:r w:rsidRPr="00606E8F">
        <w:rPr>
          <w:rStyle w:val="a8"/>
          <w:rFonts w:ascii="Times New Roman" w:hAnsi="Times New Roman"/>
          <w:sz w:val="28"/>
          <w:szCs w:val="28"/>
          <w:lang w:eastAsia="ru-RU"/>
        </w:rPr>
        <w:footnoteReference w:id="17"/>
      </w:r>
      <w:r w:rsidRPr="00606E8F">
        <w:rPr>
          <w:rFonts w:ascii="Times New Roman" w:hAnsi="Times New Roman"/>
          <w:sz w:val="28"/>
          <w:szCs w:val="28"/>
          <w:lang w:eastAsia="ru-RU"/>
        </w:rPr>
        <w:t>.</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Отметим, что Конституция РФ впервые ограничила роль государства в установлении прав человека и гражданина, но значительно повысила значимость и ответственность государства в обеспечении соблюдения и защиты этих прав и свобод. Конституция, учитывая теоретические основы естественно-правовой доктрины прав человека, исходит из того, что государство не дарует, не предоставляет людям их основополагающие права и свободы: они принадлежат людям от рождения и неотчуждаемы (ч. 2 ст. 17 Конституции РФ).</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Конституция РФ в качестве форм защиты прав и свобод человека предусматривает:</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1) государственную защиту (ст. 2, ч. 1 ст. 45, ч. 2 ст. 61);</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2) защиту прав и свобод органами местного самоуправления (ст. 130);</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3) защиту прав и свобод общественными объединениями и профессиональными союзами, правозащитными организациями (ч. 1 ст. 30, ч. 2 ст. 45, ч. 1 ст. 48);</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4) самозащиту прав гражданина, включающую следующее:</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гражданско-правовую и уголовно-правовую защиту (ч. 2 ст. 45, ст. 52 и др.);</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публичные выступления граждан (ст. 31);</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обращения в СМИ (ст. 29);</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5) международно-правовую защиту (ч. 3 ст. 46).</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Государственная защита прав и свобод человека и гражданина выступает главной формой защиты в конституционном механизме защиты. Это обусловлено тем, что личность и государственная власть - органически взаимосвязанные явления. Государственная власть непосредственным образом влияет на положение личности, состояние ее прав и свобод, а личность участвует в формировании государственной власти. Поэтому ошибочно противопоставлять права и свободы идее государственности и, тем более, допускать нарушение баланса между ними.</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Важную роль в защите прав и свобод личности играют органы местного самоуправления. В ст. 130 Конституции РФ устанавливается самостоятельность местных органов при решении вопросов местного значения. Анализ ст. 17 Федерального закона от 6 октября 2003 г. N 131-ФЗ "Об общих принципах организации местного самоуправления в Российской Федерации" позволяет сделать следующий вывод: местные органы имеют достаточно большие полномочия в области обеспечения и защиты трудовых, жилищных, социальных и других прав и свобод. Формирование в местных сообществах единой системы защиты прав и свобод, которая базировалась бы на сочетании государственных и муниципальных институтов, имеет для России важное значение. Органы местного самоуправления являются наиболее приближенными из всех органов власти к населению, проживающему на данной территории. Поэтому они в состоянии принимать все необходимые меры, направленные как на недопущение нарушений прав граждан (превентивная защита), так и на защиту и восстановление уже нарушенных прав. На наш взгляд, превентивная защита имеет наибольшее значение, т.к. позволяет не только не допустить самого нарушения чьего-либо права, но и обеспечить стабильность и ненарушаемость прав граждан всего муниципального образования.</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Следующим звеном в цепи конституционного механизма защиты прав и свобод человека является защита прав и свобод общественными объединениями, профессиональными союзами и правозащитными организациями. В ч. 1 ст. 30 Конституции РФ говорится, что каждый вправе защищать свои интересы с помощью различных объединений, включая профессиональные союзы. Праву обращаться к общественным объединениям за защитой соответствует обязанность осуществлять ее, которая закрепляется в уставах общественных объединений.</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Не менее важную роль в системе защиты прав граждан играют профессиональные сообщества адвокатов. Адвокатская деятельность - это квалифицированная юридическая помощь, оказываемая на профессиональной основе лицами, получившими статус адвоката (ст. 1 Федерального закона от 31 мая 2002 года N 63-ФЗ "Об адвокатской деятельности и адвокатуре в Российской Федерации")</w:t>
      </w:r>
      <w:r w:rsidRPr="00606E8F">
        <w:rPr>
          <w:rStyle w:val="a8"/>
          <w:rFonts w:ascii="Times New Roman" w:hAnsi="Times New Roman"/>
          <w:sz w:val="28"/>
          <w:szCs w:val="28"/>
          <w:lang w:eastAsia="ru-RU"/>
        </w:rPr>
        <w:footnoteReference w:id="18"/>
      </w:r>
      <w:r w:rsidRPr="00606E8F">
        <w:rPr>
          <w:rFonts w:ascii="Times New Roman" w:hAnsi="Times New Roman"/>
          <w:sz w:val="28"/>
          <w:szCs w:val="28"/>
          <w:lang w:eastAsia="ru-RU"/>
        </w:rPr>
        <w:t>. Она не является предпринимательской и направлена на защиту прав, свобод и интересов граждан, на обеспечение доступа их к правосудию.</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Адвокатура как институт гражданского общества не входит в систему органов государственной власти и местного самоуправления. Однако в целях обеспечения доступности для населения юридической помощи и содействия адвокатской деятельности органы государственной власти обеспечивают гарантии независимости адвокатуры, осуществляют финансирование деятельности адвокатов, оказывающих юридическую помощь гражданам бесплатно в случаях, предусмотренных законом. В настоящее время при защите бесплатно оказывается помощь только гражданам РФ, среднедушевой доход семей которых ниже величины прожиточного минимума, установленного в субъекте, а также одиноко проживающим гражданам, доходы которых ниже указанной величины в установленных законом случаях.</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Право на самозащиту выступает одним из основных способов защиты прав и свобод в конституционном механизме защиты прав граждан. Конституция РФ закрепила положение, согласно которому каждый вправе защищать свои права и свободы всеми способами, не запрещенными законом. Самозащита - один из способов защиты нарушенных или ограниченных прав. В законодательстве выделяются различные формы самозащиты: уголовно-правовая, гражданско-правовая, самозащита трудовых прав.</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Судебная защита прав и свобод гарантируется каждому (ч. 1 ст. 46 Конституции РФ) и регулируется федеральными законами, в том числе:</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Федеральным конституционным законом от 31 декабря 1996 г. "О судебной системе Российской Федерации"</w:t>
      </w:r>
      <w:r w:rsidRPr="00606E8F">
        <w:rPr>
          <w:rStyle w:val="a8"/>
          <w:rFonts w:ascii="Times New Roman" w:hAnsi="Times New Roman"/>
          <w:sz w:val="28"/>
          <w:szCs w:val="28"/>
          <w:lang w:eastAsia="ru-RU"/>
        </w:rPr>
        <w:footnoteReference w:id="19"/>
      </w:r>
      <w:r w:rsidRPr="00606E8F">
        <w:rPr>
          <w:rFonts w:ascii="Times New Roman" w:hAnsi="Times New Roman"/>
          <w:sz w:val="28"/>
          <w:szCs w:val="28"/>
          <w:lang w:eastAsia="ru-RU"/>
        </w:rPr>
        <w:t>;</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 теории права судебная защита рассматривается как составная часть правоохранительной функции государства</w:t>
      </w:r>
      <w:r w:rsidRPr="00606E8F">
        <w:rPr>
          <w:rStyle w:val="a8"/>
          <w:rFonts w:ascii="Times New Roman" w:hAnsi="Times New Roman"/>
          <w:sz w:val="28"/>
          <w:szCs w:val="28"/>
          <w:lang w:eastAsia="ru-RU"/>
        </w:rPr>
        <w:footnoteReference w:id="20"/>
      </w:r>
      <w:r w:rsidRPr="00606E8F">
        <w:rPr>
          <w:rFonts w:ascii="Times New Roman" w:hAnsi="Times New Roman"/>
          <w:sz w:val="28"/>
          <w:szCs w:val="28"/>
          <w:lang w:eastAsia="ru-RU"/>
        </w:rPr>
        <w:t>. Однако закономерное в правовом государстве усиление влияния судебной власти, ее обособление от правоохранительных органов, выделение в самостоятельную ветвь государственной власти неизбежно приводят к перерастанию судебной защиты прав и свобод граждан в самостоятельную государственную функцию.</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Конституция РФ провозгласила права и свободы человека и гражданина высшей ценностью, обеспечиваемой правосудием (ст. 18), и возложила на государство обязанность признавать, соблюдать и защищать права и свободы человека и гражданина (ст. 2). Согласно Конституции РФ каждому предоставлено право:</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1) защищать свои интересы всеми не запрещенными законом способами (ч. 2 ст. 45);</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2) обжаловать в суд решения и действия (бездействие) органов государственной власти, местного самоуправления, общественных объединений и должностных лиц (ч. 2 ст. 46);</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3) обращаться в межгосударственные органы по защите прав и свобод человека, если исчерпаны имеющиеся внутригосударственные средства правовой защиты (ч. 3 ст. 46).</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Это свидетельствует о том, что Россия не только признает основные права и свободы человека, но и декларирует защиту прав и свобод своих граждан в качестве одной из приоритетных функций государства. Именно это в первую очередь позволяет характеризовать его как демократическое и правовое</w:t>
      </w:r>
      <w:r w:rsidRPr="00606E8F">
        <w:rPr>
          <w:rStyle w:val="a8"/>
          <w:rFonts w:ascii="Times New Roman" w:hAnsi="Times New Roman"/>
          <w:sz w:val="28"/>
          <w:szCs w:val="28"/>
          <w:lang w:eastAsia="ru-RU"/>
        </w:rPr>
        <w:footnoteReference w:id="21"/>
      </w:r>
      <w:r w:rsidRPr="00606E8F">
        <w:rPr>
          <w:rFonts w:ascii="Times New Roman" w:hAnsi="Times New Roman"/>
          <w:sz w:val="28"/>
          <w:szCs w:val="28"/>
          <w:lang w:eastAsia="ru-RU"/>
        </w:rPr>
        <w:t>, поскольку общепризнанно, что права и свободы индивида - обязательный системообразующий признак правового государства</w:t>
      </w:r>
      <w:r w:rsidRPr="00606E8F">
        <w:rPr>
          <w:rStyle w:val="a8"/>
          <w:rFonts w:ascii="Times New Roman" w:hAnsi="Times New Roman"/>
          <w:sz w:val="28"/>
          <w:szCs w:val="28"/>
          <w:lang w:eastAsia="ru-RU"/>
        </w:rPr>
        <w:footnoteReference w:id="22"/>
      </w:r>
      <w:r w:rsidRPr="00606E8F">
        <w:rPr>
          <w:rFonts w:ascii="Times New Roman" w:hAnsi="Times New Roman"/>
          <w:sz w:val="28"/>
          <w:szCs w:val="28"/>
          <w:lang w:eastAsia="ru-RU"/>
        </w:rPr>
        <w:t>.</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Право на справедливое судебное разбирательство было бы иллюзорным в случае, если внутренняя правовая система государства позволит окончательному решению суда остаться не исполненным в ущерб одной из сторон. Важной государственной гарантией прав и свобод является судебная защита. Конституция РФ устанавливает, что:</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"каждому гарантируется судебная защита его прав и свобод.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(ст. 46);</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(ст. 53).</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Положения этих норм раскрываются в других законах. Так, Гражданский кодекс РФ предусматривает, что защиту нарушенных гражданских прав осуществляет суд, арбитражный суд или третейский суд.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обжаловано в суд (ст. 11 ГК РФ). Способы защиты гражданских прав весьма разнообразны: признание права; восстановление положения, существовавшего до нарушения права; признание недействительным акта государственного органа или органа местного самоуправления; возмещение убытков; компенсация морального вреда; неприменение судом акта государственного органа или органа местного самоуправления, противоречащего закону (ст. 12 ГК РФ).</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 (ст. 13 ГК РФ).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В статье 15 Гражданского кодекса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Закон РФ от 27 апреля 1993 г. N 4866-1 "Об обжаловании в суд действий и решений, нарушающих права и свободы граждан" устанавливает, что:</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1) 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нарушены его права и свободы (ст. 1);</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2) к действиям (решениям) государственных органов, органов местного самоуправления, учреждений, предприятий и их объединений, общественных объединений и должностных лиц, государственных служащих, которые могут быть обжалованы в суд, относятся коллегиальные и единоличные действия (решения), в результате которых: нарушены права и свободы гражданина; созданы препятствия осуществлению гражданином его прав и свобод; на гражданина незаконно возложена какая-либо обязанность или он незаконно привлечен к какой-либо ответственности (ст. 2);</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3) гражданин вправе обратиться с жалобой на действия (решения), нарушающие его права и свободы, либо непосредственно в суд, либо к вышестоящему в 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 Вышестоящие в порядке подчиненности орган, объединение, должностное лицо обязаны рассмотреть жалобу в месячный срок. Если гражданину в удовлетворении жалобы отказано или он не получил ответа в течение месяца со дня ее подачи, он вправе обратиться с жалобой в суд (ст. 4). Установив обоснованность жалобы, суд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нарушенные права и свободы. Также суд определяет ответственность государственного органа, органа местного самоуправления, учреждения, предприятия или объединения, общественного объединения или должностного лица, государственного служащего за действия (решения), приведшие к нарушению прав и свобод гражданина. В отношении государственных служащих, совершивших действия (принявших решения), признанные незаконными, суд определяет меру ответственности государственного служащего, вплоть до представления об увольнении, предусмотренную Федеральным законом "Об основах государственной службы Российской Федерации" и другими федеральными законами.</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 настоящее время назрела необходимость в проведении системы мер, направленных на повышение престижа суда и эффективности правосудия:</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1 - следует обеспечить законодательную базу судебных органов - ускорить принятие Федерального закона "О судах общей юрисдикции в Российской Федерации", что позволит создать четкие юридические механизмы и процедуры защиты прав человека, отвечающие современным мировым стандартам;</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2 - для обеспечения доступа граждан к правосудию необходимо в соответствии с федеральным законом учредить во всех субъектах Федерации первичные, наиболее приближенные к населению судебные системы - мировых судей, которые будут обслуживать небольшие судебные участки с населением в несколько тысяч человек. Важно не только без промедления учредить мировых судей, но и обеспечить материально и организационно их деятельность;</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3 - важным инструментом повышения качества правосудия могло бы служить включение в программу высших юридических учебных заведений, осуществляющих подготовку и переподготовку кадров судебных, прокурорских и следственных работников, теоретико-прикладной дисциплины "Права человека".</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Права человека и их защита регулируются в современном мире не только национальным правом, но и международным. В ст. 15 Конституции РФ признается приоритет принципов и норм международного права и их принадлежность к правовой системе Российской Федерации. Часть 3 ст. 46 Конституции РФ гарантирует каждому право на обращение в межгосударственные органы защиты прав и свобод</w:t>
      </w:r>
      <w:r w:rsidR="00723030" w:rsidRPr="00606E8F">
        <w:rPr>
          <w:rStyle w:val="a8"/>
          <w:rFonts w:ascii="Times New Roman" w:hAnsi="Times New Roman"/>
          <w:sz w:val="28"/>
          <w:szCs w:val="28"/>
          <w:lang w:eastAsia="ru-RU"/>
        </w:rPr>
        <w:footnoteReference w:id="23"/>
      </w:r>
      <w:r w:rsidRPr="00606E8F">
        <w:rPr>
          <w:rFonts w:ascii="Times New Roman" w:hAnsi="Times New Roman"/>
          <w:sz w:val="28"/>
          <w:szCs w:val="28"/>
          <w:lang w:eastAsia="ru-RU"/>
        </w:rPr>
        <w:t>, если исчерпаны все имеющиеся внутригосударственные средства правовой защиты. Учреждение и функционирование межгосударственного механизма защиты прав и свобод человека и гражданина является одним из важных достижений в международном регулировании прав человека. Сегодня, в соответствии с положениями международных договоров, сложилась определенная система межгосударственных органов, наделенных функциями контроля над деятельностью государства в сфере защиты прав человека. Таким образом, Россия дополняет внутригосударственные способы защиты прав и свобод международными способами. В международном праве различают:</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 универсальные органы (органы ООН). Основными органами ООН по правам человека являются, в частности:</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1. Генеральная Ассамблея ООН согласно Уставу ООН вправе рассматривать принципы сотрудничества в деле поддержания международного мира и безопасности, обсуждать любые вопросы, относящиеся к международному миру и безопасности, и делать по ним рекомендации, за исключением тех случаев, когда спор или ситуация находятся на рассмотрении Совета Безопасности и т.д.</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2. Комиссия ООН по правам человека состоит из 18 членов (избираемых на 4 года) и создан для контроля за выполнением государствами-участниками условий Пакта о гражданских и политических правах и двух Факультативных протоколов к нему.</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3. Комитет по ликвидации расовой дискриминации состоит из 18 экспертов контролирует реализацию Международной конвенции о ликвидации всех форм расовой дискриминации, которая была принята Генеральной Ассамблеей в 1965 г.</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4. Комитет против пыток состоит из 10 экспертов и контролирует выполнение Конвенции против пыток, которая была принята Генеральной Ассамблеей в 1984 г. и вступила в силу в 1987 г.</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Принятие Билля о правах человека, включающего Всеобщую декларацию прав человека 1948 г., Международный пакт о гражданских и политических правах 1976 г., Международный пакт об экономических, социальных и культурных правах 1976 г., Факультативный протокол N 1 и Факультативный протокол N 2</w:t>
      </w:r>
      <w:r w:rsidR="00606E8F">
        <w:rPr>
          <w:rFonts w:ascii="Times New Roman" w:hAnsi="Times New Roman"/>
          <w:sz w:val="28"/>
          <w:szCs w:val="28"/>
          <w:lang w:eastAsia="ru-RU"/>
        </w:rPr>
        <w:t xml:space="preserve"> </w:t>
      </w:r>
      <w:r w:rsidRPr="00606E8F">
        <w:rPr>
          <w:rFonts w:ascii="Times New Roman" w:hAnsi="Times New Roman"/>
          <w:sz w:val="28"/>
          <w:szCs w:val="28"/>
          <w:lang w:eastAsia="ru-RU"/>
        </w:rPr>
        <w:t>к Международному пакту о гражданских и политических правах, внесло коренные изменения в статус человека, переместив это понятие в разряд международных. В первом документе СБСЕ - Хельсинкском Заключительном акте 1975 г., закрепившем принцип уважения основных прав и свобод человека в качестве принципа международного права, устанавливался баланс равного взаимодействия международно-правового и национального регулирования прав человека.</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Согласно ст. 34 Европейской Конвенции о защите прав человека и основных свобод от 4 ноября 1950 г. суд может принимать жалобы от любого физического или юридического лица, любой неправительственной организации</w:t>
      </w:r>
      <w:r w:rsidR="00723030" w:rsidRPr="00606E8F">
        <w:rPr>
          <w:rFonts w:ascii="Times New Roman" w:hAnsi="Times New Roman"/>
          <w:sz w:val="28"/>
          <w:szCs w:val="28"/>
          <w:lang w:eastAsia="ru-RU"/>
        </w:rPr>
        <w:t xml:space="preserve"> </w:t>
      </w:r>
      <w:r w:rsidRPr="00606E8F">
        <w:rPr>
          <w:rFonts w:ascii="Times New Roman" w:hAnsi="Times New Roman"/>
          <w:sz w:val="28"/>
          <w:szCs w:val="28"/>
          <w:lang w:eastAsia="ru-RU"/>
        </w:rPr>
        <w:t>или любой группы частных лиц, которые утверждают, что "явились жертвами нарушения одной из Высоких Договаривающихся Сторон их прав, признанных в настоящей Конвенции или в Протоколах к ней. Высокие Договаривающиеся Стороны обязуются никоим образом не препятствовать эффективному осуществлению этого права".</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Заявитель индивидуальной жалобы должен сам выступать в качестве жертвы того нарушения права или прав, предусмотренных Конвенцией, на которое он жалуется. Это - абсолютно необходимое условие. Конвенция не предоставляет права подавать жалобу против нарушений прав человека вообще (action popularis): чтобы жалоба имела шансы на успех, заявитель должен продемонстрировать, что он лично пострадал в результате нарушений, на которые жалуется. Таким образом, Суд не рассматривает in abstracto вопрос о соответствии внутреннего законодательства Конвенции. Условие о том, что заявитель должен быть жертвой нарушения его прав, гарантированных Конвенцией, должно соблюдаться на протяжении всего периода разбирательства дела в Суде. Так, если, пока дело ожидало слушаний в Суде, заявитель получил компенсацию от внутригосударственных властей или иную форму возмещения, например, в результате применения экстраординарных мер правовой защиты, Суд может установить, что данное лицо не является более жертвой в смысле, придаваемом этому слову ст. 34 Конвенции. С 5 мая 1998 г. (дата вступления в силу для России Европейской Конвенции о защите прав человека и основных свобод) по настоящее время в Европейский Суд по правам человека поступило около 10 000 жалоб на действия российских властей. Примерно 3500 из этих жалоб суд отклонил по различным основаниям.</w:t>
      </w:r>
    </w:p>
    <w:p w:rsidR="000A1067" w:rsidRPr="00606E8F" w:rsidRDefault="000A1067"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Должность Уполномоченного РФ при Европейском Суде по правам человека учреждена в связи с ратификацией Россией Конвенции о защите прав человека и основных свобод. Цель Уполномоченного - защита интересов государства при рассмотрении жалоб на Россию в Европейском Суде. Организационно аппарат Уполномоченного входит в структуру Главного государственно-правового управления Президента РФ и подотчетен Президенту РФ</w:t>
      </w:r>
      <w:r w:rsidR="00723030" w:rsidRPr="00606E8F">
        <w:rPr>
          <w:rStyle w:val="a8"/>
          <w:rFonts w:ascii="Times New Roman" w:hAnsi="Times New Roman"/>
          <w:sz w:val="28"/>
          <w:szCs w:val="28"/>
          <w:lang w:eastAsia="ru-RU"/>
        </w:rPr>
        <w:footnoteReference w:id="24"/>
      </w:r>
      <w:r w:rsidRPr="00606E8F">
        <w:rPr>
          <w:rFonts w:ascii="Times New Roman" w:hAnsi="Times New Roman"/>
          <w:sz w:val="28"/>
          <w:szCs w:val="28"/>
          <w:lang w:eastAsia="ru-RU"/>
        </w:rPr>
        <w:t>.</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 соответствии с Конституцией права и свободы человека и гражданина определяют смысл, содержание и применение законов, деятельность всех органов государственной власти, местного самоуправления. Соблюдение прав и свобод обеспечивается правосудием. Особую роль в этой сфере Конституция отводит Президенту. Слова об обязанности защищать Конституцию, уважать и охранять права и свободы человека и гражданина, верно служить народу есть в тексте присяги Президента, которую он приносит народу при вступлении в должность.</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Необходимым условием соблюдения прав и свобод человека и гражданина является положение, при котором все органы государственной власти выполняют свои конституционные обязанности в пределах своей компетенции. Обеспечить такое положение в государстве должен Президент. Для этого Конституцией ему предоставлены особые полномочия по обеспечению согласованного функционирования и взаимодействия органов государственной власти.</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Защищая права и свободы человека и гражданина, Президент опирается на всю систему органов государственной власти. Функции гаранта прав и свобод человека и гражданина требуют от Президента постоянной заботы об эффективности исполнительной, законодательной и судебной властей, разумеется без вторжения в сферу их компетенции.</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Будучи юридически дистанцирован от всех ветвей власти, Президент нормотворчествует, управляет, разрешает споры, осуществляет функции конституционного контроля. Реализуя полномочия по защите прав и свобод, глава государства взаимодействует с Правительством, федеральными судами, прокуратурой, правоохранительными органами, общественными объединениями.</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Президент обязан добиваться того, чтобы Конституция и нормативные акты субъектов федерации полностью соответствовали Конституции страны, федеральному законодательству, задачам обеспечения и защиты прав и свобод человека и гражданина. В противном случае Президент имеет право потребовать от любого федерального органа власти либо органа власти субъекта федерации соблюдения прав и свобод человека и гражданина, а в случае их попрания - требовать восстановления нарушенных прав в полном объеме. При этом Президент может предпринять самые решительные меры, вплоть до принудительных.</w:t>
      </w:r>
    </w:p>
    <w:p w:rsidR="004A39B9"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Конституционные полномочия гаранта прав и свобод человека и гражданина Президент реализует, используя свое право законодательной инициативы. Он также издает указы по защите правового положения личности в целом и отдельных групп населения, а также по обеспечению граждан всей полнотой личных, политических и социально-экономических прав.</w:t>
      </w:r>
    </w:p>
    <w:p w:rsidR="000A1067" w:rsidRPr="00606E8F" w:rsidRDefault="004A39B9" w:rsidP="00606E8F">
      <w:pPr>
        <w:autoSpaceDE w:val="0"/>
        <w:autoSpaceDN w:val="0"/>
        <w:adjustRightInd w:val="0"/>
        <w:spacing w:after="0" w:line="360" w:lineRule="auto"/>
        <w:ind w:firstLine="709"/>
        <w:jc w:val="both"/>
        <w:rPr>
          <w:rFonts w:ascii="Times New Roman" w:hAnsi="Times New Roman"/>
          <w:sz w:val="28"/>
          <w:szCs w:val="28"/>
          <w:lang w:eastAsia="ru-RU"/>
        </w:rPr>
      </w:pPr>
      <w:r w:rsidRPr="00606E8F">
        <w:rPr>
          <w:rFonts w:ascii="Times New Roman" w:hAnsi="Times New Roman"/>
          <w:sz w:val="28"/>
          <w:szCs w:val="28"/>
          <w:lang w:eastAsia="ru-RU"/>
        </w:rPr>
        <w:t>Власть Президента ограничивается пределами Конституции. Многие россияне воспринимают обязанности Президента гарантировать Конституцию, права и свободы человека и гражданина достаточно широко. Часто они адресуют Президенту свои жалобы на решения, например, правоохранительных органов или даже приговоры судов. Однако Президент, исходя из конституционного принципа разделения властей, не имеет права подменять функции и полномочия этих органов. Общие рамки полномочий Президента определяются принципом разделения властей и требованием Конституции, согласно которому указы и распоряжения Президента не должны противоречить Конституции и федеральным законам.</w:t>
      </w:r>
    </w:p>
    <w:p w:rsidR="00BE7BCD" w:rsidRPr="00606E8F" w:rsidRDefault="00BE7BCD" w:rsidP="00606E8F">
      <w:pPr>
        <w:autoSpaceDE w:val="0"/>
        <w:autoSpaceDN w:val="0"/>
        <w:adjustRightInd w:val="0"/>
        <w:spacing w:after="0" w:line="360" w:lineRule="auto"/>
        <w:ind w:firstLine="709"/>
        <w:jc w:val="both"/>
        <w:rPr>
          <w:rFonts w:ascii="Times New Roman" w:hAnsi="Times New Roman"/>
          <w:b/>
          <w:sz w:val="28"/>
          <w:szCs w:val="28"/>
          <w:lang w:eastAsia="ru-RU"/>
        </w:rPr>
      </w:pPr>
    </w:p>
    <w:p w:rsidR="00FA033A" w:rsidRPr="00606E8F" w:rsidRDefault="00606E8F" w:rsidP="00606E8F">
      <w:pPr>
        <w:autoSpaceDE w:val="0"/>
        <w:autoSpaceDN w:val="0"/>
        <w:adjustRightInd w:val="0"/>
        <w:spacing w:after="0" w:line="360" w:lineRule="auto"/>
        <w:ind w:firstLine="709"/>
        <w:jc w:val="center"/>
        <w:rPr>
          <w:rFonts w:ascii="Times New Roman" w:hAnsi="Times New Roman"/>
          <w:b/>
          <w:sz w:val="28"/>
          <w:szCs w:val="28"/>
          <w:lang w:eastAsia="ru-RU"/>
        </w:rPr>
      </w:pPr>
      <w:r>
        <w:rPr>
          <w:rFonts w:ascii="Times New Roman" w:hAnsi="Times New Roman"/>
          <w:b/>
          <w:sz w:val="28"/>
          <w:szCs w:val="28"/>
          <w:lang w:eastAsia="ru-RU"/>
        </w:rPr>
        <w:br w:type="page"/>
      </w:r>
      <w:r w:rsidR="00696574" w:rsidRPr="00606E8F">
        <w:rPr>
          <w:rFonts w:ascii="Times New Roman" w:hAnsi="Times New Roman"/>
          <w:b/>
          <w:sz w:val="28"/>
          <w:szCs w:val="28"/>
          <w:lang w:eastAsia="ru-RU"/>
        </w:rPr>
        <w:t>З</w:t>
      </w:r>
      <w:r w:rsidR="00FA033A" w:rsidRPr="00606E8F">
        <w:rPr>
          <w:rFonts w:ascii="Times New Roman" w:hAnsi="Times New Roman"/>
          <w:b/>
          <w:sz w:val="28"/>
          <w:szCs w:val="28"/>
          <w:lang w:eastAsia="ru-RU"/>
        </w:rPr>
        <w:t>АКЛЮЧЕНИЕ</w:t>
      </w:r>
    </w:p>
    <w:p w:rsidR="003012F9" w:rsidRPr="00606E8F" w:rsidRDefault="003012F9" w:rsidP="00606E8F">
      <w:pPr>
        <w:autoSpaceDE w:val="0"/>
        <w:autoSpaceDN w:val="0"/>
        <w:adjustRightInd w:val="0"/>
        <w:spacing w:after="0" w:line="360" w:lineRule="auto"/>
        <w:ind w:firstLine="709"/>
        <w:jc w:val="both"/>
        <w:rPr>
          <w:rFonts w:ascii="Times New Roman" w:hAnsi="Times New Roman"/>
          <w:sz w:val="28"/>
          <w:szCs w:val="28"/>
          <w:lang w:eastAsia="ru-RU"/>
        </w:rPr>
      </w:pPr>
    </w:p>
    <w:p w:rsidR="00684E79" w:rsidRPr="00606E8F" w:rsidRDefault="00684E79" w:rsidP="00606E8F">
      <w:pPr>
        <w:pStyle w:val="ConsPlusNormal"/>
        <w:widowControl/>
        <w:spacing w:line="360" w:lineRule="auto"/>
        <w:ind w:firstLine="709"/>
        <w:jc w:val="both"/>
        <w:rPr>
          <w:rFonts w:ascii="Times New Roman" w:hAnsi="Times New Roman" w:cs="Times New Roman"/>
          <w:sz w:val="28"/>
          <w:szCs w:val="28"/>
        </w:rPr>
      </w:pPr>
      <w:r w:rsidRPr="00606E8F">
        <w:rPr>
          <w:rFonts w:ascii="Times New Roman" w:hAnsi="Times New Roman" w:cs="Times New Roman"/>
          <w:sz w:val="28"/>
          <w:szCs w:val="28"/>
        </w:rPr>
        <w:t>Гражданское законодательство регулирует два вида общественных отношений - имущественные и связанные с ними неимущественные, а также защищает неотчуждаемые права и свободы человека и нематериальные блага.</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В данной работе мы четко охарактеризовали многообразие связей права и личности наиболее полно охарактеризовали через понятие правового статуса, в котором отражаются все основные стороны юридического бытия индивида: его интересы, потребности, взаимоотношения с государством, трудовая и общественно-политическая деятельность, социальные притязания и их удовлетворение.</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Основные права личности закреплены в основном юридическом документе – Конституции. Поэтому Конституция любого государства ориентирована на юридический аспект взаимодействия с личностью, т.е. на личность как на гражданина. Конституция</w:t>
      </w:r>
      <w:r w:rsidR="00606E8F">
        <w:rPr>
          <w:rFonts w:ascii="Times New Roman" w:hAnsi="Times New Roman"/>
          <w:sz w:val="28"/>
          <w:szCs w:val="28"/>
        </w:rPr>
        <w:t xml:space="preserve"> </w:t>
      </w:r>
      <w:r w:rsidRPr="00606E8F">
        <w:rPr>
          <w:rFonts w:ascii="Times New Roman" w:hAnsi="Times New Roman"/>
          <w:sz w:val="28"/>
          <w:szCs w:val="28"/>
        </w:rPr>
        <w:t>- основной закон государства, где на первом месте определены права человека. В этом случае цель и задачи Конституции сводятся к обеспечению декларации прав и свобод личности в рамках понятия «гражданин». Поэтому права личности – это охраняемая законом мера возможного поведения, направленная на удовлетворение интересов человека. Права человека – универсальная категория, представляющая собой вытекающие из самой природы человека возможности пользоваться элементарными, наиболее важными благами и условиями безопасного, свободного существования личности в обществе. В современный период права человека понимаются как общесоциальное понятие, отражающее наднациональные, общечеловеческие требования и стандарты в области свободы личности.</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Права гражданина – это охраняемая законом мера юридически возможного поведения, направленная на удовлетворение интересов не всякого человека, а лишь того, который находится в устойчивой правовой связи с конкретным государством. В отличие от прав граждан права человека не всегда выступают как юридические категории, а только как моральные или социальные. Они могут существовать независимо от государственного признания и законодательного закрепления, вне связи человека с конкретной страной. Свобода личности – это тоже право гражданина, но выражающее собой лишь отсутствие каких-либо препятствий, стеснений в чем-либо.</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В данной работе определили и достигли основную цель, которая выражается в комплексном исследовании гражданско-правовой охраны личности граждан.</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Достижение поставленной цели было определено путем решения следующих задач:</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изучили теоретическую концепцию в области личных прав граждан;</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рассмотрели понятие и виды личных неимущественных прав;</w:t>
      </w:r>
    </w:p>
    <w:p w:rsidR="00684E79" w:rsidRPr="00606E8F" w:rsidRDefault="00684E79" w:rsidP="00606E8F">
      <w:pPr>
        <w:spacing w:after="0" w:line="360" w:lineRule="auto"/>
        <w:ind w:firstLine="709"/>
        <w:jc w:val="both"/>
        <w:rPr>
          <w:rFonts w:ascii="Times New Roman" w:hAnsi="Times New Roman"/>
          <w:sz w:val="28"/>
          <w:szCs w:val="28"/>
        </w:rPr>
      </w:pPr>
      <w:r w:rsidRPr="00606E8F">
        <w:rPr>
          <w:rFonts w:ascii="Times New Roman" w:hAnsi="Times New Roman"/>
          <w:sz w:val="28"/>
          <w:szCs w:val="28"/>
        </w:rPr>
        <w:t>- выявили специфику гражданско-правовой охраны личных прав граждан;</w:t>
      </w:r>
    </w:p>
    <w:p w:rsidR="00723030" w:rsidRPr="00606E8F" w:rsidRDefault="00723030" w:rsidP="00606E8F">
      <w:pPr>
        <w:autoSpaceDE w:val="0"/>
        <w:autoSpaceDN w:val="0"/>
        <w:adjustRightInd w:val="0"/>
        <w:spacing w:after="0" w:line="360" w:lineRule="auto"/>
        <w:ind w:firstLine="709"/>
        <w:jc w:val="both"/>
        <w:rPr>
          <w:rFonts w:ascii="Times New Roman" w:hAnsi="Times New Roman"/>
          <w:sz w:val="28"/>
          <w:szCs w:val="28"/>
          <w:lang w:eastAsia="ru-RU"/>
        </w:rPr>
      </w:pPr>
    </w:p>
    <w:p w:rsidR="00FA033A" w:rsidRPr="00606E8F" w:rsidRDefault="00606E8F" w:rsidP="00606E8F">
      <w:pPr>
        <w:autoSpaceDE w:val="0"/>
        <w:autoSpaceDN w:val="0"/>
        <w:adjustRightInd w:val="0"/>
        <w:spacing w:after="0" w:line="360" w:lineRule="auto"/>
        <w:ind w:firstLine="709"/>
        <w:jc w:val="center"/>
        <w:rPr>
          <w:rFonts w:ascii="Times New Roman" w:hAnsi="Times New Roman"/>
          <w:b/>
          <w:sz w:val="28"/>
          <w:szCs w:val="28"/>
          <w:lang w:eastAsia="ru-RU"/>
        </w:rPr>
      </w:pPr>
      <w:r>
        <w:rPr>
          <w:rFonts w:ascii="Times New Roman" w:hAnsi="Times New Roman"/>
          <w:sz w:val="28"/>
          <w:szCs w:val="28"/>
          <w:lang w:eastAsia="ru-RU"/>
        </w:rPr>
        <w:br w:type="page"/>
      </w:r>
      <w:r w:rsidR="003012F9" w:rsidRPr="00606E8F">
        <w:rPr>
          <w:rFonts w:ascii="Times New Roman" w:hAnsi="Times New Roman"/>
          <w:b/>
          <w:sz w:val="28"/>
          <w:szCs w:val="28"/>
          <w:lang w:eastAsia="ru-RU"/>
        </w:rPr>
        <w:t>БИБЛИОГРАФИЧЕСКИЙ СПИСОК</w:t>
      </w:r>
    </w:p>
    <w:p w:rsidR="00684E79" w:rsidRPr="00606E8F" w:rsidRDefault="00684E79" w:rsidP="00606E8F">
      <w:pPr>
        <w:autoSpaceDE w:val="0"/>
        <w:autoSpaceDN w:val="0"/>
        <w:adjustRightInd w:val="0"/>
        <w:spacing w:after="0" w:line="360" w:lineRule="auto"/>
        <w:ind w:firstLine="709"/>
        <w:jc w:val="both"/>
        <w:rPr>
          <w:rFonts w:ascii="Times New Roman" w:hAnsi="Times New Roman"/>
          <w:sz w:val="28"/>
          <w:szCs w:val="28"/>
          <w:lang w:eastAsia="ru-RU"/>
        </w:rPr>
      </w:pPr>
    </w:p>
    <w:p w:rsidR="00953CA6" w:rsidRPr="00606E8F" w:rsidRDefault="0077430D" w:rsidP="00606E8F">
      <w:pPr>
        <w:autoSpaceDE w:val="0"/>
        <w:autoSpaceDN w:val="0"/>
        <w:adjustRightInd w:val="0"/>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П</w:t>
      </w:r>
      <w:r w:rsidR="00966124" w:rsidRPr="00606E8F">
        <w:rPr>
          <w:rFonts w:ascii="Times New Roman" w:hAnsi="Times New Roman"/>
          <w:sz w:val="28"/>
          <w:szCs w:val="28"/>
          <w:lang w:eastAsia="ru-RU"/>
        </w:rPr>
        <w:t>равовые акты</w:t>
      </w:r>
    </w:p>
    <w:p w:rsidR="00966124" w:rsidRPr="00606E8F" w:rsidRDefault="003012F9" w:rsidP="00606E8F">
      <w:pPr>
        <w:pStyle w:val="a9"/>
        <w:numPr>
          <w:ilvl w:val="0"/>
          <w:numId w:val="4"/>
        </w:numPr>
        <w:spacing w:line="360" w:lineRule="auto"/>
        <w:ind w:left="0" w:firstLine="0"/>
        <w:jc w:val="both"/>
        <w:rPr>
          <w:rFonts w:ascii="Times New Roman" w:hAnsi="Times New Roman" w:cs="Times New Roman"/>
          <w:sz w:val="28"/>
          <w:szCs w:val="28"/>
        </w:rPr>
      </w:pPr>
      <w:r w:rsidRPr="00606E8F">
        <w:rPr>
          <w:rFonts w:ascii="Times New Roman" w:hAnsi="Times New Roman" w:cs="Times New Roman"/>
          <w:sz w:val="28"/>
          <w:szCs w:val="28"/>
        </w:rPr>
        <w:t>Конституция Российской Федерации (принята на всенародном голосовании 12 декабря 1993 г.). "Российская газета" от 25 декабря 1993 г. N 237.</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1. Конвенция «О защите прав человека и основных свобод (ETS №5)» Совет Европы, Рим, 4 ноября 1950 года (ред. от 11.03.94 г.)</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2. Международный пакт «О гражданских и политических правах» от 16 декабря 1966 года</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3. Конституция Российской Федерации // Российская газета от 25 декабря 1993 года, №237 с изменениями от 25.03.2004</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4. Гражданский кодекс Российской Федерации, ч.1 // Собрание законодательства РФ", 05.12.1994, N 32, ст. 3301</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5. Гражданский кодекс Российской Федерации. Часть 2. от 26 января 1996 года. // Собрание законодательства РФ. 1996. № 5. Ст. 410 , № 34. Ст.4025.</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6. Гражданский кодекс Российской Федерации от 28 ноября 2001 г., ч. 3 // Собрание законодательства РФ", 03.12.2001, N 49, ст. 4552.</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7. Гражданский процессуальный кодекс РФ от 14.11.2002. // Собрание законодательства РФ", 18.11.2002, N 46, ст. 4532</w:t>
      </w:r>
    </w:p>
    <w:p w:rsidR="00F10F89" w:rsidRPr="00606E8F" w:rsidRDefault="00F10F89" w:rsidP="00606E8F">
      <w:pPr>
        <w:spacing w:after="0" w:line="360" w:lineRule="auto"/>
        <w:jc w:val="both"/>
        <w:rPr>
          <w:rFonts w:ascii="Times New Roman" w:hAnsi="Times New Roman"/>
          <w:sz w:val="28"/>
          <w:szCs w:val="28"/>
          <w:lang w:eastAsia="ru-RU"/>
        </w:rPr>
      </w:pPr>
      <w:r w:rsidRPr="00606E8F">
        <w:rPr>
          <w:rFonts w:ascii="Times New Roman" w:hAnsi="Times New Roman"/>
          <w:sz w:val="28"/>
          <w:szCs w:val="28"/>
          <w:lang w:eastAsia="ru-RU"/>
        </w:rPr>
        <w:t>Литература</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Авакьян С.А. Гражданство Российской Федерации. – м.: Юрист, 2004.</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Азаров Н.И. Теория государства и права. Конспекты лекций и методические указания. М., 2004.</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Баглай М.В., Габричидзе Б.Н. Конституционное право РФ – М.: НОРМА; ИНФРА-М, 2000</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Бутылин В.Н. Институт государственно-правовой охраны конституционных прав и свобод. // Журнал российского права. 2001. N 12.</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Безуглов А. А., Солдатов С. А. Конституционное право России. В 3 т. М., Профобразование, 2001.</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rPr>
        <w:t>Грудцына Л.Ю. К вопросу о защите и охране прав и свобод человека и гражданина в Российской Федерации. - Система ГАРАНТ, 2009.</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Енгибарян Р. В., Тадевосян Э. В. Конституционное право: Учебник. М., Юристъ, 2000.</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Кабышев В.Т. Защита прав человека - главное направление правовой политики России // Правоведение. 1998. N 1. С. 128.</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rPr>
        <w:t>Красавчикова Л.О. Понятие и система личных неимущественных прав граждан (физических лиц) в гражданском праве Российской Федерации. Екатеринбург, 2004.</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Конституционное право России: Учебник / Отв. ред. А. Н. Кокотов и М. И. Кукушкин. М., Юристъ, 2003.</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Козлова Е. И., Кутафин О. Е. Конституционное право России: Учебник. М., Юристъ, 2006.</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Лучин В.О. Конституционные институты / Современный конституционализм. - М., 2004 г. С. 35</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rPr>
        <w:t>Малеина М.Н. Личные неимущественные права граждан: понятие, осуществление, защита. М., 2001.</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Мордовец А.С. Социально-юридический механизм обеспечения прав человека и гражданина. - Саратов, 1996. - С. 223.</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Общая теория права и государства /Под ред. В.В. Лазарева. 2-е изд. М., 2005.</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Общая теория государства и права. Академический курс в 2-х томах. /Отв. ред. М.Н. Марченко. М., 2002.</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Синюкова Т.В. Юридические гарантии как метод регулирования правового положения личности // Вопросы теории государства и права. Межвузовский сборник научных работ. - Саратов. 2006г. Вып. 9. С. 150-160</w:t>
      </w:r>
    </w:p>
    <w:p w:rsidR="00684E79" w:rsidRPr="00606E8F" w:rsidRDefault="00684E7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rPr>
        <w:t>Учебник по гражданскому праву. Часть 1. Под ред. Толстого, Сергеева. Проспект. М., 2006.</w:t>
      </w:r>
    </w:p>
    <w:p w:rsidR="00684E79" w:rsidRPr="00606E8F" w:rsidRDefault="00F10F8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Хропанюк В.Н. Теория государства и права. М., 1995.</w:t>
      </w:r>
    </w:p>
    <w:p w:rsidR="00953CA6" w:rsidRPr="00606E8F" w:rsidRDefault="00F10F89" w:rsidP="00606E8F">
      <w:pPr>
        <w:numPr>
          <w:ilvl w:val="0"/>
          <w:numId w:val="13"/>
        </w:numPr>
        <w:spacing w:after="0" w:line="360" w:lineRule="auto"/>
        <w:ind w:left="0" w:firstLine="0"/>
        <w:jc w:val="both"/>
        <w:rPr>
          <w:rFonts w:ascii="Times New Roman" w:hAnsi="Times New Roman"/>
          <w:sz w:val="28"/>
          <w:szCs w:val="28"/>
          <w:lang w:eastAsia="ru-RU"/>
        </w:rPr>
      </w:pPr>
      <w:r w:rsidRPr="00606E8F">
        <w:rPr>
          <w:rFonts w:ascii="Times New Roman" w:hAnsi="Times New Roman"/>
          <w:sz w:val="28"/>
          <w:szCs w:val="28"/>
          <w:lang w:eastAsia="ru-RU"/>
        </w:rPr>
        <w:t>Черданцев А.Ф. Теория государства и права. Курс лекций. Екатеринбург, 2001.</w:t>
      </w:r>
      <w:bookmarkStart w:id="0" w:name="_GoBack"/>
      <w:bookmarkEnd w:id="0"/>
    </w:p>
    <w:sectPr w:rsidR="00953CA6" w:rsidRPr="00606E8F" w:rsidSect="00606E8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D7D" w:rsidRDefault="00980D7D" w:rsidP="002D337D">
      <w:pPr>
        <w:spacing w:after="0" w:line="240" w:lineRule="auto"/>
      </w:pPr>
      <w:r>
        <w:separator/>
      </w:r>
    </w:p>
  </w:endnote>
  <w:endnote w:type="continuationSeparator" w:id="0">
    <w:p w:rsidR="00980D7D" w:rsidRDefault="00980D7D" w:rsidP="002D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D7D" w:rsidRDefault="00980D7D" w:rsidP="002D337D">
      <w:pPr>
        <w:spacing w:after="0" w:line="240" w:lineRule="auto"/>
      </w:pPr>
      <w:r>
        <w:separator/>
      </w:r>
    </w:p>
  </w:footnote>
  <w:footnote w:type="continuationSeparator" w:id="0">
    <w:p w:rsidR="00980D7D" w:rsidRDefault="00980D7D" w:rsidP="002D337D">
      <w:pPr>
        <w:spacing w:after="0" w:line="240" w:lineRule="auto"/>
      </w:pPr>
      <w:r>
        <w:continuationSeparator/>
      </w:r>
    </w:p>
  </w:footnote>
  <w:footnote w:id="1">
    <w:p w:rsidR="00980D7D" w:rsidRDefault="00D944A5" w:rsidP="00D944A5">
      <w:pPr>
        <w:pStyle w:val="a6"/>
        <w:spacing w:after="0" w:line="240" w:lineRule="auto"/>
        <w:jc w:val="both"/>
      </w:pPr>
      <w:r w:rsidRPr="00D944A5">
        <w:rPr>
          <w:rStyle w:val="a8"/>
          <w:rFonts w:ascii="Times New Roman" w:hAnsi="Times New Roman"/>
        </w:rPr>
        <w:footnoteRef/>
      </w:r>
      <w:r w:rsidRPr="00D944A5">
        <w:rPr>
          <w:rFonts w:ascii="Times New Roman" w:hAnsi="Times New Roman"/>
        </w:rPr>
        <w:t xml:space="preserve"> </w:t>
      </w:r>
      <w:r w:rsidR="003301B0">
        <w:rPr>
          <w:rFonts w:ascii="Times New Roman" w:hAnsi="Times New Roman"/>
        </w:rPr>
        <w:t xml:space="preserve">Ст. 2 </w:t>
      </w:r>
      <w:r w:rsidRPr="00D944A5">
        <w:rPr>
          <w:rFonts w:ascii="Times New Roman" w:hAnsi="Times New Roman"/>
        </w:rPr>
        <w:t>Часть первая Гражданского кодекса Российской Федерации от 30 ноября 1994 г. N 51-ФЗ. Принята Государственной Думой 21 октября 1994 года. Текст части первой опубликован в "Российской газете" от 8 декабря 1994 г., Собрании законодательства Российской Федерации от 5 декабря 1994 г., N 32, ст. 3301</w:t>
      </w:r>
    </w:p>
  </w:footnote>
  <w:footnote w:id="2">
    <w:p w:rsidR="00980D7D" w:rsidRDefault="00D944A5" w:rsidP="003301B0">
      <w:pPr>
        <w:pStyle w:val="ConsPlusNormal"/>
        <w:widowControl/>
        <w:ind w:firstLine="0"/>
        <w:jc w:val="both"/>
      </w:pPr>
      <w:r w:rsidRPr="003301B0">
        <w:rPr>
          <w:rStyle w:val="a8"/>
          <w:rFonts w:ascii="Times New Roman" w:hAnsi="Times New Roman"/>
        </w:rPr>
        <w:footnoteRef/>
      </w:r>
      <w:r w:rsidRPr="003301B0">
        <w:rPr>
          <w:rFonts w:ascii="Times New Roman" w:hAnsi="Times New Roman" w:cs="Times New Roman"/>
        </w:rPr>
        <w:t xml:space="preserve"> Красавчикова Л.О. Понятие и система личных неимущественных прав граждан (физических лиц) в гражданском праве Российской Федерации. Екатеринбург, </w:t>
      </w:r>
      <w:r w:rsidR="003301B0">
        <w:rPr>
          <w:rFonts w:ascii="Times New Roman" w:hAnsi="Times New Roman" w:cs="Times New Roman"/>
        </w:rPr>
        <w:t>2004</w:t>
      </w:r>
      <w:r w:rsidRPr="003301B0">
        <w:rPr>
          <w:rFonts w:ascii="Times New Roman" w:hAnsi="Times New Roman" w:cs="Times New Roman"/>
        </w:rPr>
        <w:t>.</w:t>
      </w:r>
    </w:p>
  </w:footnote>
  <w:footnote w:id="3">
    <w:p w:rsidR="00980D7D" w:rsidRDefault="003301B0" w:rsidP="003301B0">
      <w:pPr>
        <w:pStyle w:val="a6"/>
        <w:spacing w:after="0" w:line="240" w:lineRule="auto"/>
        <w:jc w:val="both"/>
      </w:pPr>
      <w:r w:rsidRPr="003301B0">
        <w:rPr>
          <w:rStyle w:val="a8"/>
          <w:rFonts w:ascii="Times New Roman" w:hAnsi="Times New Roman"/>
        </w:rPr>
        <w:footnoteRef/>
      </w:r>
      <w:r w:rsidRPr="003301B0">
        <w:rPr>
          <w:rFonts w:ascii="Times New Roman" w:hAnsi="Times New Roman"/>
        </w:rPr>
        <w:t xml:space="preserve"> Часть первая Гражданского кодекса Российской Федерации от 30 ноября 1994 г. N 51-ФЗ. Принята Государственной Думой 21 октября 1994 года. Текст части первой опубликован в "Российской газете" от 8 декабря 1994 г., Собрании законодательства Российской Федерации от 5 декабря 1994 г., N 32, ст. 3301</w:t>
      </w:r>
    </w:p>
  </w:footnote>
  <w:footnote w:id="4">
    <w:p w:rsidR="00980D7D" w:rsidRDefault="003301B0" w:rsidP="003301B0">
      <w:pPr>
        <w:pStyle w:val="a6"/>
        <w:spacing w:after="0" w:line="240" w:lineRule="auto"/>
        <w:jc w:val="both"/>
      </w:pPr>
      <w:r w:rsidRPr="003301B0">
        <w:rPr>
          <w:rStyle w:val="a8"/>
          <w:rFonts w:ascii="Times New Roman" w:hAnsi="Times New Roman"/>
        </w:rPr>
        <w:footnoteRef/>
      </w:r>
      <w:r w:rsidRPr="003301B0">
        <w:rPr>
          <w:rFonts w:ascii="Times New Roman" w:hAnsi="Times New Roman"/>
        </w:rPr>
        <w:t xml:space="preserve"> </w:t>
      </w:r>
      <w:r w:rsidRPr="003301B0">
        <w:rPr>
          <w:rFonts w:ascii="Times New Roman" w:hAnsi="Times New Roman"/>
          <w:lang w:eastAsia="ru-RU"/>
        </w:rPr>
        <w:t>Общая теория права и государства /Под ред. В.В. Лазарева. 2-е изд. М., 2005.</w:t>
      </w:r>
    </w:p>
  </w:footnote>
  <w:footnote w:id="5">
    <w:p w:rsidR="00980D7D" w:rsidRDefault="003301B0" w:rsidP="003301B0">
      <w:pPr>
        <w:pStyle w:val="a6"/>
        <w:spacing w:after="0" w:line="240" w:lineRule="auto"/>
        <w:jc w:val="both"/>
      </w:pPr>
      <w:r w:rsidRPr="003301B0">
        <w:rPr>
          <w:rStyle w:val="a8"/>
          <w:rFonts w:ascii="Times New Roman" w:hAnsi="Times New Roman"/>
        </w:rPr>
        <w:footnoteRef/>
      </w:r>
      <w:r w:rsidRPr="003301B0">
        <w:rPr>
          <w:rFonts w:ascii="Times New Roman" w:hAnsi="Times New Roman"/>
        </w:rPr>
        <w:t xml:space="preserve"> Учебник по гражданскому праву. Часть 1. Под ред. Толстого, Сергеева. Проспект. М., 2006.</w:t>
      </w:r>
    </w:p>
  </w:footnote>
  <w:footnote w:id="6">
    <w:p w:rsidR="00980D7D" w:rsidRDefault="003301B0" w:rsidP="00266AE8">
      <w:pPr>
        <w:pStyle w:val="ConsPlusNormal"/>
        <w:widowControl/>
        <w:spacing w:line="360" w:lineRule="auto"/>
        <w:ind w:firstLine="0"/>
        <w:jc w:val="both"/>
      </w:pPr>
      <w:r w:rsidRPr="00266AE8">
        <w:rPr>
          <w:rStyle w:val="a8"/>
          <w:rFonts w:ascii="Times New Roman" w:hAnsi="Times New Roman"/>
        </w:rPr>
        <w:footnoteRef/>
      </w:r>
      <w:r w:rsidRPr="00266AE8">
        <w:rPr>
          <w:rFonts w:ascii="Times New Roman" w:hAnsi="Times New Roman" w:cs="Times New Roman"/>
        </w:rPr>
        <w:t xml:space="preserve"> Малеина М.Н. Личные неимущественные права граждан: понятие, осуществление, защита. М., 2001.</w:t>
      </w:r>
    </w:p>
  </w:footnote>
  <w:footnote w:id="7">
    <w:p w:rsidR="00980D7D" w:rsidRDefault="00266AE8" w:rsidP="00266AE8">
      <w:pPr>
        <w:spacing w:after="0" w:line="360" w:lineRule="auto"/>
        <w:jc w:val="both"/>
      </w:pPr>
      <w:r w:rsidRPr="00266AE8">
        <w:rPr>
          <w:rStyle w:val="a8"/>
          <w:rFonts w:ascii="Times New Roman" w:hAnsi="Times New Roman"/>
        </w:rPr>
        <w:footnoteRef/>
      </w:r>
      <w:r w:rsidRPr="00266AE8">
        <w:rPr>
          <w:rFonts w:ascii="Times New Roman" w:hAnsi="Times New Roman"/>
          <w:sz w:val="20"/>
          <w:szCs w:val="20"/>
        </w:rPr>
        <w:t xml:space="preserve"> </w:t>
      </w:r>
      <w:r w:rsidRPr="00266AE8">
        <w:rPr>
          <w:rFonts w:ascii="Times New Roman" w:hAnsi="Times New Roman"/>
          <w:sz w:val="20"/>
          <w:szCs w:val="20"/>
          <w:lang w:eastAsia="ru-RU"/>
        </w:rPr>
        <w:t>Авакьян С.А. Гражданство Российской Федерации. – м.: Юрист, 2004.</w:t>
      </w:r>
    </w:p>
  </w:footnote>
  <w:footnote w:id="8">
    <w:p w:rsidR="00980D7D" w:rsidRDefault="00BE7BCD" w:rsidP="00BE7BCD">
      <w:pPr>
        <w:pStyle w:val="a6"/>
        <w:spacing w:after="0" w:line="240" w:lineRule="auto"/>
        <w:jc w:val="both"/>
      </w:pPr>
      <w:r w:rsidRPr="00BE7BCD">
        <w:rPr>
          <w:rStyle w:val="a8"/>
          <w:rFonts w:ascii="Times New Roman" w:hAnsi="Times New Roman"/>
        </w:rPr>
        <w:footnoteRef/>
      </w:r>
      <w:r w:rsidRPr="00BE7BCD">
        <w:rPr>
          <w:rFonts w:ascii="Times New Roman" w:hAnsi="Times New Roman"/>
        </w:rPr>
        <w:t xml:space="preserve"> </w:t>
      </w:r>
      <w:r w:rsidRPr="00BE7BCD">
        <w:rPr>
          <w:rFonts w:ascii="Times New Roman" w:hAnsi="Times New Roman"/>
          <w:lang w:eastAsia="ru-RU"/>
        </w:rPr>
        <w:t>Баглай М.В., Габричидзе Б.Н. Конституционное право РФ – М.: НОРМА; ИНФРА-М, 2000</w:t>
      </w:r>
    </w:p>
  </w:footnote>
  <w:footnote w:id="9">
    <w:p w:rsidR="00980D7D" w:rsidRDefault="00BE7BCD" w:rsidP="00BE7BCD">
      <w:pPr>
        <w:pStyle w:val="a6"/>
        <w:spacing w:after="0" w:line="240" w:lineRule="auto"/>
        <w:jc w:val="both"/>
      </w:pPr>
      <w:r w:rsidRPr="00BE7BCD">
        <w:rPr>
          <w:rStyle w:val="a8"/>
          <w:rFonts w:ascii="Times New Roman" w:hAnsi="Times New Roman"/>
        </w:rPr>
        <w:footnoteRef/>
      </w:r>
      <w:r w:rsidRPr="00BE7BCD">
        <w:rPr>
          <w:rFonts w:ascii="Times New Roman" w:hAnsi="Times New Roman"/>
        </w:rPr>
        <w:t xml:space="preserve"> </w:t>
      </w:r>
      <w:r w:rsidRPr="00BE7BCD">
        <w:rPr>
          <w:rFonts w:ascii="Times New Roman" w:hAnsi="Times New Roman"/>
          <w:lang w:eastAsia="ru-RU"/>
        </w:rPr>
        <w:t>Конституционное право России: Учебник / Отв. ред. А. Н. Кокотов и М. И. Кукушкин. М., Юристъ, 2003.</w:t>
      </w:r>
    </w:p>
  </w:footnote>
  <w:footnote w:id="10">
    <w:p w:rsidR="00980D7D" w:rsidRDefault="00BE7BCD" w:rsidP="00BE7BCD">
      <w:pPr>
        <w:pStyle w:val="a6"/>
        <w:spacing w:after="0" w:line="240" w:lineRule="auto"/>
      </w:pPr>
      <w:r w:rsidRPr="00BE7BCD">
        <w:rPr>
          <w:rStyle w:val="a8"/>
          <w:rFonts w:ascii="Times New Roman" w:hAnsi="Times New Roman"/>
        </w:rPr>
        <w:footnoteRef/>
      </w:r>
      <w:r w:rsidRPr="00BE7BCD">
        <w:rPr>
          <w:rFonts w:ascii="Times New Roman" w:hAnsi="Times New Roman"/>
        </w:rPr>
        <w:t xml:space="preserve"> </w:t>
      </w:r>
      <w:r w:rsidRPr="00BE7BCD">
        <w:rPr>
          <w:rFonts w:ascii="Times New Roman" w:hAnsi="Times New Roman"/>
          <w:lang w:eastAsia="ru-RU"/>
        </w:rPr>
        <w:t>Общая теория государства и права. Академический курс в 2-х томах. /Отв. ред. М.Н. Марченко. М., 2002.</w:t>
      </w:r>
    </w:p>
  </w:footnote>
  <w:footnote w:id="11">
    <w:p w:rsidR="00980D7D" w:rsidRDefault="00BE7BCD" w:rsidP="00606E8F">
      <w:pPr>
        <w:spacing w:after="0" w:line="240" w:lineRule="auto"/>
        <w:jc w:val="both"/>
      </w:pPr>
      <w:r w:rsidRPr="00BE7BCD">
        <w:rPr>
          <w:rStyle w:val="a8"/>
          <w:rFonts w:ascii="Times New Roman" w:hAnsi="Times New Roman"/>
        </w:rPr>
        <w:footnoteRef/>
      </w:r>
      <w:r w:rsidRPr="00BE7BCD">
        <w:rPr>
          <w:rFonts w:ascii="Times New Roman" w:hAnsi="Times New Roman"/>
          <w:sz w:val="20"/>
          <w:szCs w:val="20"/>
        </w:rPr>
        <w:t xml:space="preserve"> </w:t>
      </w:r>
      <w:r w:rsidRPr="00BE7BCD">
        <w:rPr>
          <w:rFonts w:ascii="Times New Roman" w:hAnsi="Times New Roman"/>
          <w:sz w:val="20"/>
          <w:szCs w:val="20"/>
          <w:lang w:eastAsia="ru-RU"/>
        </w:rPr>
        <w:t>Конвенция «О защите прав человека и основных свобод (ETS №5)» Совет Европы, Рим, 4 ноября 1950 года (ред. от 11.03.94 г.)</w:t>
      </w:r>
    </w:p>
  </w:footnote>
  <w:footnote w:id="12">
    <w:p w:rsidR="00980D7D" w:rsidRDefault="00456905" w:rsidP="002375E8">
      <w:pPr>
        <w:spacing w:after="0" w:line="240" w:lineRule="auto"/>
        <w:jc w:val="both"/>
      </w:pPr>
      <w:r w:rsidRPr="002375E8">
        <w:rPr>
          <w:rStyle w:val="a8"/>
          <w:rFonts w:ascii="Times New Roman" w:hAnsi="Times New Roman"/>
          <w:sz w:val="20"/>
          <w:szCs w:val="20"/>
        </w:rPr>
        <w:footnoteRef/>
      </w:r>
      <w:r w:rsidRPr="002375E8">
        <w:rPr>
          <w:rFonts w:ascii="Times New Roman" w:hAnsi="Times New Roman"/>
          <w:sz w:val="20"/>
          <w:szCs w:val="20"/>
        </w:rPr>
        <w:t xml:space="preserve"> </w:t>
      </w:r>
      <w:r w:rsidR="002375E8" w:rsidRPr="002375E8">
        <w:rPr>
          <w:rFonts w:ascii="Times New Roman" w:hAnsi="Times New Roman"/>
          <w:sz w:val="20"/>
          <w:szCs w:val="20"/>
          <w:lang w:eastAsia="ru-RU"/>
        </w:rPr>
        <w:t>Безуглов А. А., Солдатов С. А. Конституционное право России. В 3 т. М., Профобразование, 2001.</w:t>
      </w:r>
    </w:p>
  </w:footnote>
  <w:footnote w:id="13">
    <w:p w:rsidR="00980D7D" w:rsidRDefault="002375E8" w:rsidP="002375E8">
      <w:pPr>
        <w:pStyle w:val="a6"/>
        <w:spacing w:after="0" w:line="240" w:lineRule="auto"/>
        <w:jc w:val="both"/>
      </w:pPr>
      <w:r w:rsidRPr="002375E8">
        <w:rPr>
          <w:rStyle w:val="a8"/>
          <w:rFonts w:ascii="Times New Roman" w:hAnsi="Times New Roman"/>
        </w:rPr>
        <w:footnoteRef/>
      </w:r>
      <w:r w:rsidRPr="002375E8">
        <w:rPr>
          <w:rFonts w:ascii="Times New Roman" w:hAnsi="Times New Roman"/>
        </w:rPr>
        <w:t xml:space="preserve"> </w:t>
      </w:r>
      <w:r w:rsidRPr="002375E8">
        <w:rPr>
          <w:rFonts w:ascii="Times New Roman" w:hAnsi="Times New Roman"/>
          <w:lang w:eastAsia="ru-RU"/>
        </w:rPr>
        <w:t>Енгибарян Р. В., Тадевосян Э. В. Конституционное право: Учебник. М., Юристъ, 2000.</w:t>
      </w:r>
    </w:p>
  </w:footnote>
  <w:footnote w:id="14">
    <w:p w:rsidR="00980D7D" w:rsidRDefault="002375E8" w:rsidP="002375E8">
      <w:pPr>
        <w:pStyle w:val="a6"/>
        <w:spacing w:after="0" w:line="240" w:lineRule="auto"/>
        <w:jc w:val="both"/>
      </w:pPr>
      <w:r w:rsidRPr="002375E8">
        <w:rPr>
          <w:rStyle w:val="a8"/>
          <w:rFonts w:ascii="Times New Roman" w:hAnsi="Times New Roman"/>
        </w:rPr>
        <w:footnoteRef/>
      </w:r>
      <w:r w:rsidRPr="002375E8">
        <w:rPr>
          <w:rFonts w:ascii="Times New Roman" w:hAnsi="Times New Roman"/>
        </w:rPr>
        <w:t xml:space="preserve"> </w:t>
      </w:r>
      <w:r w:rsidRPr="002375E8">
        <w:rPr>
          <w:rFonts w:ascii="Times New Roman" w:hAnsi="Times New Roman"/>
          <w:lang w:eastAsia="ru-RU"/>
        </w:rPr>
        <w:t>Козлова Е. И., Кутафин О. Е. Конституционное право России: Учебник. М., Юристъ, 2006.</w:t>
      </w:r>
    </w:p>
  </w:footnote>
  <w:footnote w:id="15">
    <w:p w:rsidR="00980D7D" w:rsidRDefault="000A1067" w:rsidP="000A1067">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Бутылин В.Н. Институт государственно-правовой охраны конституционных прав и свобод. // Журнал российского права. 2001. N 12.</w:t>
      </w:r>
    </w:p>
  </w:footnote>
  <w:footnote w:id="16">
    <w:p w:rsidR="00980D7D" w:rsidRDefault="000A1067" w:rsidP="000A1067">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Мордовец А.С. Социально-юридический механизм обеспечения прав человека и гражданина. - Саратов, 1996. - С. 223.</w:t>
      </w:r>
    </w:p>
  </w:footnote>
  <w:footnote w:id="17">
    <w:p w:rsidR="00980D7D" w:rsidRDefault="000A1067" w:rsidP="00606E8F">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Кабышев В.Т. Защита прав человека - главное направление правовой политики России // Правоведение. 1998. N 1. С. 128.</w:t>
      </w:r>
    </w:p>
  </w:footnote>
  <w:footnote w:id="18">
    <w:p w:rsidR="00980D7D" w:rsidRDefault="000A1067" w:rsidP="000A1067">
      <w:pPr>
        <w:pStyle w:val="a6"/>
        <w:spacing w:after="0" w:line="240" w:lineRule="auto"/>
        <w:jc w:val="both"/>
      </w:pPr>
      <w:r w:rsidRPr="000A1067">
        <w:rPr>
          <w:rStyle w:val="a8"/>
          <w:rFonts w:ascii="Times New Roman" w:hAnsi="Times New Roman"/>
        </w:rPr>
        <w:footnoteRef/>
      </w:r>
      <w:r w:rsidRPr="000A1067">
        <w:rPr>
          <w:rFonts w:ascii="Times New Roman" w:hAnsi="Times New Roman"/>
        </w:rPr>
        <w:t xml:space="preserve"> </w:t>
      </w:r>
      <w:r w:rsidRPr="000A1067">
        <w:rPr>
          <w:rFonts w:ascii="Times New Roman" w:hAnsi="Times New Roman"/>
          <w:lang w:eastAsia="ru-RU"/>
        </w:rPr>
        <w:t>Федеральный закон от 31 мая 2002 года N 63-ФЗ "Об адвокатской деятельности и адвокатуре в Российской Федерации"</w:t>
      </w:r>
    </w:p>
  </w:footnote>
  <w:footnote w:id="19">
    <w:p w:rsidR="00980D7D" w:rsidRDefault="000A1067" w:rsidP="00606E8F">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Федеральный закон от 17 декабря 1998 г. N 188-ФЗ "О мировых судьях в Российской Федерации" // СЗ РФ от 21 декабря 1998 г., N 51, ст. 6270.</w:t>
      </w:r>
    </w:p>
  </w:footnote>
  <w:footnote w:id="20">
    <w:p w:rsidR="00980D7D" w:rsidRDefault="000A1067" w:rsidP="000A1067">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Лучин В.О. Конституционные институты / Современный конституционализм. - М., 2004 г. С. 35</w:t>
      </w:r>
    </w:p>
  </w:footnote>
  <w:footnote w:id="21">
    <w:p w:rsidR="00980D7D" w:rsidRDefault="000A1067" w:rsidP="000A1067">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Синюкова Т.В. Юридические гарантии как метод регулирования правового положения личности // Вопросы теории государства и права. Межвузовский сборник научных работ. - Саратов. 2006г. Вып. 9. С. 150-160</w:t>
      </w:r>
    </w:p>
  </w:footnote>
  <w:footnote w:id="22">
    <w:p w:rsidR="00980D7D" w:rsidRDefault="000A1067" w:rsidP="000A1067">
      <w:pPr>
        <w:spacing w:after="0" w:line="240" w:lineRule="auto"/>
        <w:jc w:val="both"/>
      </w:pPr>
      <w:r w:rsidRPr="000A1067">
        <w:rPr>
          <w:rStyle w:val="a8"/>
          <w:rFonts w:ascii="Times New Roman" w:hAnsi="Times New Roman"/>
          <w:sz w:val="20"/>
          <w:szCs w:val="20"/>
        </w:rPr>
        <w:footnoteRef/>
      </w:r>
      <w:r w:rsidRPr="000A1067">
        <w:rPr>
          <w:rFonts w:ascii="Times New Roman" w:hAnsi="Times New Roman"/>
          <w:sz w:val="20"/>
          <w:szCs w:val="20"/>
        </w:rPr>
        <w:t xml:space="preserve"> </w:t>
      </w:r>
      <w:r w:rsidRPr="000A1067">
        <w:rPr>
          <w:rFonts w:ascii="Times New Roman" w:hAnsi="Times New Roman"/>
          <w:sz w:val="20"/>
          <w:szCs w:val="20"/>
          <w:lang w:eastAsia="ru-RU"/>
        </w:rPr>
        <w:t>Лучин В.О. Конституционные институты / Современный конституционализм. - М., 1990 г. С. 35</w:t>
      </w:r>
    </w:p>
  </w:footnote>
  <w:footnote w:id="23">
    <w:p w:rsidR="00980D7D" w:rsidRDefault="00723030" w:rsidP="00723030">
      <w:pPr>
        <w:spacing w:after="0" w:line="240" w:lineRule="auto"/>
        <w:jc w:val="both"/>
      </w:pPr>
      <w:r w:rsidRPr="00723030">
        <w:rPr>
          <w:rStyle w:val="a8"/>
          <w:rFonts w:ascii="Times New Roman" w:hAnsi="Times New Roman"/>
          <w:sz w:val="20"/>
          <w:szCs w:val="20"/>
        </w:rPr>
        <w:footnoteRef/>
      </w:r>
      <w:r w:rsidRPr="00723030">
        <w:rPr>
          <w:rFonts w:ascii="Times New Roman" w:hAnsi="Times New Roman"/>
          <w:sz w:val="20"/>
          <w:szCs w:val="20"/>
        </w:rPr>
        <w:t xml:space="preserve"> </w:t>
      </w:r>
      <w:r w:rsidRPr="00723030">
        <w:rPr>
          <w:rFonts w:ascii="Times New Roman" w:hAnsi="Times New Roman"/>
          <w:sz w:val="20"/>
          <w:szCs w:val="20"/>
          <w:lang w:eastAsia="ru-RU"/>
        </w:rPr>
        <w:t>Международная защита прав и свобод - возможность обращения в Европейский суд по правам человека или иные международные правозащитные организации в соответствии с международными договорами России в том случае, если исчерпаны все имеющиеся средства правовой защиты внутри страны (пройдены все судебные инстанции).</w:t>
      </w:r>
    </w:p>
  </w:footnote>
  <w:footnote w:id="24">
    <w:p w:rsidR="00980D7D" w:rsidRDefault="00723030" w:rsidP="00723030">
      <w:pPr>
        <w:pStyle w:val="a9"/>
        <w:jc w:val="both"/>
      </w:pPr>
      <w:r w:rsidRPr="00723030">
        <w:rPr>
          <w:rStyle w:val="a8"/>
          <w:rFonts w:ascii="Times New Roman" w:hAnsi="Times New Roman"/>
        </w:rPr>
        <w:footnoteRef/>
      </w:r>
      <w:r w:rsidRPr="00723030">
        <w:rPr>
          <w:rFonts w:ascii="Times New Roman" w:hAnsi="Times New Roman" w:cs="Times New Roman"/>
        </w:rPr>
        <w:t xml:space="preserve"> Грудцына Л.Ю. К вопросу о защите и охране прав и свобод человека и гражданина в Российской Федерации. - Система ГАРАНТ,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51D8D"/>
    <w:multiLevelType w:val="hybridMultilevel"/>
    <w:tmpl w:val="AD18E2C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6CD392F"/>
    <w:multiLevelType w:val="hybridMultilevel"/>
    <w:tmpl w:val="9ECEB58A"/>
    <w:lvl w:ilvl="0" w:tplc="DCB47F2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73163D"/>
    <w:multiLevelType w:val="hybridMultilevel"/>
    <w:tmpl w:val="2F38CE4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674381A"/>
    <w:multiLevelType w:val="singleLevel"/>
    <w:tmpl w:val="DFD6C506"/>
    <w:lvl w:ilvl="0">
      <w:numFmt w:val="bullet"/>
      <w:lvlText w:val="-"/>
      <w:lvlJc w:val="left"/>
      <w:pPr>
        <w:tabs>
          <w:tab w:val="num" w:pos="927"/>
        </w:tabs>
        <w:ind w:left="927" w:hanging="360"/>
      </w:pPr>
      <w:rPr>
        <w:rFonts w:hint="default"/>
      </w:rPr>
    </w:lvl>
  </w:abstractNum>
  <w:abstractNum w:abstractNumId="4">
    <w:nsid w:val="38456070"/>
    <w:multiLevelType w:val="hybridMultilevel"/>
    <w:tmpl w:val="CC1A960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F210785"/>
    <w:multiLevelType w:val="hybridMultilevel"/>
    <w:tmpl w:val="3E78D7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42F130D"/>
    <w:multiLevelType w:val="hybridMultilevel"/>
    <w:tmpl w:val="33D496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1173247"/>
    <w:multiLevelType w:val="hybridMultilevel"/>
    <w:tmpl w:val="A872D038"/>
    <w:lvl w:ilvl="0" w:tplc="95CE7F9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34A6515"/>
    <w:multiLevelType w:val="hybridMultilevel"/>
    <w:tmpl w:val="6B9CC616"/>
    <w:lvl w:ilvl="0" w:tplc="B596E4D0">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6CF8311D"/>
    <w:multiLevelType w:val="hybridMultilevel"/>
    <w:tmpl w:val="4D9A7D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E767604"/>
    <w:multiLevelType w:val="multilevel"/>
    <w:tmpl w:val="56F422F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7408196E"/>
    <w:multiLevelType w:val="hybridMultilevel"/>
    <w:tmpl w:val="70748B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7C2A2BB3"/>
    <w:multiLevelType w:val="multilevel"/>
    <w:tmpl w:val="6A1AFCC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9"/>
  </w:num>
  <w:num w:numId="2">
    <w:abstractNumId w:val="7"/>
  </w:num>
  <w:num w:numId="3">
    <w:abstractNumId w:val="3"/>
  </w:num>
  <w:num w:numId="4">
    <w:abstractNumId w:val="1"/>
  </w:num>
  <w:num w:numId="5">
    <w:abstractNumId w:val="5"/>
  </w:num>
  <w:num w:numId="6">
    <w:abstractNumId w:val="4"/>
  </w:num>
  <w:num w:numId="7">
    <w:abstractNumId w:val="0"/>
  </w:num>
  <w:num w:numId="8">
    <w:abstractNumId w:val="11"/>
  </w:num>
  <w:num w:numId="9">
    <w:abstractNumId w:val="10"/>
  </w:num>
  <w:num w:numId="10">
    <w:abstractNumId w:val="8"/>
  </w:num>
  <w:num w:numId="11">
    <w:abstractNumId w:val="12"/>
  </w:num>
  <w:num w:numId="12">
    <w:abstractNumId w:val="6"/>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09E"/>
    <w:rsid w:val="000122DB"/>
    <w:rsid w:val="00073D6E"/>
    <w:rsid w:val="000A1067"/>
    <w:rsid w:val="000E2E01"/>
    <w:rsid w:val="001F534A"/>
    <w:rsid w:val="002120C0"/>
    <w:rsid w:val="002320A1"/>
    <w:rsid w:val="002347AA"/>
    <w:rsid w:val="0023749C"/>
    <w:rsid w:val="002375E8"/>
    <w:rsid w:val="00266AE8"/>
    <w:rsid w:val="002C5A5B"/>
    <w:rsid w:val="002D337D"/>
    <w:rsid w:val="003012F9"/>
    <w:rsid w:val="00314633"/>
    <w:rsid w:val="003301B0"/>
    <w:rsid w:val="00346603"/>
    <w:rsid w:val="003502CF"/>
    <w:rsid w:val="0036083F"/>
    <w:rsid w:val="00376371"/>
    <w:rsid w:val="003E729B"/>
    <w:rsid w:val="0041637B"/>
    <w:rsid w:val="00456905"/>
    <w:rsid w:val="004770B3"/>
    <w:rsid w:val="00482B09"/>
    <w:rsid w:val="004973CE"/>
    <w:rsid w:val="004A39B9"/>
    <w:rsid w:val="004B0FAA"/>
    <w:rsid w:val="004D310E"/>
    <w:rsid w:val="00505276"/>
    <w:rsid w:val="005209CB"/>
    <w:rsid w:val="005E096D"/>
    <w:rsid w:val="00606E8F"/>
    <w:rsid w:val="00662D3C"/>
    <w:rsid w:val="00684E79"/>
    <w:rsid w:val="00696574"/>
    <w:rsid w:val="006D0CEA"/>
    <w:rsid w:val="0070339F"/>
    <w:rsid w:val="00705D19"/>
    <w:rsid w:val="00715F43"/>
    <w:rsid w:val="00723030"/>
    <w:rsid w:val="00750537"/>
    <w:rsid w:val="0076142C"/>
    <w:rsid w:val="0077430D"/>
    <w:rsid w:val="007B1D41"/>
    <w:rsid w:val="007B2936"/>
    <w:rsid w:val="007F1BB1"/>
    <w:rsid w:val="008128F5"/>
    <w:rsid w:val="00874440"/>
    <w:rsid w:val="00886963"/>
    <w:rsid w:val="008C28BC"/>
    <w:rsid w:val="009105E4"/>
    <w:rsid w:val="00953CA6"/>
    <w:rsid w:val="00966124"/>
    <w:rsid w:val="00980D7D"/>
    <w:rsid w:val="0099568B"/>
    <w:rsid w:val="009B22B0"/>
    <w:rsid w:val="009B709E"/>
    <w:rsid w:val="009F2A97"/>
    <w:rsid w:val="00A77AAC"/>
    <w:rsid w:val="00A817E5"/>
    <w:rsid w:val="00AF1385"/>
    <w:rsid w:val="00B050A5"/>
    <w:rsid w:val="00B4085D"/>
    <w:rsid w:val="00B418D4"/>
    <w:rsid w:val="00B42B33"/>
    <w:rsid w:val="00B4738F"/>
    <w:rsid w:val="00BA4A33"/>
    <w:rsid w:val="00BE7BCD"/>
    <w:rsid w:val="00BE7DD3"/>
    <w:rsid w:val="00BF2399"/>
    <w:rsid w:val="00D742E4"/>
    <w:rsid w:val="00D944A5"/>
    <w:rsid w:val="00DC2A1A"/>
    <w:rsid w:val="00DC437A"/>
    <w:rsid w:val="00E404D4"/>
    <w:rsid w:val="00E53590"/>
    <w:rsid w:val="00EC412A"/>
    <w:rsid w:val="00EF3514"/>
    <w:rsid w:val="00F10F89"/>
    <w:rsid w:val="00FA033A"/>
    <w:rsid w:val="00FA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8A5D47-4B59-4D6B-BD33-B71EDB6B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603"/>
    <w:pPr>
      <w:spacing w:after="200" w:line="276" w:lineRule="auto"/>
    </w:pPr>
    <w:rPr>
      <w:sz w:val="22"/>
      <w:szCs w:val="22"/>
      <w:lang w:eastAsia="en-US"/>
    </w:rPr>
  </w:style>
  <w:style w:type="paragraph" w:styleId="1">
    <w:name w:val="heading 1"/>
    <w:basedOn w:val="a"/>
    <w:next w:val="a"/>
    <w:link w:val="10"/>
    <w:uiPriority w:val="99"/>
    <w:qFormat/>
    <w:rsid w:val="00EC412A"/>
    <w:pPr>
      <w:autoSpaceDE w:val="0"/>
      <w:autoSpaceDN w:val="0"/>
      <w:adjustRightInd w:val="0"/>
      <w:spacing w:before="108" w:after="108" w:line="240" w:lineRule="auto"/>
      <w:jc w:val="center"/>
      <w:outlineLvl w:val="0"/>
    </w:pPr>
    <w:rPr>
      <w:rFonts w:ascii="Arial" w:hAnsi="Arial" w:cs="Arial"/>
      <w:b/>
      <w:bCs/>
      <w:color w:val="000080"/>
      <w:sz w:val="20"/>
      <w:szCs w:val="20"/>
      <w:lang w:eastAsia="ru-RU"/>
    </w:rPr>
  </w:style>
  <w:style w:type="paragraph" w:styleId="2">
    <w:name w:val="heading 2"/>
    <w:basedOn w:val="a"/>
    <w:next w:val="a"/>
    <w:link w:val="20"/>
    <w:uiPriority w:val="9"/>
    <w:unhideWhenUsed/>
    <w:qFormat/>
    <w:rsid w:val="000E2E01"/>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0E2E01"/>
    <w:pPr>
      <w:keepNext/>
      <w:spacing w:before="240" w:after="60"/>
      <w:outlineLvl w:val="2"/>
    </w:pPr>
    <w:rPr>
      <w:rFonts w:ascii="Cambria" w:hAnsi="Cambria"/>
      <w:b/>
      <w:bCs/>
      <w:sz w:val="26"/>
      <w:szCs w:val="26"/>
    </w:rPr>
  </w:style>
  <w:style w:type="paragraph" w:styleId="5">
    <w:name w:val="heading 5"/>
    <w:basedOn w:val="a"/>
    <w:next w:val="a"/>
    <w:link w:val="50"/>
    <w:uiPriority w:val="9"/>
    <w:unhideWhenUsed/>
    <w:qFormat/>
    <w:rsid w:val="00DC2A1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C412A"/>
    <w:rPr>
      <w:rFonts w:ascii="Arial" w:hAnsi="Arial" w:cs="Arial"/>
      <w:b/>
      <w:bCs/>
      <w:color w:val="000080"/>
    </w:rPr>
  </w:style>
  <w:style w:type="character" w:customStyle="1" w:styleId="20">
    <w:name w:val="Заголовок 2 Знак"/>
    <w:link w:val="2"/>
    <w:uiPriority w:val="9"/>
    <w:locked/>
    <w:rsid w:val="000E2E01"/>
    <w:rPr>
      <w:rFonts w:ascii="Cambria" w:hAnsi="Cambria" w:cs="Times New Roman"/>
      <w:b/>
      <w:bCs/>
      <w:i/>
      <w:iCs/>
      <w:sz w:val="28"/>
      <w:szCs w:val="28"/>
      <w:lang w:val="x-none" w:eastAsia="en-US"/>
    </w:rPr>
  </w:style>
  <w:style w:type="character" w:customStyle="1" w:styleId="30">
    <w:name w:val="Заголовок 3 Знак"/>
    <w:link w:val="3"/>
    <w:uiPriority w:val="9"/>
    <w:semiHidden/>
    <w:locked/>
    <w:rsid w:val="000E2E01"/>
    <w:rPr>
      <w:rFonts w:ascii="Cambria" w:hAnsi="Cambria" w:cs="Times New Roman"/>
      <w:b/>
      <w:bCs/>
      <w:sz w:val="26"/>
      <w:szCs w:val="26"/>
      <w:lang w:val="x-none" w:eastAsia="en-US"/>
    </w:rPr>
  </w:style>
  <w:style w:type="character" w:customStyle="1" w:styleId="50">
    <w:name w:val="Заголовок 5 Знак"/>
    <w:link w:val="5"/>
    <w:uiPriority w:val="9"/>
    <w:locked/>
    <w:rsid w:val="00DC2A1A"/>
    <w:rPr>
      <w:rFonts w:ascii="Calibri" w:hAnsi="Calibri" w:cs="Times New Roman"/>
      <w:b/>
      <w:bCs/>
      <w:i/>
      <w:iCs/>
      <w:sz w:val="26"/>
      <w:szCs w:val="26"/>
      <w:lang w:val="x-none" w:eastAsia="en-US"/>
    </w:rPr>
  </w:style>
  <w:style w:type="paragraph" w:styleId="a3">
    <w:name w:val="endnote text"/>
    <w:basedOn w:val="a"/>
    <w:link w:val="a4"/>
    <w:uiPriority w:val="99"/>
    <w:semiHidden/>
    <w:unhideWhenUsed/>
    <w:rsid w:val="002D337D"/>
    <w:rPr>
      <w:sz w:val="20"/>
      <w:szCs w:val="20"/>
    </w:rPr>
  </w:style>
  <w:style w:type="character" w:customStyle="1" w:styleId="a4">
    <w:name w:val="Текст концевой сноски Знак"/>
    <w:link w:val="a3"/>
    <w:uiPriority w:val="99"/>
    <w:semiHidden/>
    <w:locked/>
    <w:rsid w:val="002D337D"/>
    <w:rPr>
      <w:rFonts w:cs="Times New Roman"/>
      <w:lang w:val="x-none" w:eastAsia="en-US"/>
    </w:rPr>
  </w:style>
  <w:style w:type="character" w:styleId="a5">
    <w:name w:val="endnote reference"/>
    <w:uiPriority w:val="99"/>
    <w:semiHidden/>
    <w:unhideWhenUsed/>
    <w:rsid w:val="002D337D"/>
    <w:rPr>
      <w:rFonts w:cs="Times New Roman"/>
      <w:vertAlign w:val="superscript"/>
    </w:rPr>
  </w:style>
  <w:style w:type="paragraph" w:styleId="a6">
    <w:name w:val="footnote text"/>
    <w:basedOn w:val="a"/>
    <w:link w:val="a7"/>
    <w:uiPriority w:val="99"/>
    <w:semiHidden/>
    <w:unhideWhenUsed/>
    <w:rsid w:val="002D337D"/>
    <w:rPr>
      <w:sz w:val="20"/>
      <w:szCs w:val="20"/>
    </w:rPr>
  </w:style>
  <w:style w:type="character" w:customStyle="1" w:styleId="a7">
    <w:name w:val="Текст сноски Знак"/>
    <w:link w:val="a6"/>
    <w:uiPriority w:val="99"/>
    <w:semiHidden/>
    <w:locked/>
    <w:rsid w:val="002D337D"/>
    <w:rPr>
      <w:rFonts w:cs="Times New Roman"/>
      <w:lang w:val="x-none" w:eastAsia="en-US"/>
    </w:rPr>
  </w:style>
  <w:style w:type="character" w:styleId="a8">
    <w:name w:val="footnote reference"/>
    <w:uiPriority w:val="99"/>
    <w:semiHidden/>
    <w:unhideWhenUsed/>
    <w:rsid w:val="002D337D"/>
    <w:rPr>
      <w:rFonts w:cs="Times New Roman"/>
      <w:vertAlign w:val="superscript"/>
    </w:rPr>
  </w:style>
  <w:style w:type="paragraph" w:customStyle="1" w:styleId="a9">
    <w:name w:val="Прижатый влево"/>
    <w:basedOn w:val="a"/>
    <w:next w:val="a"/>
    <w:uiPriority w:val="99"/>
    <w:rsid w:val="002C5A5B"/>
    <w:pPr>
      <w:autoSpaceDE w:val="0"/>
      <w:autoSpaceDN w:val="0"/>
      <w:adjustRightInd w:val="0"/>
      <w:spacing w:after="0" w:line="240" w:lineRule="auto"/>
    </w:pPr>
    <w:rPr>
      <w:rFonts w:ascii="Arial" w:hAnsi="Arial" w:cs="Arial"/>
      <w:sz w:val="20"/>
      <w:szCs w:val="20"/>
      <w:lang w:eastAsia="ru-RU"/>
    </w:rPr>
  </w:style>
  <w:style w:type="paragraph" w:styleId="aa">
    <w:name w:val="header"/>
    <w:basedOn w:val="a"/>
    <w:link w:val="ab"/>
    <w:uiPriority w:val="99"/>
    <w:unhideWhenUsed/>
    <w:rsid w:val="00696574"/>
    <w:pPr>
      <w:tabs>
        <w:tab w:val="center" w:pos="4677"/>
        <w:tab w:val="right" w:pos="9355"/>
      </w:tabs>
    </w:pPr>
  </w:style>
  <w:style w:type="character" w:customStyle="1" w:styleId="ab">
    <w:name w:val="Верхний колонтитул Знак"/>
    <w:link w:val="aa"/>
    <w:uiPriority w:val="99"/>
    <w:semiHidden/>
    <w:locked/>
    <w:rsid w:val="00696574"/>
    <w:rPr>
      <w:rFonts w:cs="Times New Roman"/>
      <w:sz w:val="22"/>
      <w:szCs w:val="22"/>
      <w:lang w:val="x-none" w:eastAsia="en-US"/>
    </w:rPr>
  </w:style>
  <w:style w:type="paragraph" w:styleId="ac">
    <w:name w:val="footer"/>
    <w:basedOn w:val="a"/>
    <w:link w:val="ad"/>
    <w:uiPriority w:val="99"/>
    <w:unhideWhenUsed/>
    <w:rsid w:val="00696574"/>
    <w:pPr>
      <w:tabs>
        <w:tab w:val="center" w:pos="4677"/>
        <w:tab w:val="right" w:pos="9355"/>
      </w:tabs>
    </w:pPr>
  </w:style>
  <w:style w:type="character" w:customStyle="1" w:styleId="ad">
    <w:name w:val="Нижний колонтитул Знак"/>
    <w:link w:val="ac"/>
    <w:uiPriority w:val="99"/>
    <w:locked/>
    <w:rsid w:val="00696574"/>
    <w:rPr>
      <w:rFonts w:cs="Times New Roman"/>
      <w:sz w:val="22"/>
      <w:szCs w:val="22"/>
      <w:lang w:val="x-none" w:eastAsia="en-US"/>
    </w:rPr>
  </w:style>
  <w:style w:type="paragraph" w:styleId="ae">
    <w:name w:val="Body Text Indent"/>
    <w:basedOn w:val="a"/>
    <w:link w:val="af"/>
    <w:uiPriority w:val="99"/>
    <w:rsid w:val="00953CA6"/>
    <w:pPr>
      <w:widowControl w:val="0"/>
      <w:autoSpaceDE w:val="0"/>
      <w:autoSpaceDN w:val="0"/>
      <w:adjustRightInd w:val="0"/>
      <w:spacing w:after="0" w:line="240" w:lineRule="auto"/>
      <w:ind w:firstLine="567"/>
      <w:jc w:val="both"/>
    </w:pPr>
    <w:rPr>
      <w:rFonts w:ascii="Times New Roman" w:hAnsi="Times New Roman"/>
      <w:color w:val="0000FF"/>
      <w:sz w:val="24"/>
      <w:szCs w:val="23"/>
      <w:lang w:eastAsia="ru-RU"/>
    </w:rPr>
  </w:style>
  <w:style w:type="character" w:customStyle="1" w:styleId="af">
    <w:name w:val="Основной текст с отступом Знак"/>
    <w:link w:val="ae"/>
    <w:uiPriority w:val="99"/>
    <w:locked/>
    <w:rsid w:val="00953CA6"/>
    <w:rPr>
      <w:rFonts w:ascii="Times New Roman" w:hAnsi="Times New Roman" w:cs="Times New Roman"/>
      <w:color w:val="0000FF"/>
      <w:sz w:val="23"/>
      <w:szCs w:val="23"/>
    </w:rPr>
  </w:style>
  <w:style w:type="paragraph" w:styleId="31">
    <w:name w:val="Body Text Indent 3"/>
    <w:basedOn w:val="a"/>
    <w:link w:val="32"/>
    <w:uiPriority w:val="99"/>
    <w:semiHidden/>
    <w:unhideWhenUsed/>
    <w:rsid w:val="000E2E01"/>
    <w:pPr>
      <w:spacing w:after="120"/>
      <w:ind w:left="283"/>
    </w:pPr>
    <w:rPr>
      <w:sz w:val="16"/>
      <w:szCs w:val="16"/>
    </w:rPr>
  </w:style>
  <w:style w:type="character" w:customStyle="1" w:styleId="32">
    <w:name w:val="Основной текст с отступом 3 Знак"/>
    <w:link w:val="31"/>
    <w:uiPriority w:val="99"/>
    <w:semiHidden/>
    <w:locked/>
    <w:rsid w:val="000E2E01"/>
    <w:rPr>
      <w:rFonts w:cs="Times New Roman"/>
      <w:sz w:val="16"/>
      <w:szCs w:val="16"/>
      <w:lang w:val="x-none" w:eastAsia="en-US"/>
    </w:rPr>
  </w:style>
  <w:style w:type="paragraph" w:customStyle="1" w:styleId="ConsPlusNormal">
    <w:name w:val="ConsPlusNormal"/>
    <w:uiPriority w:val="99"/>
    <w:rsid w:val="00D944A5"/>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Ука</b:Tag>
    <b:SourceType>Book</b:SourceType>
    <b:Guid>{913F7464-4660-4370-A8E1-5CFF37B34596}</b:Guid>
    <b:LCID>ru-RU</b:LCID>
    <b:Title>Указ Президента РФ № 2233 от 21 декабря 1993 г. «Об упразднении Министерства безопасности Российской Федерации и создания Федеральной службы контрразведки Российской Федерации»</b:Title>
    <b:RefOrder>1</b:RefOrder>
  </b:Source>
</b:Sources>
</file>

<file path=customXml/itemProps1.xml><?xml version="1.0" encoding="utf-8"?>
<ds:datastoreItem xmlns:ds="http://schemas.openxmlformats.org/officeDocument/2006/customXml" ds:itemID="{B487289E-AC21-4FD9-931B-4F83A90E7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7375</Words>
  <Characters>42043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МУК "ОКЦ"</Company>
  <LinksUpToDate>false</LinksUpToDate>
  <CharactersWithSpaces>49320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Ткачев А.С.</dc:creator>
  <cp:keywords/>
  <dc:description/>
  <cp:lastModifiedBy>admin</cp:lastModifiedBy>
  <cp:revision>2</cp:revision>
  <dcterms:created xsi:type="dcterms:W3CDTF">2014-03-06T09:54:00Z</dcterms:created>
  <dcterms:modified xsi:type="dcterms:W3CDTF">2014-03-06T09:54:00Z</dcterms:modified>
</cp:coreProperties>
</file>