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C05" w:rsidRDefault="00985C05" w:rsidP="00985C05">
      <w:pPr>
        <w:pStyle w:val="31"/>
        <w:rPr>
          <w:color w:val="000000"/>
        </w:rPr>
      </w:pPr>
      <w:r>
        <w:rPr>
          <w:color w:val="000000"/>
        </w:rPr>
        <w:t>Реферат</w:t>
      </w:r>
      <w:r w:rsidR="00A4794A">
        <w:rPr>
          <w:color w:val="000000"/>
        </w:rPr>
        <w:t xml:space="preserve"> по проекту РНП.2.1.1.4139</w:t>
      </w:r>
    </w:p>
    <w:p w:rsidR="00985C05" w:rsidRDefault="00985C05" w:rsidP="00985C05">
      <w:pPr>
        <w:pStyle w:val="10"/>
        <w:spacing w:line="360" w:lineRule="auto"/>
        <w:ind w:firstLine="426"/>
        <w:jc w:val="both"/>
        <w:rPr>
          <w:color w:val="000000"/>
        </w:rPr>
      </w:pPr>
    </w:p>
    <w:p w:rsidR="00985C05" w:rsidRDefault="00985C05" w:rsidP="00985C05">
      <w:pPr>
        <w:pStyle w:val="10"/>
        <w:spacing w:line="360" w:lineRule="auto"/>
        <w:ind w:firstLine="426"/>
        <w:jc w:val="both"/>
        <w:rPr>
          <w:sz w:val="24"/>
        </w:rPr>
      </w:pPr>
      <w:r>
        <w:rPr>
          <w:sz w:val="24"/>
        </w:rPr>
        <w:t>Отчет 114 с., 1 ч., 66 рис., 11 табл.,  114 источников.</w:t>
      </w:r>
    </w:p>
    <w:p w:rsidR="00985C05" w:rsidRDefault="00985C05" w:rsidP="00985C05">
      <w:pPr>
        <w:pStyle w:val="10"/>
        <w:jc w:val="both"/>
      </w:pPr>
      <w:r>
        <w:t>САМООРГАНИЗАЦИЯ, СЛОЖНЫЕ МОЛЕКУЛЫ, НАНОСТРУКТУРЫ, ПОЛИМЕРНЫЕ ПЛЕНКИ, КВАНТОВОХИМИЧЕСКИЕ РАСЧЕТЫ, ТЕТРАПИРРОЛЬНЫЕ СОЕДИНЕНИЯ, КВАНТОВЫЕ ТОЧКИ, СТЕКИНГ-АГРЕГАТЫ.</w:t>
      </w:r>
    </w:p>
    <w:p w:rsidR="00985C05" w:rsidRDefault="00985C05" w:rsidP="00985C05">
      <w:pPr>
        <w:pStyle w:val="10"/>
        <w:jc w:val="both"/>
        <w:rPr>
          <w:sz w:val="24"/>
        </w:rPr>
      </w:pPr>
    </w:p>
    <w:p w:rsidR="00985C05" w:rsidRDefault="00985C05" w:rsidP="00985C05">
      <w:pPr>
        <w:pStyle w:val="10"/>
        <w:numPr>
          <w:ilvl w:val="0"/>
          <w:numId w:val="1"/>
        </w:numPr>
        <w:spacing w:line="360" w:lineRule="exact"/>
        <w:jc w:val="both"/>
        <w:rPr>
          <w:sz w:val="24"/>
        </w:rPr>
      </w:pPr>
      <w:r>
        <w:rPr>
          <w:b/>
          <w:sz w:val="24"/>
        </w:rPr>
        <w:t>Объект исследования</w:t>
      </w:r>
      <w:r>
        <w:rPr>
          <w:sz w:val="24"/>
        </w:rPr>
        <w:t>– сложные молекулы, их агрегированные формы, кластеры и наноструктуры, находящиеся в гетерогенных условиях.</w:t>
      </w:r>
    </w:p>
    <w:p w:rsidR="00985C05" w:rsidRDefault="00985C05" w:rsidP="00985C05">
      <w:pPr>
        <w:pStyle w:val="10"/>
        <w:numPr>
          <w:ilvl w:val="0"/>
          <w:numId w:val="1"/>
        </w:numPr>
        <w:spacing w:line="360" w:lineRule="exact"/>
        <w:jc w:val="both"/>
        <w:rPr>
          <w:sz w:val="24"/>
        </w:rPr>
      </w:pPr>
      <w:r>
        <w:rPr>
          <w:b/>
          <w:sz w:val="24"/>
        </w:rPr>
        <w:t>Цель работы</w:t>
      </w:r>
      <w:r>
        <w:rPr>
          <w:sz w:val="24"/>
        </w:rPr>
        <w:t xml:space="preserve"> - Исследование роли физико-химических факторов в процессах самоорганизации сложных органических молекул на границах раздела фаз.</w:t>
      </w:r>
    </w:p>
    <w:p w:rsidR="00985C05" w:rsidRDefault="00985C05" w:rsidP="00985C05">
      <w:pPr>
        <w:pStyle w:val="10"/>
        <w:numPr>
          <w:ilvl w:val="0"/>
          <w:numId w:val="2"/>
        </w:numPr>
        <w:tabs>
          <w:tab w:val="clear" w:pos="720"/>
          <w:tab w:val="num" w:pos="360"/>
        </w:tabs>
        <w:spacing w:line="360" w:lineRule="exact"/>
        <w:ind w:left="360"/>
        <w:jc w:val="both"/>
        <w:rPr>
          <w:sz w:val="24"/>
        </w:rPr>
      </w:pPr>
      <w:r>
        <w:rPr>
          <w:b/>
          <w:sz w:val="24"/>
        </w:rPr>
        <w:t>Методы исследования</w:t>
      </w:r>
      <w:r>
        <w:rPr>
          <w:sz w:val="24"/>
        </w:rPr>
        <w:t xml:space="preserve"> – двойное лучепреломления, метод наклонного поляризованного луча, спектрофотометрические (в УФ, видимом и ИК диапазонах), масс-спектрометрические, люминесцентные, ядерный магнитный резонанс, квантово-химические расчеты. </w:t>
      </w:r>
    </w:p>
    <w:p w:rsidR="00985C05" w:rsidRDefault="00985C05" w:rsidP="00985C05">
      <w:pPr>
        <w:pStyle w:val="10"/>
        <w:numPr>
          <w:ilvl w:val="0"/>
          <w:numId w:val="2"/>
        </w:numPr>
        <w:tabs>
          <w:tab w:val="clear" w:pos="720"/>
          <w:tab w:val="num" w:pos="360"/>
        </w:tabs>
        <w:spacing w:line="360" w:lineRule="exact"/>
        <w:ind w:left="360"/>
        <w:jc w:val="both"/>
        <w:rPr>
          <w:sz w:val="24"/>
        </w:rPr>
      </w:pPr>
      <w:r>
        <w:rPr>
          <w:b/>
          <w:sz w:val="24"/>
        </w:rPr>
        <w:t>Результаты работы:</w:t>
      </w:r>
    </w:p>
    <w:p w:rsidR="00985C05" w:rsidRDefault="00985C05" w:rsidP="00985C05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exact"/>
        <w:ind w:left="567" w:hanging="567"/>
        <w:jc w:val="both"/>
        <w:rPr>
          <w:sz w:val="24"/>
        </w:rPr>
      </w:pPr>
      <w:r>
        <w:rPr>
          <w:sz w:val="24"/>
        </w:rPr>
        <w:t>Разработана концепция самоорганизации сложных органических молекул на границе раздела фаз.</w:t>
      </w:r>
    </w:p>
    <w:p w:rsidR="00985C05" w:rsidRDefault="00985C05" w:rsidP="00985C05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exact"/>
        <w:ind w:left="567" w:hanging="567"/>
        <w:jc w:val="both"/>
        <w:rPr>
          <w:sz w:val="24"/>
        </w:rPr>
      </w:pPr>
      <w:r>
        <w:rPr>
          <w:sz w:val="24"/>
        </w:rPr>
        <w:t xml:space="preserve">Построена модель ориентационного порядка и самосборки цепных молекул на межфазных границах. Для поверхностных слоев, состоящих из палочкообразных и дискотических молекул, обнаружена зависимость изменения плотности упаковки от глубины слоя. Разработана компьютерная модель зависимости параметра ориентационного порядка </w:t>
      </w:r>
      <w:r>
        <w:rPr>
          <w:sz w:val="24"/>
          <w:lang w:val="en-US"/>
        </w:rPr>
        <w:t>S</w:t>
      </w:r>
      <w:r>
        <w:rPr>
          <w:sz w:val="24"/>
        </w:rPr>
        <w:t xml:space="preserve"> от степени геометрической асимметрии молекулы </w:t>
      </w:r>
      <w:r>
        <w:rPr>
          <w:sz w:val="24"/>
          <w:lang w:val="en-US"/>
        </w:rPr>
        <w:t>P</w:t>
      </w:r>
      <w:r>
        <w:rPr>
          <w:sz w:val="24"/>
        </w:rPr>
        <w:t xml:space="preserve">. Обнаружено количественное соответствие теоретических и экспериментальных зависимостей </w:t>
      </w:r>
      <w:r>
        <w:rPr>
          <w:sz w:val="24"/>
          <w:lang w:val="en-US"/>
        </w:rPr>
        <w:t>S</w:t>
      </w:r>
      <w:r>
        <w:rPr>
          <w:sz w:val="24"/>
        </w:rPr>
        <w:t xml:space="preserve"> от </w:t>
      </w:r>
      <w:r>
        <w:rPr>
          <w:sz w:val="24"/>
          <w:lang w:val="en-US"/>
        </w:rPr>
        <w:t>P</w:t>
      </w:r>
      <w:r>
        <w:rPr>
          <w:sz w:val="24"/>
        </w:rPr>
        <w:t>.</w:t>
      </w:r>
    </w:p>
    <w:p w:rsidR="00985C05" w:rsidRDefault="00985C05" w:rsidP="00985C05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exact"/>
        <w:ind w:left="567" w:hanging="567"/>
        <w:jc w:val="both"/>
        <w:rPr>
          <w:sz w:val="24"/>
        </w:rPr>
      </w:pPr>
      <w:r>
        <w:rPr>
          <w:sz w:val="24"/>
        </w:rPr>
        <w:t xml:space="preserve">Подтверждена экспоненциальная зависимость параметра </w:t>
      </w:r>
      <w:r>
        <w:rPr>
          <w:sz w:val="24"/>
          <w:lang w:val="en-US"/>
        </w:rPr>
        <w:t>S</w:t>
      </w:r>
      <w:r>
        <w:rPr>
          <w:sz w:val="24"/>
        </w:rPr>
        <w:t xml:space="preserve"> от расстояния слоя до межфазной границы. Разработана методика получения количественных характеристик процесса самоорганизации и самосборки молекул различной архитектуры на межфазных границах.</w:t>
      </w:r>
    </w:p>
    <w:p w:rsidR="00985C05" w:rsidRDefault="00985C05" w:rsidP="00985C05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exact"/>
        <w:ind w:left="567" w:hanging="567"/>
        <w:jc w:val="both"/>
        <w:rPr>
          <w:sz w:val="24"/>
        </w:rPr>
      </w:pPr>
      <w:r>
        <w:rPr>
          <w:sz w:val="24"/>
        </w:rPr>
        <w:t xml:space="preserve">Нанокристаллы, возникающие в результате самоорганизации молекул фталоцианина магния на поверхности диоксида кремния, проявили фотокаталитическую активность в реакции разложения воды. Эффективность нанокристаллов фталоцианина магния в качестве фотосенсибилизатора разложения воды в 3 раза выше, чем у молекул </w:t>
      </w:r>
      <w:r>
        <w:rPr>
          <w:sz w:val="24"/>
          <w:lang w:val="en-US"/>
        </w:rPr>
        <w:t>Mg</w:t>
      </w:r>
      <w:r>
        <w:rPr>
          <w:sz w:val="24"/>
        </w:rPr>
        <w:t xml:space="preserve">Фц. в гетерогенной системе, состоящей из фотосенсибилизатора, промежуточного переносчика электрона и катализатора выделения водорода </w:t>
      </w:r>
      <w:r>
        <w:rPr>
          <w:sz w:val="24"/>
        </w:rPr>
        <w:sym w:font="Symbol" w:char="F02D"/>
      </w:r>
      <w:r>
        <w:rPr>
          <w:sz w:val="24"/>
        </w:rPr>
        <w:t xml:space="preserve"> мелкодисперсной платины.</w:t>
      </w:r>
    </w:p>
    <w:p w:rsidR="00985C05" w:rsidRDefault="00985C05" w:rsidP="00985C05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exact"/>
        <w:ind w:left="567" w:hanging="567"/>
        <w:jc w:val="both"/>
        <w:rPr>
          <w:sz w:val="24"/>
        </w:rPr>
      </w:pPr>
      <w:r>
        <w:rPr>
          <w:sz w:val="24"/>
        </w:rPr>
        <w:t>Разработан метод характеризации структуры нано</w:t>
      </w:r>
      <w:r>
        <w:rPr>
          <w:sz w:val="24"/>
        </w:rPr>
        <w:sym w:font="Symbol" w:char="F02D"/>
      </w:r>
      <w:r>
        <w:rPr>
          <w:sz w:val="24"/>
        </w:rPr>
        <w:t>пористых неорганических матриц, синтезированных методом репликации самоорганизующихся органических систем, основанный на определении химических сдвигов в спектрах ЯМР адсорбированных молекул</w:t>
      </w:r>
      <w:r>
        <w:rPr>
          <w:sz w:val="24"/>
        </w:rPr>
        <w:sym w:font="Symbol" w:char="F02D"/>
      </w:r>
      <w:r>
        <w:rPr>
          <w:sz w:val="24"/>
        </w:rPr>
        <w:t xml:space="preserve">зондов. </w:t>
      </w:r>
    </w:p>
    <w:p w:rsidR="00985C05" w:rsidRDefault="00985C05" w:rsidP="00985C05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exact"/>
        <w:ind w:left="567" w:hanging="567"/>
        <w:jc w:val="both"/>
        <w:rPr>
          <w:sz w:val="24"/>
        </w:rPr>
      </w:pPr>
      <w:r>
        <w:rPr>
          <w:sz w:val="24"/>
        </w:rPr>
        <w:t>Показано, что квантовые точки в водном растворе при взаимодействии с противоположно заряженными порфириновыми молекулами соединений образуют ассоциаты, в которых вокруг одной молекулы порфирина может образовываться конгломерат из 6, 7 и более квантовых точек, что приводит к эффективному тушение как люминесценции всех КТ, образующих конгломерат, так и порфириновой молекулы. Экспериментально обнаружено наличие нескольких спектрально различных форм порфирина, находящихся в состоянии ассоциации с КТ. Предложена математическая модель тушения люминесценции КТ и порфириновых молекул в зависимости от соотношения их концентраций.</w:t>
      </w:r>
    </w:p>
    <w:p w:rsidR="00985C05" w:rsidRDefault="00985C05" w:rsidP="00985C05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exact"/>
        <w:ind w:left="567" w:hanging="567"/>
        <w:jc w:val="both"/>
        <w:rPr>
          <w:sz w:val="24"/>
        </w:rPr>
      </w:pPr>
      <w:r>
        <w:rPr>
          <w:sz w:val="24"/>
        </w:rPr>
        <w:t xml:space="preserve">Проведено квантовохимическое исследование энергий и интенсивностей электронных </w:t>
      </w:r>
      <w:r>
        <w:rPr>
          <w:sz w:val="24"/>
          <w:lang w:val="en-US"/>
        </w:rPr>
        <w:t>Fe</w:t>
      </w:r>
      <w:r>
        <w:rPr>
          <w:sz w:val="24"/>
        </w:rPr>
        <w:t xml:space="preserve">- и </w:t>
      </w:r>
      <w:r>
        <w:rPr>
          <w:sz w:val="24"/>
          <w:lang w:val="en-US"/>
        </w:rPr>
        <w:t>Co</w:t>
      </w:r>
      <w:r>
        <w:rPr>
          <w:sz w:val="24"/>
        </w:rPr>
        <w:t xml:space="preserve">-порфиринов и их отрицательных ионов. Показано, что для исследованных соединений применение метода </w:t>
      </w:r>
      <w:r>
        <w:rPr>
          <w:sz w:val="24"/>
          <w:lang w:val="en-US"/>
        </w:rPr>
        <w:t>TDDFT</w:t>
      </w:r>
      <w:r>
        <w:rPr>
          <w:sz w:val="24"/>
        </w:rPr>
        <w:t xml:space="preserve">/B3LYP/6-31G позволяет получить результаты, вполне согласующиеся </w:t>
      </w:r>
      <w:r>
        <w:rPr>
          <w:sz w:val="24"/>
          <w:lang w:val="en-US"/>
        </w:rPr>
        <w:t>c</w:t>
      </w:r>
      <w:r>
        <w:rPr>
          <w:sz w:val="24"/>
        </w:rPr>
        <w:t xml:space="preserve"> проведенными ранее расчетами тех же объектов полуэмпирическим методом ZINDO/S-CI с учетом двукратных возбуждений.</w:t>
      </w:r>
    </w:p>
    <w:p w:rsidR="00985C05" w:rsidRDefault="00985C05" w:rsidP="00985C05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exact"/>
        <w:ind w:left="567" w:hanging="567"/>
        <w:jc w:val="both"/>
        <w:rPr>
          <w:sz w:val="24"/>
        </w:rPr>
      </w:pPr>
      <w:r>
        <w:rPr>
          <w:sz w:val="24"/>
        </w:rPr>
        <w:t>Предложена модель первичных стадий химической эволюции, основанной на обнаружении прочносвязанных стэкинг-агрегатов азотистых оснований нуклеиновых кислот в воде, которые могли играть роль первых генетических матриц.</w:t>
      </w:r>
    </w:p>
    <w:p w:rsidR="00985C05" w:rsidRDefault="00985C05" w:rsidP="00985C05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exact"/>
        <w:ind w:left="567" w:hanging="567"/>
        <w:jc w:val="both"/>
        <w:rPr>
          <w:sz w:val="24"/>
        </w:rPr>
      </w:pPr>
      <w:r>
        <w:rPr>
          <w:sz w:val="24"/>
        </w:rPr>
        <w:t xml:space="preserve">Осуществлено моделирование процесса диффузии оксида азота (II) через фосфолипидный бислой, состоящий из распространенных в реальных мембранах фосфолипидов. Построена модель мембраны из 140 молекул фосфатидилхолина (ФХ) и 60 фосфатидилэтаноламина (ФЭА) на основе простейшей ячейки с равномерным распределением липидов в бислое. </w:t>
      </w:r>
    </w:p>
    <w:p w:rsidR="00985C05" w:rsidRDefault="00985C05" w:rsidP="00985C05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exact"/>
        <w:ind w:left="567" w:hanging="567"/>
        <w:jc w:val="both"/>
        <w:rPr>
          <w:sz w:val="24"/>
        </w:rPr>
      </w:pPr>
      <w:r>
        <w:rPr>
          <w:sz w:val="24"/>
        </w:rPr>
        <w:t xml:space="preserve">Выполнено компьютерное моделирование системы «уравновешенная сольватированная мембрана – вода – NO» (6590 молекул воды и 15 молекул NO). Показано, что толщина мембраны, площадь участка, приходящаяся на одну молекулу фосфолипида, и ориентация молекул изменяются, что может быть связано с начальными эффектами растворения NO липидной фазе. Получены данные, свидетельствующие о том, что диффузия NO через липидные бислои биологических мембран может быть основным механизмом его проникновения в клетку. </w:t>
      </w:r>
    </w:p>
    <w:p w:rsidR="00985C05" w:rsidRDefault="00985C05" w:rsidP="00985C05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exact"/>
        <w:ind w:left="567" w:hanging="567"/>
        <w:jc w:val="both"/>
        <w:rPr>
          <w:sz w:val="24"/>
        </w:rPr>
      </w:pPr>
      <w:r>
        <w:rPr>
          <w:sz w:val="24"/>
        </w:rPr>
        <w:t xml:space="preserve">Методами неэмпирических квантовохимических расчетов и компьютерного моделирования проанализирована структура ранее не охарактеризованной протонированной формы молекул цАМФ (циклический аденозинмонофосфат) и цГМФ (циклический гуанозинмонофосфат), участвующих в регуляции и самоорганизации биомолекулярных систем. </w:t>
      </w:r>
    </w:p>
    <w:p w:rsidR="00985C05" w:rsidRDefault="00985C05" w:rsidP="00985C05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exact"/>
        <w:ind w:left="567" w:hanging="567"/>
        <w:jc w:val="both"/>
        <w:rPr>
          <w:sz w:val="24"/>
        </w:rPr>
      </w:pPr>
      <w:r>
        <w:rPr>
          <w:sz w:val="24"/>
        </w:rPr>
        <w:t>Выполнены  расчеты потенциального барьера вращения азотистого основания относительно гликозидной связи. Установлено существование двух устойчивых конформаций (син и анти) молекул цАМФ и цГМФ, и охарактеризована их геометрия. Показано, что син-конформации на 2.3 ккал/моль более выгодны, чем анти-конформации.. Определена свободная энергия связывания син конформации ионизированной формы цАМФ в В сайте  регуляторной субъединицы протеинкиназы. Показано, что в связывание цАМФ вносят вклад 5 водородных связей и одно стэкинг взаимодействие с энергией -5.9 ккал/моль</w:t>
      </w:r>
    </w:p>
    <w:p w:rsidR="00985C05" w:rsidRDefault="00985C05" w:rsidP="00985C05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exact"/>
        <w:ind w:left="567" w:hanging="567"/>
        <w:jc w:val="both"/>
        <w:rPr>
          <w:sz w:val="24"/>
        </w:rPr>
      </w:pPr>
      <w:r>
        <w:rPr>
          <w:sz w:val="24"/>
        </w:rPr>
        <w:t xml:space="preserve">Сформулирован новый подход к поиску путей управления пространственной самоорганизацией клеток микроорганизмов посредством внедрения в клетку наночастиц металлов. </w:t>
      </w:r>
    </w:p>
    <w:p w:rsidR="00985C05" w:rsidRDefault="00985C05" w:rsidP="00985C05">
      <w:pPr>
        <w:numPr>
          <w:ilvl w:val="0"/>
          <w:numId w:val="6"/>
        </w:numPr>
        <w:tabs>
          <w:tab w:val="clear" w:pos="720"/>
          <w:tab w:val="num" w:pos="567"/>
        </w:tabs>
        <w:spacing w:line="360" w:lineRule="exact"/>
        <w:ind w:left="567" w:hanging="567"/>
        <w:jc w:val="both"/>
        <w:rPr>
          <w:sz w:val="24"/>
        </w:rPr>
      </w:pPr>
      <w:r>
        <w:rPr>
          <w:sz w:val="24"/>
        </w:rPr>
        <w:t xml:space="preserve">Экспериментальные результаты (SEM, лазерная конфокальная микроскопия, проточный цитометрический анализ) по взаимодействию грибных систем  с ультрадисперсными (10-40 нм) частицами меди, серебра и платины позволили определить границы допустимых концентраций наночастиц, места их локализации, изменение морфологических характеристик отдельных грибных клеток. Сделан выбор относительно перспективности дальнейшего использования наночастиц платины в силу их стабильности и магнитных свойств. </w:t>
      </w:r>
    </w:p>
    <w:p w:rsidR="00985C05" w:rsidRDefault="00985C05" w:rsidP="00985C05">
      <w:pPr>
        <w:spacing w:line="360" w:lineRule="exact"/>
        <w:jc w:val="both"/>
        <w:rPr>
          <w:sz w:val="24"/>
        </w:rPr>
      </w:pPr>
    </w:p>
    <w:p w:rsidR="00985C05" w:rsidRDefault="00985C05" w:rsidP="00985C05">
      <w:pPr>
        <w:pStyle w:val="10"/>
        <w:numPr>
          <w:ilvl w:val="0"/>
          <w:numId w:val="5"/>
        </w:numPr>
        <w:spacing w:line="360" w:lineRule="exact"/>
        <w:jc w:val="both"/>
        <w:rPr>
          <w:sz w:val="24"/>
        </w:rPr>
      </w:pPr>
      <w:r>
        <w:rPr>
          <w:b/>
          <w:sz w:val="24"/>
        </w:rPr>
        <w:t xml:space="preserve">Степень внедрения – </w:t>
      </w:r>
      <w:r>
        <w:rPr>
          <w:sz w:val="24"/>
        </w:rPr>
        <w:t>проводится подготовка специалистов на физическом и биолого-почвенном факультетах СПбГУ.</w:t>
      </w:r>
      <w:r>
        <w:rPr>
          <w:b/>
          <w:sz w:val="24"/>
        </w:rPr>
        <w:t xml:space="preserve"> </w:t>
      </w:r>
      <w:r>
        <w:rPr>
          <w:sz w:val="24"/>
        </w:rPr>
        <w:t>По некоторым результатам поданы заявки на патенты РФ.</w:t>
      </w:r>
    </w:p>
    <w:p w:rsidR="00985C05" w:rsidRDefault="00985C05" w:rsidP="00985C05">
      <w:pPr>
        <w:pStyle w:val="10"/>
        <w:numPr>
          <w:ilvl w:val="0"/>
          <w:numId w:val="5"/>
        </w:numPr>
        <w:spacing w:line="360" w:lineRule="exact"/>
        <w:jc w:val="both"/>
        <w:rPr>
          <w:sz w:val="24"/>
        </w:rPr>
      </w:pPr>
      <w:r>
        <w:rPr>
          <w:b/>
          <w:sz w:val="24"/>
        </w:rPr>
        <w:t>Рекомендации к внедрению</w:t>
      </w:r>
      <w:r>
        <w:rPr>
          <w:sz w:val="24"/>
        </w:rPr>
        <w:t xml:space="preserve"> – использование учебно-методических и разработок для подготовки высококвалифицированных специалистов. Полученные результаты могут являться основой для разработки высоких технологий: </w:t>
      </w:r>
    </w:p>
    <w:p w:rsidR="00985C05" w:rsidRDefault="00985C05" w:rsidP="00985C05">
      <w:pPr>
        <w:pStyle w:val="10"/>
        <w:numPr>
          <w:ilvl w:val="0"/>
          <w:numId w:val="4"/>
        </w:numPr>
        <w:spacing w:line="360" w:lineRule="exact"/>
        <w:ind w:left="357" w:hanging="357"/>
        <w:jc w:val="both"/>
        <w:rPr>
          <w:sz w:val="24"/>
        </w:rPr>
      </w:pPr>
      <w:r>
        <w:rPr>
          <w:b/>
          <w:sz w:val="24"/>
        </w:rPr>
        <w:t xml:space="preserve">Область применения – </w:t>
      </w:r>
      <w:r>
        <w:rPr>
          <w:sz w:val="24"/>
        </w:rPr>
        <w:t>вузы РФ, научно-исследовательские организации и предприятия, создающие оборудование для следующих технологий: очистка окружающей среды от стойких органических загрязнений с использованием энергии солнечного излучения; водоочистка – есть патент; создание физических основ для разработки оптоэлектронных устройств нового поколения; изготовление оптических материалов, содержащих полупроводниковые квантово-размерные структуры; получение водородного топлива путем фотокаталитического разложения воды под действием солнечного излучения; создание защитных покрытий с антимикробными свойствами.</w:t>
      </w:r>
    </w:p>
    <w:p w:rsidR="00985C05" w:rsidRDefault="00985C05" w:rsidP="00985C05">
      <w:pPr>
        <w:pStyle w:val="10"/>
        <w:numPr>
          <w:ilvl w:val="0"/>
          <w:numId w:val="4"/>
        </w:numPr>
        <w:spacing w:line="360" w:lineRule="exact"/>
        <w:ind w:left="357" w:hanging="357"/>
        <w:jc w:val="both"/>
        <w:rPr>
          <w:sz w:val="24"/>
        </w:rPr>
      </w:pPr>
      <w:r>
        <w:rPr>
          <w:b/>
          <w:sz w:val="24"/>
        </w:rPr>
        <w:t>Экономическая эффективность метода</w:t>
      </w:r>
      <w:r>
        <w:rPr>
          <w:sz w:val="24"/>
        </w:rPr>
        <w:t xml:space="preserve"> </w:t>
      </w:r>
      <w:r>
        <w:rPr>
          <w:b/>
          <w:sz w:val="24"/>
        </w:rPr>
        <w:t xml:space="preserve">или значимость – </w:t>
      </w:r>
      <w:r>
        <w:rPr>
          <w:sz w:val="24"/>
        </w:rPr>
        <w:t>использование высококвалифицированного персонала и дорогостоящего оборудования для решения двух государственных задач: развития образования и науки.</w:t>
      </w:r>
    </w:p>
    <w:p w:rsidR="00985C05" w:rsidRDefault="00985C05" w:rsidP="00985C05">
      <w:pPr>
        <w:pStyle w:val="10"/>
        <w:numPr>
          <w:ilvl w:val="0"/>
          <w:numId w:val="3"/>
        </w:numPr>
        <w:spacing w:line="360" w:lineRule="exact"/>
        <w:ind w:left="357" w:hanging="357"/>
        <w:jc w:val="both"/>
        <w:rPr>
          <w:sz w:val="24"/>
        </w:rPr>
      </w:pPr>
      <w:r>
        <w:rPr>
          <w:b/>
          <w:sz w:val="24"/>
        </w:rPr>
        <w:t>Прогнозные предложения о развитии объекта исследования.</w:t>
      </w:r>
      <w:r>
        <w:rPr>
          <w:sz w:val="24"/>
        </w:rPr>
        <w:t xml:space="preserve"> Разрабатываемые образовательные предметы и темы фундаментальных исследований следует развивать и вводить в практику.</w:t>
      </w:r>
    </w:p>
    <w:p w:rsidR="00C25D82" w:rsidRDefault="00C25D82">
      <w:bookmarkStart w:id="0" w:name="_GoBack"/>
      <w:bookmarkEnd w:id="0"/>
    </w:p>
    <w:sectPr w:rsidR="00C25D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712E6"/>
    <w:multiLevelType w:val="hybridMultilevel"/>
    <w:tmpl w:val="63E810A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MS Serif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MS Serif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MS Serif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CDF342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BC93D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5D8E55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752315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79836F8A"/>
    <w:multiLevelType w:val="singleLevel"/>
    <w:tmpl w:val="B7F6D21C"/>
    <w:lvl w:ilvl="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wpJustification/>
    <w:subFontBySize/>
    <w:alignTablesRowByRow/>
    <w:adjustLineHeightInTable/>
    <w:autoSpaceLikeWord95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C05"/>
    <w:rsid w:val="004B40A6"/>
    <w:rsid w:val="00652AF7"/>
    <w:rsid w:val="00693B86"/>
    <w:rsid w:val="00985C05"/>
    <w:rsid w:val="00A4794A"/>
    <w:rsid w:val="00BE416F"/>
    <w:rsid w:val="00BE4C60"/>
    <w:rsid w:val="00C25D82"/>
    <w:rsid w:val="00D9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B97CA-E7BA-4E62-AF5A-62F0CC98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C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rsid w:val="00652AF7"/>
    <w:rPr>
      <w:rFonts w:cs="Arial"/>
    </w:rPr>
  </w:style>
  <w:style w:type="paragraph" w:styleId="a3">
    <w:name w:val="Body Text"/>
    <w:basedOn w:val="a"/>
    <w:autoRedefine/>
    <w:rsid w:val="00652AF7"/>
    <w:pPr>
      <w:spacing w:after="120"/>
      <w:jc w:val="both"/>
    </w:pPr>
  </w:style>
  <w:style w:type="paragraph" w:customStyle="1" w:styleId="10">
    <w:name w:val="Звичайний1"/>
    <w:rsid w:val="00985C05"/>
  </w:style>
  <w:style w:type="paragraph" w:customStyle="1" w:styleId="31">
    <w:name w:val="Заголовок 31"/>
    <w:basedOn w:val="10"/>
    <w:next w:val="10"/>
    <w:rsid w:val="00985C05"/>
    <w:pPr>
      <w:keepNext/>
      <w:spacing w:line="360" w:lineRule="auto"/>
      <w:jc w:val="center"/>
      <w:outlineLvl w:val="2"/>
    </w:pPr>
    <w:rPr>
      <w:b/>
      <w:i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НИИФ</Company>
  <LinksUpToDate>false</LinksUpToDate>
  <CharactersWithSpaces>7213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Валентин</dc:creator>
  <cp:keywords/>
  <dc:description/>
  <cp:lastModifiedBy>Irina</cp:lastModifiedBy>
  <cp:revision>2</cp:revision>
  <dcterms:created xsi:type="dcterms:W3CDTF">2014-07-28T17:29:00Z</dcterms:created>
  <dcterms:modified xsi:type="dcterms:W3CDTF">2014-07-28T17:29:00Z</dcterms:modified>
</cp:coreProperties>
</file>