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B68" w:rsidRDefault="00B45AF8">
      <w:pPr>
        <w:pStyle w:val="a3"/>
        <w:tabs>
          <w:tab w:val="left" w:pos="0"/>
        </w:tabs>
      </w:pPr>
      <w:r>
        <w:t>Реферат</w:t>
      </w:r>
    </w:p>
    <w:p w:rsidR="005E6B68" w:rsidRDefault="005E6B68">
      <w:pPr>
        <w:tabs>
          <w:tab w:val="left" w:pos="0"/>
        </w:tabs>
        <w:rPr>
          <w:lang w:val="en-US"/>
        </w:rPr>
      </w:pPr>
    </w:p>
    <w:p w:rsidR="005E6B68" w:rsidRDefault="00B45AF8">
      <w:pPr>
        <w:pStyle w:val="1"/>
        <w:tabs>
          <w:tab w:val="left" w:pos="0"/>
        </w:tabs>
        <w:jc w:val="center"/>
        <w:rPr>
          <w:color w:val="auto"/>
        </w:rPr>
      </w:pPr>
      <w:r>
        <w:rPr>
          <w:color w:val="auto"/>
        </w:rPr>
        <w:t xml:space="preserve">Неохлаждаемые микроболометрические ФПУ форматом 160х120 </w:t>
      </w:r>
    </w:p>
    <w:p w:rsidR="005E6B68" w:rsidRDefault="00B45AF8">
      <w:pPr>
        <w:pStyle w:val="1"/>
        <w:tabs>
          <w:tab w:val="left" w:pos="0"/>
        </w:tabs>
        <w:jc w:val="center"/>
        <w:rPr>
          <w:color w:val="auto"/>
        </w:rPr>
      </w:pPr>
      <w:r>
        <w:rPr>
          <w:color w:val="auto"/>
        </w:rPr>
        <w:t xml:space="preserve">для инфракрасного и терагерцового диапазонов </w:t>
      </w:r>
    </w:p>
    <w:p w:rsidR="005E6B68" w:rsidRDefault="005E6B68">
      <w:pPr>
        <w:tabs>
          <w:tab w:val="left" w:pos="0"/>
        </w:tabs>
      </w:pPr>
    </w:p>
    <w:p w:rsidR="005E6B68" w:rsidRDefault="00B45AF8">
      <w:pPr>
        <w:pStyle w:val="10"/>
        <w:tabs>
          <w:tab w:val="left" w:pos="0"/>
        </w:tabs>
        <w:ind w:left="0" w:right="5" w:firstLine="0"/>
        <w:rPr>
          <w:bCs/>
        </w:rPr>
      </w:pPr>
      <w:r>
        <w:rPr>
          <w:bCs/>
        </w:rPr>
        <w:t>Л.Л.Васильева</w:t>
      </w:r>
      <w:r>
        <w:rPr>
          <w:bCs/>
          <w:vertAlign w:val="superscript"/>
        </w:rPr>
        <w:t>1</w:t>
      </w:r>
      <w:r>
        <w:rPr>
          <w:bCs/>
        </w:rPr>
        <w:t>, Н.А.Винокуров</w:t>
      </w:r>
      <w:r>
        <w:rPr>
          <w:bCs/>
          <w:vertAlign w:val="superscript"/>
        </w:rPr>
        <w:t>2,3</w:t>
      </w:r>
      <w:r>
        <w:rPr>
          <w:bCs/>
        </w:rPr>
        <w:t>, М.А.Демьяненко</w:t>
      </w:r>
      <w:r>
        <w:rPr>
          <w:bCs/>
          <w:vertAlign w:val="superscript"/>
        </w:rPr>
        <w:t>1</w:t>
      </w:r>
      <w:r>
        <w:rPr>
          <w:bCs/>
        </w:rPr>
        <w:t>, Д.Г.Есаев</w:t>
      </w:r>
      <w:r>
        <w:rPr>
          <w:bCs/>
          <w:vertAlign w:val="superscript"/>
        </w:rPr>
        <w:t>1</w:t>
      </w:r>
      <w:r>
        <w:rPr>
          <w:bCs/>
        </w:rPr>
        <w:t>,</w:t>
      </w:r>
    </w:p>
    <w:p w:rsidR="005E6B68" w:rsidRDefault="00B45AF8">
      <w:pPr>
        <w:pStyle w:val="10"/>
        <w:tabs>
          <w:tab w:val="left" w:pos="0"/>
        </w:tabs>
        <w:ind w:left="0" w:right="5" w:firstLine="0"/>
        <w:rPr>
          <w:bCs/>
        </w:rPr>
      </w:pPr>
      <w:r>
        <w:rPr>
          <w:bCs/>
        </w:rPr>
        <w:t>Б.А.Князев</w:t>
      </w:r>
      <w:r>
        <w:rPr>
          <w:bCs/>
          <w:vertAlign w:val="superscript"/>
        </w:rPr>
        <w:t>2,3</w:t>
      </w:r>
      <w:r>
        <w:rPr>
          <w:bCs/>
        </w:rPr>
        <w:t>, Г.Н.Кулипанов</w:t>
      </w:r>
      <w:r>
        <w:rPr>
          <w:bCs/>
          <w:vertAlign w:val="superscript"/>
        </w:rPr>
        <w:t>2</w:t>
      </w:r>
      <w:r>
        <w:rPr>
          <w:bCs/>
        </w:rPr>
        <w:t>, И.В.Марчишин</w:t>
      </w:r>
      <w:r>
        <w:rPr>
          <w:bCs/>
          <w:vertAlign w:val="superscript"/>
        </w:rPr>
        <w:t>1</w:t>
      </w:r>
      <w:r>
        <w:rPr>
          <w:bCs/>
        </w:rPr>
        <w:t>, В.Н. Овсюк</w:t>
      </w:r>
      <w:r>
        <w:rPr>
          <w:bCs/>
          <w:vertAlign w:val="superscript"/>
        </w:rPr>
        <w:t>1</w:t>
      </w:r>
      <w:r>
        <w:rPr>
          <w:bCs/>
        </w:rPr>
        <w:t xml:space="preserve">, </w:t>
      </w:r>
    </w:p>
    <w:p w:rsidR="005E6B68" w:rsidRDefault="00B45AF8">
      <w:pPr>
        <w:pStyle w:val="10"/>
        <w:tabs>
          <w:tab w:val="left" w:pos="0"/>
        </w:tabs>
        <w:ind w:left="0" w:right="5" w:firstLine="0"/>
        <w:rPr>
          <w:bCs/>
          <w:vertAlign w:val="superscript"/>
        </w:rPr>
      </w:pPr>
      <w:r>
        <w:rPr>
          <w:bCs/>
        </w:rPr>
        <w:t>И.О.Парм</w:t>
      </w:r>
      <w:r>
        <w:rPr>
          <w:bCs/>
          <w:vertAlign w:val="superscript"/>
        </w:rPr>
        <w:t>1</w:t>
      </w:r>
      <w:r>
        <w:rPr>
          <w:bCs/>
        </w:rPr>
        <w:t>, А.П.Соловьев</w:t>
      </w:r>
      <w:r>
        <w:rPr>
          <w:bCs/>
          <w:vertAlign w:val="superscript"/>
        </w:rPr>
        <w:t>1</w:t>
      </w:r>
      <w:r>
        <w:rPr>
          <w:bCs/>
        </w:rPr>
        <w:t>, В.В.Шашкин</w:t>
      </w:r>
      <w:r>
        <w:rPr>
          <w:bCs/>
          <w:vertAlign w:val="superscript"/>
        </w:rPr>
        <w:t>1</w:t>
      </w:r>
      <w:r>
        <w:rPr>
          <w:b/>
        </w:rPr>
        <w:t xml:space="preserve">, </w:t>
      </w:r>
      <w:r>
        <w:rPr>
          <w:bCs/>
        </w:rPr>
        <w:t>Б.И.Фомин</w:t>
      </w:r>
      <w:r>
        <w:rPr>
          <w:bCs/>
          <w:vertAlign w:val="superscript"/>
        </w:rPr>
        <w:t>1</w:t>
      </w:r>
    </w:p>
    <w:p w:rsidR="005E6B68" w:rsidRDefault="005E6B68">
      <w:pPr>
        <w:pStyle w:val="10"/>
        <w:tabs>
          <w:tab w:val="left" w:pos="0"/>
        </w:tabs>
        <w:ind w:left="0" w:right="5"/>
        <w:rPr>
          <w:bCs/>
        </w:rPr>
      </w:pPr>
    </w:p>
    <w:p w:rsidR="005E6B68" w:rsidRDefault="00B45AF8">
      <w:pPr>
        <w:pStyle w:val="10"/>
        <w:tabs>
          <w:tab w:val="left" w:pos="0"/>
        </w:tabs>
        <w:ind w:left="0" w:right="5" w:firstLine="0"/>
        <w:jc w:val="left"/>
        <w:rPr>
          <w:b/>
        </w:rPr>
      </w:pPr>
      <w:r>
        <w:rPr>
          <w:bCs/>
          <w:vertAlign w:val="superscript"/>
          <w:lang w:val="en-US"/>
        </w:rPr>
        <w:t>1</w:t>
      </w:r>
      <w:r>
        <w:rPr>
          <w:bCs/>
          <w:lang w:val="en-US"/>
        </w:rPr>
        <w:t xml:space="preserve"> </w:t>
      </w:r>
      <w:r>
        <w:rPr>
          <w:bCs/>
        </w:rPr>
        <w:t xml:space="preserve">ИФП СО РАН, </w:t>
      </w:r>
      <w:r>
        <w:rPr>
          <w:bCs/>
          <w:vertAlign w:val="superscript"/>
          <w:lang w:val="en-US"/>
        </w:rPr>
        <w:t>2</w:t>
      </w:r>
      <w:r>
        <w:rPr>
          <w:bCs/>
          <w:lang w:val="en-US"/>
        </w:rPr>
        <w:t xml:space="preserve"> </w:t>
      </w:r>
      <w:r>
        <w:rPr>
          <w:bCs/>
        </w:rPr>
        <w:t xml:space="preserve">Институт ядерной физики, </w:t>
      </w:r>
      <w:r>
        <w:rPr>
          <w:bCs/>
          <w:vertAlign w:val="superscript"/>
          <w:lang w:val="en-US"/>
        </w:rPr>
        <w:t>3</w:t>
      </w:r>
      <w:r>
        <w:rPr>
          <w:bCs/>
          <w:lang w:val="en-US"/>
        </w:rPr>
        <w:t xml:space="preserve"> </w:t>
      </w:r>
      <w:r>
        <w:rPr>
          <w:bCs/>
        </w:rPr>
        <w:t>Новосибирский государственный университет</w:t>
      </w:r>
    </w:p>
    <w:p w:rsidR="005E6B68" w:rsidRDefault="005E6B68">
      <w:pPr>
        <w:pStyle w:val="Iiacaaieiaie"/>
        <w:tabs>
          <w:tab w:val="left" w:pos="0"/>
        </w:tabs>
        <w:rPr>
          <w:b w:val="0"/>
          <w:bCs/>
          <w:sz w:val="24"/>
          <w:lang w:val="en-US"/>
        </w:rPr>
      </w:pPr>
    </w:p>
    <w:p w:rsidR="005E6B68" w:rsidRDefault="005E6B68">
      <w:pPr>
        <w:pStyle w:val="Iiacaaieiaie"/>
        <w:tabs>
          <w:tab w:val="left" w:pos="0"/>
        </w:tabs>
        <w:jc w:val="both"/>
        <w:rPr>
          <w:b w:val="0"/>
          <w:sz w:val="24"/>
          <w:lang w:val="en-US"/>
        </w:rPr>
      </w:pPr>
    </w:p>
    <w:p w:rsidR="005E6B68" w:rsidRDefault="00B45AF8">
      <w:pPr>
        <w:pStyle w:val="Iiacaaieiaie"/>
        <w:tabs>
          <w:tab w:val="left" w:pos="0"/>
        </w:tabs>
        <w:ind w:firstLine="600"/>
        <w:jc w:val="both"/>
        <w:rPr>
          <w:b w:val="0"/>
          <w:sz w:val="24"/>
        </w:rPr>
      </w:pPr>
      <w:r>
        <w:rPr>
          <w:b w:val="0"/>
          <w:sz w:val="24"/>
        </w:rPr>
        <w:t xml:space="preserve">Важнейшей задачей инфракрасной техники является получение тепловых изображений объектов в реальном масштабе времени для военных и гражданских применений, что стимулирует разработку матричных приемников большого формата. Расширение сферы применения тепловизионных приборов требует наряду с повышением их чувствительности понижения стоимости, энергопотребления, веса, высокой надежности и простоты использования. Всем этим требованиям удовлетворяют активно разрабатываемые последние два десятилетия неохлаждаемые матричные микроболометрические приемники (ММБП). </w:t>
      </w:r>
    </w:p>
    <w:p w:rsidR="005E6B68" w:rsidRDefault="00B45AF8">
      <w:pPr>
        <w:tabs>
          <w:tab w:val="left" w:pos="0"/>
        </w:tabs>
        <w:ind w:firstLine="600"/>
        <w:jc w:val="both"/>
      </w:pPr>
      <w:r>
        <w:rPr>
          <w:szCs w:val="20"/>
        </w:rPr>
        <w:t xml:space="preserve">В терагерцовом диапазоне проблема создания матричных приемников является еще более актуальной, что обусловлено, с одной стороны, высокими трудностями создания в этой области как излучателей, так и приемников, а с другой, высоким интересом к этому диапазону, в частности, обусловленному возможностью досмотра через одежду и упаковку, а также опознавания запрещенных </w:t>
      </w:r>
      <w:r>
        <w:t>медикаментов и химических веществ</w:t>
      </w:r>
      <w:r>
        <w:rPr>
          <w:szCs w:val="20"/>
        </w:rPr>
        <w:t xml:space="preserve">. </w:t>
      </w:r>
    </w:p>
    <w:p w:rsidR="005E6B68" w:rsidRDefault="00B45AF8">
      <w:pPr>
        <w:pStyle w:val="3"/>
        <w:tabs>
          <w:tab w:val="left" w:pos="0"/>
        </w:tabs>
      </w:pPr>
      <w:r>
        <w:t>В настоящей работе разработана технология изготовления неохлаждаемых микроболометрических ИК фотоприемных устройств (ФПУ), чувствительных в инфракрасном и терагерцовом диапазонах</w:t>
      </w:r>
      <w:r>
        <w:rPr>
          <w:b/>
          <w:bCs/>
        </w:rPr>
        <w:t>.</w:t>
      </w:r>
      <w:r>
        <w:t xml:space="preserve"> ФПУ состоят из ММБП мостикового типа, термоэлектрического стабилизатора температуры и малогабаритного вакуумного корпуса, снабженного просветленным германиевым окном и газопоглотителем. ММБП выполнен в интегральном исполнении и представляет собой матрицу микроболометров сформированных на матричном мультиплексоре. В основе разработки лежит оригинальная, простая и дешевая золь-гель технология, совместимая с кремниевой технологией и позволяющая получать термочувствительные слои </w:t>
      </w:r>
      <w:r>
        <w:rPr>
          <w:bCs/>
          <w:spacing w:val="-5"/>
        </w:rPr>
        <w:t>VO</w:t>
      </w:r>
      <w:r>
        <w:rPr>
          <w:bCs/>
          <w:spacing w:val="-5"/>
          <w:vertAlign w:val="subscript"/>
        </w:rPr>
        <w:t>x</w:t>
      </w:r>
      <w:r>
        <w:t xml:space="preserve"> с необходимыми характеристиками. </w:t>
      </w:r>
    </w:p>
    <w:p w:rsidR="005E6B68" w:rsidRDefault="00B45AF8">
      <w:pPr>
        <w:pStyle w:val="3"/>
        <w:tabs>
          <w:tab w:val="left" w:pos="0"/>
        </w:tabs>
      </w:pPr>
      <w:r>
        <w:t xml:space="preserve">Впервые в России созданы неохлаждаемые ФПУ форматом 160х120, обладающие в </w:t>
      </w:r>
      <w:r>
        <w:rPr>
          <w:color w:val="000000"/>
          <w:spacing w:val="-9"/>
        </w:rPr>
        <w:t>спектральном диапазоне 8–14 мкм чувствительностью, соответствующей</w:t>
      </w:r>
      <w:r>
        <w:t xml:space="preserve"> разности температур, эквивалентной шуму, менее 100 мК при угле зрения 60º. Получены качественные тепловые изображения. </w:t>
      </w:r>
    </w:p>
    <w:p w:rsidR="005E6B68" w:rsidRDefault="00B45AF8">
      <w:pPr>
        <w:pStyle w:val="3"/>
        <w:tabs>
          <w:tab w:val="left" w:pos="0"/>
        </w:tabs>
      </w:pPr>
      <w:r>
        <w:t>Разработанные микроболометрические ФПУ обладают достаточно высокой чувствительностью и в терагерцовом диапазоне (7·10</w:t>
      </w:r>
      <w:r>
        <w:rPr>
          <w:vertAlign w:val="superscript"/>
        </w:rPr>
        <w:t>-8</w:t>
      </w:r>
      <w:r>
        <w:t xml:space="preserve"> Вт/пиксель на длине волны 130 мкм), что делает его в настоящее время единственным высокочувствительным матричным приемником терагерцового диапазона с высоким пространственным и временным разрешением. Впервые в терагерцовом диапазоне были получены видео изображения объектов с частотой вплоть до 90 Гц в режимах пропускания и отражения.</w:t>
      </w:r>
    </w:p>
    <w:p w:rsidR="005E6B68" w:rsidRDefault="005E6B68">
      <w:pPr>
        <w:tabs>
          <w:tab w:val="left" w:pos="0"/>
        </w:tabs>
      </w:pPr>
    </w:p>
    <w:p w:rsidR="005E6B68" w:rsidRDefault="005E6B68">
      <w:pPr>
        <w:tabs>
          <w:tab w:val="left" w:pos="0"/>
        </w:tabs>
      </w:pPr>
      <w:bookmarkStart w:id="0" w:name="_GoBack"/>
      <w:bookmarkEnd w:id="0"/>
    </w:p>
    <w:sectPr w:rsidR="005E6B68">
      <w:type w:val="continuous"/>
      <w:pgSz w:w="11907" w:h="16840" w:code="9"/>
      <w:pgMar w:top="1134" w:right="567" w:bottom="1134" w:left="1440" w:header="0" w:footer="0" w:gutter="0"/>
      <w:paperSrc w:first="7" w:other="7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AF8"/>
    <w:rsid w:val="00092628"/>
    <w:rsid w:val="005E6B68"/>
    <w:rsid w:val="00B4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4EECF-7FFB-4C1B-BA94-2B7455E1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customStyle="1" w:styleId="10">
    <w:name w:val="Блокування тексту1"/>
    <w:basedOn w:val="a"/>
    <w:pPr>
      <w:overflowPunct w:val="0"/>
      <w:autoSpaceDE w:val="0"/>
      <w:autoSpaceDN w:val="0"/>
      <w:adjustRightInd w:val="0"/>
      <w:ind w:left="284" w:right="261" w:firstLine="567"/>
      <w:jc w:val="center"/>
      <w:textAlignment w:val="baseline"/>
    </w:pPr>
    <w:rPr>
      <w:szCs w:val="20"/>
    </w:rPr>
  </w:style>
  <w:style w:type="paragraph" w:styleId="3">
    <w:name w:val="Body Text Indent 3"/>
    <w:basedOn w:val="a"/>
    <w:semiHidden/>
    <w:pPr>
      <w:ind w:right="-1" w:firstLine="567"/>
      <w:jc w:val="both"/>
    </w:pPr>
  </w:style>
  <w:style w:type="paragraph" w:customStyle="1" w:styleId="Iiacaaieiaie">
    <w:name w:val="Iiacaaieiaie"/>
    <w:basedOn w:val="Iauiue1"/>
    <w:pPr>
      <w:jc w:val="center"/>
    </w:pPr>
    <w:rPr>
      <w:b/>
      <w:sz w:val="28"/>
    </w:rPr>
  </w:style>
  <w:style w:type="paragraph" w:customStyle="1" w:styleId="Iauiue1">
    <w:name w:val="Iau?iue1"/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ind w:firstLine="284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ISP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Dem'yanenko</dc:creator>
  <cp:keywords/>
  <dc:description/>
  <cp:lastModifiedBy>Irina</cp:lastModifiedBy>
  <cp:revision>2</cp:revision>
  <cp:lastPrinted>2008-04-11T10:41:00Z</cp:lastPrinted>
  <dcterms:created xsi:type="dcterms:W3CDTF">2014-07-28T14:21:00Z</dcterms:created>
  <dcterms:modified xsi:type="dcterms:W3CDTF">2014-07-28T14:21:00Z</dcterms:modified>
</cp:coreProperties>
</file>