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07F" w:rsidRPr="005B7636" w:rsidRDefault="00AB307F" w:rsidP="005B7636">
      <w:pPr>
        <w:pStyle w:val="a3"/>
        <w:suppressAutoHyphens/>
        <w:ind w:firstLine="709"/>
        <w:jc w:val="both"/>
        <w:rPr>
          <w:color w:val="auto"/>
          <w:position w:val="6"/>
          <w:szCs w:val="28"/>
        </w:rPr>
      </w:pPr>
      <w:r w:rsidRPr="005B7636">
        <w:rPr>
          <w:color w:val="auto"/>
          <w:position w:val="6"/>
          <w:szCs w:val="28"/>
        </w:rPr>
        <w:t>Содержание</w:t>
      </w:r>
    </w:p>
    <w:p w:rsidR="00AB307F" w:rsidRPr="005B7636" w:rsidRDefault="00AB307F" w:rsidP="005B7636">
      <w:pPr>
        <w:pStyle w:val="a3"/>
        <w:suppressAutoHyphens/>
        <w:ind w:firstLine="709"/>
        <w:jc w:val="both"/>
        <w:rPr>
          <w:b w:val="0"/>
          <w:color w:val="auto"/>
          <w:position w:val="6"/>
          <w:szCs w:val="28"/>
        </w:rPr>
      </w:pPr>
    </w:p>
    <w:p w:rsidR="005B7636" w:rsidRPr="005B7636" w:rsidRDefault="005B7636" w:rsidP="005B7636">
      <w:pPr>
        <w:pStyle w:val="a3"/>
        <w:shd w:val="clear" w:color="auto" w:fill="auto"/>
        <w:suppressAutoHyphens/>
        <w:ind w:firstLine="0"/>
        <w:jc w:val="left"/>
        <w:rPr>
          <w:b w:val="0"/>
          <w:bCs w:val="0"/>
          <w:color w:val="auto"/>
          <w:position w:val="6"/>
          <w:szCs w:val="28"/>
        </w:rPr>
      </w:pPr>
      <w:r w:rsidRPr="005B7636">
        <w:rPr>
          <w:b w:val="0"/>
          <w:bCs w:val="0"/>
          <w:color w:val="auto"/>
          <w:position w:val="6"/>
          <w:szCs w:val="28"/>
        </w:rPr>
        <w:t>Введение</w:t>
      </w:r>
    </w:p>
    <w:p w:rsidR="005B7636" w:rsidRPr="005B7636" w:rsidRDefault="005B7636" w:rsidP="005B7636">
      <w:pPr>
        <w:pStyle w:val="a3"/>
        <w:shd w:val="clear" w:color="auto" w:fill="auto"/>
        <w:suppressAutoHyphens/>
        <w:ind w:firstLine="0"/>
        <w:jc w:val="left"/>
        <w:rPr>
          <w:b w:val="0"/>
          <w:bCs w:val="0"/>
          <w:color w:val="auto"/>
          <w:position w:val="6"/>
          <w:szCs w:val="28"/>
        </w:rPr>
      </w:pPr>
      <w:r w:rsidRPr="005B7636">
        <w:rPr>
          <w:b w:val="0"/>
          <w:bCs w:val="0"/>
          <w:iCs/>
          <w:color w:val="auto"/>
          <w:position w:val="6"/>
          <w:szCs w:val="28"/>
        </w:rPr>
        <w:t xml:space="preserve">1. Сущность спекулятивной операции </w:t>
      </w:r>
      <w:r w:rsidRPr="005B7636">
        <w:rPr>
          <w:b w:val="0"/>
          <w:color w:val="auto"/>
          <w:position w:val="6"/>
          <w:szCs w:val="28"/>
        </w:rPr>
        <w:t>с ценной бумагой</w:t>
      </w:r>
    </w:p>
    <w:p w:rsidR="005B7636" w:rsidRPr="005B7636" w:rsidRDefault="005B7636" w:rsidP="005B7636">
      <w:pPr>
        <w:pStyle w:val="a3"/>
        <w:shd w:val="clear" w:color="auto" w:fill="auto"/>
        <w:suppressAutoHyphens/>
        <w:ind w:firstLine="0"/>
        <w:jc w:val="left"/>
        <w:rPr>
          <w:b w:val="0"/>
          <w:bCs w:val="0"/>
          <w:color w:val="auto"/>
          <w:position w:val="6"/>
          <w:szCs w:val="28"/>
        </w:rPr>
      </w:pPr>
      <w:r w:rsidRPr="005B7636">
        <w:rPr>
          <w:b w:val="0"/>
          <w:color w:val="auto"/>
          <w:position w:val="6"/>
          <w:szCs w:val="28"/>
        </w:rPr>
        <w:t>2. Отличие спекулятивной операции от инвестиционной операции</w:t>
      </w:r>
    </w:p>
    <w:p w:rsidR="005B7636" w:rsidRPr="005B7636" w:rsidRDefault="005B7636" w:rsidP="005B7636">
      <w:pPr>
        <w:pStyle w:val="a3"/>
        <w:shd w:val="clear" w:color="auto" w:fill="auto"/>
        <w:suppressAutoHyphens/>
        <w:ind w:firstLine="0"/>
        <w:jc w:val="left"/>
        <w:rPr>
          <w:b w:val="0"/>
          <w:bCs w:val="0"/>
          <w:color w:val="auto"/>
          <w:position w:val="6"/>
          <w:szCs w:val="28"/>
        </w:rPr>
      </w:pPr>
      <w:r w:rsidRPr="005B7636">
        <w:rPr>
          <w:b w:val="0"/>
          <w:bCs w:val="0"/>
          <w:color w:val="auto"/>
          <w:position w:val="6"/>
          <w:szCs w:val="28"/>
        </w:rPr>
        <w:t>3. Классификация спекулятивных операций</w:t>
      </w:r>
    </w:p>
    <w:p w:rsidR="005B7636" w:rsidRPr="005B7636" w:rsidRDefault="005B7636" w:rsidP="005B7636">
      <w:pPr>
        <w:pStyle w:val="a3"/>
        <w:shd w:val="clear" w:color="auto" w:fill="auto"/>
        <w:suppressAutoHyphens/>
        <w:ind w:firstLine="0"/>
        <w:jc w:val="left"/>
        <w:rPr>
          <w:b w:val="0"/>
          <w:bCs w:val="0"/>
          <w:color w:val="auto"/>
          <w:position w:val="6"/>
          <w:szCs w:val="28"/>
        </w:rPr>
      </w:pPr>
      <w:r w:rsidRPr="005B7636">
        <w:rPr>
          <w:b w:val="0"/>
          <w:bCs w:val="0"/>
          <w:color w:val="auto"/>
          <w:position w:val="6"/>
          <w:szCs w:val="28"/>
        </w:rPr>
        <w:t>Заключение</w:t>
      </w:r>
    </w:p>
    <w:p w:rsidR="005B7636" w:rsidRPr="00305EC5" w:rsidRDefault="005B7636" w:rsidP="005B7636">
      <w:pPr>
        <w:pStyle w:val="a3"/>
        <w:shd w:val="clear" w:color="auto" w:fill="auto"/>
        <w:suppressAutoHyphens/>
        <w:ind w:firstLine="0"/>
        <w:jc w:val="left"/>
        <w:rPr>
          <w:b w:val="0"/>
          <w:bCs w:val="0"/>
          <w:color w:val="auto"/>
          <w:position w:val="6"/>
          <w:szCs w:val="28"/>
          <w:lang w:val="en-US"/>
        </w:rPr>
      </w:pPr>
      <w:r w:rsidRPr="005B7636">
        <w:rPr>
          <w:b w:val="0"/>
          <w:color w:val="auto"/>
          <w:position w:val="6"/>
          <w:szCs w:val="28"/>
        </w:rPr>
        <w:t>Список использованных источников</w:t>
      </w:r>
    </w:p>
    <w:p w:rsidR="00AB307F" w:rsidRPr="005B7636" w:rsidRDefault="005B7636" w:rsidP="005B7636">
      <w:pPr>
        <w:suppressAutoHyphens/>
        <w:snapToGrid/>
        <w:spacing w:line="360" w:lineRule="auto"/>
        <w:ind w:firstLine="709"/>
        <w:jc w:val="both"/>
        <w:rPr>
          <w:b/>
          <w:position w:val="6"/>
          <w:sz w:val="28"/>
          <w:szCs w:val="28"/>
        </w:rPr>
      </w:pPr>
      <w:r>
        <w:rPr>
          <w:position w:val="6"/>
          <w:sz w:val="28"/>
          <w:szCs w:val="28"/>
        </w:rPr>
        <w:br w:type="page"/>
      </w:r>
      <w:r w:rsidR="00AB307F" w:rsidRPr="005B7636">
        <w:rPr>
          <w:b/>
          <w:position w:val="6"/>
          <w:sz w:val="28"/>
          <w:szCs w:val="28"/>
        </w:rPr>
        <w:t xml:space="preserve">Введение </w:t>
      </w:r>
    </w:p>
    <w:p w:rsidR="00AB307F" w:rsidRPr="005B7636" w:rsidRDefault="00AB307F" w:rsidP="005B7636">
      <w:pPr>
        <w:suppressAutoHyphens/>
        <w:snapToGrid/>
        <w:spacing w:line="360" w:lineRule="auto"/>
        <w:ind w:firstLine="709"/>
        <w:jc w:val="both"/>
        <w:rPr>
          <w:position w:val="6"/>
          <w:sz w:val="28"/>
          <w:szCs w:val="28"/>
        </w:rPr>
      </w:pPr>
    </w:p>
    <w:p w:rsidR="00AB307F" w:rsidRPr="005B7636" w:rsidRDefault="00AB307F" w:rsidP="005B7636">
      <w:pPr>
        <w:suppressAutoHyphens/>
        <w:snapToGrid/>
        <w:spacing w:line="360" w:lineRule="auto"/>
        <w:ind w:firstLine="709"/>
        <w:jc w:val="both"/>
        <w:rPr>
          <w:position w:val="6"/>
          <w:sz w:val="28"/>
          <w:szCs w:val="28"/>
        </w:rPr>
      </w:pPr>
      <w:r w:rsidRPr="005B7636">
        <w:rPr>
          <w:position w:val="6"/>
          <w:sz w:val="28"/>
          <w:szCs w:val="28"/>
        </w:rPr>
        <w:t xml:space="preserve">Задача развития рынка ценных бумаг всегда стояла в центре внимания Правительства Российской Федерации, как одна из приоритетных в комплексе мер государственной экономической политики. С 2006 года развитие рынка ценных бумаг и деятельность ФСФР России осуществляется в рамках Стратегии развития финансового рынка Российской Федерации на 2006-2008 годы, утвержденной распоряжением Правительства Российской Федерации от 1 июня </w:t>
      </w:r>
      <w:smartTag w:uri="urn:schemas-microsoft-com:office:smarttags" w:element="metricconverter">
        <w:smartTagPr>
          <w:attr w:name="ProductID" w:val="2006 г"/>
        </w:smartTagPr>
        <w:r w:rsidRPr="005B7636">
          <w:rPr>
            <w:position w:val="6"/>
            <w:sz w:val="28"/>
            <w:szCs w:val="28"/>
          </w:rPr>
          <w:t>2006 г</w:t>
        </w:r>
      </w:smartTag>
      <w:r w:rsidRPr="005B7636">
        <w:rPr>
          <w:position w:val="6"/>
          <w:sz w:val="28"/>
          <w:szCs w:val="28"/>
        </w:rPr>
        <w:t>. № 793-р. С принятием Стратегии были сформулированы среднесрочные рамки модернизации институтов и инструментов российского финансового рынка в условиях нарастания процессов глобализации мировой финансовой системы, роста интернационализации рынков ценных бумаг, трансграничных инвестиционных сделок и усиления конкуренции крупнейших мировых финансовых центров.</w:t>
      </w:r>
    </w:p>
    <w:p w:rsidR="00AB307F" w:rsidRPr="005B7636" w:rsidRDefault="00AB307F" w:rsidP="005B7636">
      <w:pPr>
        <w:suppressAutoHyphens/>
        <w:snapToGrid/>
        <w:spacing w:line="360" w:lineRule="auto"/>
        <w:ind w:firstLine="709"/>
        <w:jc w:val="both"/>
        <w:rPr>
          <w:position w:val="6"/>
          <w:sz w:val="28"/>
          <w:szCs w:val="28"/>
        </w:rPr>
      </w:pPr>
      <w:r w:rsidRPr="005B7636">
        <w:rPr>
          <w:position w:val="6"/>
          <w:sz w:val="28"/>
          <w:szCs w:val="28"/>
        </w:rPr>
        <w:t xml:space="preserve">К концу 2008 года указанные тенденции приобрели особую остроту. Это наглядно проявляется на фоне ухудшения конъюнктуры мирового финансового рынка, обострения кризисных процессов, актуализации вопросов стратегического развития мировых финансовых центров, их экспансии в страны с развивающимися экономиками. Сложившаяся ситуация на мировых финансовых рынках, а также рост интереса международных финансовых институтов и фондовых бирж к российскому фондовому рынку требуют скорейшего завершения работ по реализации Стратегии, закрепления достигнутых в ходе реализации Стратегии результатов, критического переосмысления отдельных ее положений и формулирования среднесрочных на 2008-2012 годы и долгосрочных до 2020 года мер по совершенствованию регулирования и развитию рынка ценных бумаг в Российской Федерации. </w:t>
      </w:r>
    </w:p>
    <w:p w:rsidR="00AB307F" w:rsidRPr="005B7636" w:rsidRDefault="00AB307F" w:rsidP="005B7636">
      <w:pPr>
        <w:suppressAutoHyphens/>
        <w:snapToGrid/>
        <w:spacing w:line="360" w:lineRule="auto"/>
        <w:ind w:firstLine="709"/>
        <w:jc w:val="both"/>
        <w:rPr>
          <w:position w:val="6"/>
          <w:sz w:val="28"/>
          <w:szCs w:val="28"/>
        </w:rPr>
      </w:pPr>
      <w:r w:rsidRPr="005B7636">
        <w:rPr>
          <w:position w:val="6"/>
          <w:sz w:val="28"/>
          <w:szCs w:val="28"/>
        </w:rPr>
        <w:t xml:space="preserve">В настоящее время уровень развития российского рынка ценных бумаг, сложившаяся нормативно-правовая база регулирования этого рынка, а также достигнутый уровень его развития позволяют сделать вывод о наличии возможностей качественного повышения конкурентоспособности российского рынка ценных бумаг и формирования на его основе самостоятельного мирового финансового центра. </w:t>
      </w:r>
    </w:p>
    <w:p w:rsidR="00AB307F" w:rsidRPr="005B7636" w:rsidRDefault="00AB307F" w:rsidP="005B7636">
      <w:pPr>
        <w:suppressAutoHyphens/>
        <w:snapToGrid/>
        <w:spacing w:line="360" w:lineRule="auto"/>
        <w:ind w:firstLine="709"/>
        <w:jc w:val="both"/>
        <w:rPr>
          <w:position w:val="6"/>
          <w:sz w:val="28"/>
          <w:szCs w:val="28"/>
        </w:rPr>
      </w:pPr>
      <w:r w:rsidRPr="005B7636">
        <w:rPr>
          <w:position w:val="6"/>
          <w:sz w:val="28"/>
          <w:szCs w:val="28"/>
        </w:rPr>
        <w:t>Согласно разворачивающимся в мире тенденциям число стран, где могут сохраниться и продолжать функционировать полноценные рынки ценных бумаг, постепенно сокращается. Есть основания полагать, что уже в ближайшее десятилетие сохраняющиеся немногочисленные национальные финансовые рынки будут приобретать форму мировых финансовых центров, а их наличие в той или иной стране будет одним из важнейших признаков конкурентоспособности экономик таких стран, роста их влияния в мире, обязательным условием их экономического, а значит и политического суверенитета. Поэтому обеспечение долгосрочной конкурентоспособности российского финансового рынка, формирование в России мирового финансового центра не может рассматриваться как сугубо «отраслевая» или «ведомственная» задача. Решение этой задачи должно стать важнейшим приоритетом долгосрочной экономической политики России.</w:t>
      </w:r>
    </w:p>
    <w:p w:rsidR="00AB307F" w:rsidRPr="005B7636" w:rsidRDefault="005B7636" w:rsidP="005B7636">
      <w:pPr>
        <w:shd w:val="clear" w:color="auto" w:fill="FFFFFF"/>
        <w:suppressAutoHyphens/>
        <w:autoSpaceDE w:val="0"/>
        <w:autoSpaceDN w:val="0"/>
        <w:adjustRightInd w:val="0"/>
        <w:snapToGrid/>
        <w:spacing w:line="360" w:lineRule="auto"/>
        <w:ind w:firstLine="709"/>
        <w:jc w:val="both"/>
        <w:rPr>
          <w:b/>
          <w:bCs/>
          <w:iCs/>
          <w:position w:val="6"/>
          <w:sz w:val="28"/>
          <w:szCs w:val="28"/>
        </w:rPr>
      </w:pPr>
      <w:r>
        <w:rPr>
          <w:bCs/>
          <w:iCs/>
          <w:position w:val="6"/>
          <w:sz w:val="28"/>
          <w:szCs w:val="28"/>
        </w:rPr>
        <w:br w:type="page"/>
      </w:r>
      <w:r w:rsidR="00AB307F" w:rsidRPr="005B7636">
        <w:rPr>
          <w:b/>
          <w:bCs/>
          <w:iCs/>
          <w:position w:val="6"/>
          <w:sz w:val="28"/>
          <w:szCs w:val="28"/>
        </w:rPr>
        <w:t xml:space="preserve">1. Сущность спекулятивной операции </w:t>
      </w:r>
      <w:r w:rsidR="00AB307F" w:rsidRPr="005B7636">
        <w:rPr>
          <w:b/>
          <w:position w:val="6"/>
          <w:sz w:val="28"/>
          <w:szCs w:val="28"/>
        </w:rPr>
        <w:t>с ценной бумагой</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bCs/>
          <w:iCs/>
          <w:position w:val="6"/>
          <w:sz w:val="28"/>
          <w:szCs w:val="28"/>
        </w:rPr>
      </w:pP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bCs/>
          <w:iCs/>
          <w:position w:val="6"/>
          <w:sz w:val="28"/>
          <w:szCs w:val="28"/>
        </w:rPr>
        <w:t xml:space="preserve">Спекулятивная операция </w:t>
      </w:r>
      <w:r w:rsidRPr="005B7636">
        <w:rPr>
          <w:position w:val="6"/>
          <w:sz w:val="28"/>
          <w:szCs w:val="28"/>
        </w:rPr>
        <w:t>с ценной бумагой — это операция, состоящая из чередующихся во времени актов покупки и продажи ценной бумаги одним и тем же участником рынка. В отличие от инвестирования, спекуляция есть способ получения дохода от ценной бумаги, связанный с ее окончательным отчуждением при продаже, а не с владением ею.</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Обычное определение спекулятивной операции на рынке ценных бумаг, или просто спекуляции, состоит в том, что это есть операция, имеющая своей целью получение дохода в форме положительной разницы в рыночных ценах, а точнее, положительной разницы между ценой продажи и ценой покупки ценной бумаги. По своей внешней форме спекулятивная операция есть покупка ценной бумаги с последующей ее продажей или, наоборот, продажа ценной бумаги с последующим ее обратным выкупом, которые приносят спекулятивный доход только тогда, когда цена продажи превышает цену покупки.</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Спекулятивная операция с ценной бумагой ничем не отличается от спекуляции с любым другим рыночным товаром. Спекуляция ценными бумагами выросла из спекуляции обычными товарами, которая имела и имеет место на товарном рынке, так как цена всегда отклоняется в ту или иную сторону от своей стоимостной основы под влиянием колебаний спроса и предложения, что собственно и является источником спекулятивного дохода на товарном рынке.</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Хотя спекулятивная операция и включает в качестве обязательных элементов как покупку, так и продажу ценной бумаги, ее нельзя определить, например, как разновидность инвестиционной операции (или наоборот), поскольку суть инвестиционной операции состоит не в покупке и последующей продаже ценной бумаги, а во владении ею в качестве источника капитала для ее владельца. Спекулятивная операция по своему механизму тоже всегда содержит разрыв во времени между покупкой и продажей, но владение ценной бумагой здесь выступает как технический момент операции, а не как ее сущность.</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b/>
          <w:position w:val="6"/>
          <w:sz w:val="28"/>
          <w:szCs w:val="28"/>
        </w:rPr>
      </w:pPr>
      <w:r w:rsidRPr="005B7636">
        <w:rPr>
          <w:b/>
          <w:position w:val="6"/>
          <w:sz w:val="28"/>
          <w:szCs w:val="28"/>
        </w:rPr>
        <w:t>2. Отличие спекулятивной операции от инвестиционной операции</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В отличие от инвестиционной операции в спекулятивной операции покупка ценной бумаги представляет собой обмен ценной бумаги как товара на деньги, а не обмен капитала в одной форме на капитал в другой форме. В случае спекуляции с ценной бумагой она выступает на рынке в качестве обычного товара, а не капитала. Спекулянт покупает ценную бумагу как товар, который можно перепродать по более высокой цене, чем цена его покупки. Его объективной целью не является производительное использование его денежного капитала.</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Однако с позиций спекулянта денежные средства, затрачиваемые им на спекулятивную операцию, есть денежный капитал, ничем не отличающийся от любой другой затраты денег в качестве капитала, т. е. с целью получения дохода. Иначе говоря, и инвестор, и спекулянт затрачивают свои деньги на покупку ценной бумаги как капитал, но в случае инвестирования капиталом является и ценная бумага, а в случае спекуляции ценная бумага остается обычным товаром, не превращается в капитал. Поэтому в экономическом плане </w:t>
      </w:r>
      <w:r w:rsidRPr="005B7636">
        <w:rPr>
          <w:bCs/>
          <w:iCs/>
          <w:position w:val="6"/>
          <w:sz w:val="28"/>
          <w:szCs w:val="28"/>
        </w:rPr>
        <w:t xml:space="preserve">спекуляция </w:t>
      </w:r>
      <w:r w:rsidRPr="005B7636">
        <w:rPr>
          <w:position w:val="6"/>
          <w:sz w:val="28"/>
          <w:szCs w:val="28"/>
        </w:rPr>
        <w:t>есть обмен денежного капитала на ценную бумагу как на товар, в то время как инвестирование, как было сказано в определении, есть обмен денежного капитала на ценную бумагу как на капитал.</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Сама по себе покупка ценной бумаги в качестве товара совершенно бессмысленна, поскольку ценная бумага есть фиктивный товар, который не может быть использован ни в качестве предмета потребления, ни в качестве средства производства. Поэтому тот, кто покупает ее в качестве товара (спекулянт), стремится обычно побыстрее избавиться от нее (т. е. снова продать ее), поскольку обладание ею ничего ему непосредственно не дает (кроме соответствующих «забот» и рисков). В этом, т. е. в бесполезной сущности ценной бумаги как товара, и коренится характерная черта спекуляции — краткосрочность операции.</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Перепродажа ценной бумаги инвестором внешне выглядит как обычная спекулятивная операция, поскольку инвестор часто получает положительную разницу между ценой покупки в прошлом и более высокой текущей ценой продажи. Но, по сути дела, данная разница в ценах отражает прирост капитала за соответствующий временной период, а не случайное увеличение или уменьшение рыночной цены ценной бумаги под влиянием каких-то рыночных или внерыночных событий.</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В отличие от спекулянта инвестор покупает ценную бумагу сразу как капитал, т. е. как такой товар, полезность которого состоит в приносимом им процентном или дивидендом доходе и в увеличении акционерного капитала с течением времени. Отсюда неизбежно проистекает долгосрочность инвестиционной операции, так как капиталу необходимо время, чтобы произвести доход и возрасти в результате процесса его производства.</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Практическая неразделимость спекуляции и инвестирования кроется в том, что любой участник рынка стремится по возможности получить сразу все виды доходов по ценной бумаге: и инвестиционные, и спекулятивные. Для него совершенно безразличны вид, характер и сроки получения дохода, потому что значение имеет лишь доход сам по себе, а не то, как он получен и в каком виде. Собственно, в этом и проявляется экономическая сущность капитала — получение дохода безразлично к его конкретным формам и способам получения. </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b/>
          <w:position w:val="6"/>
          <w:sz w:val="28"/>
          <w:szCs w:val="28"/>
        </w:rPr>
      </w:pPr>
      <w:r w:rsidRPr="005B7636">
        <w:rPr>
          <w:b/>
          <w:bCs/>
          <w:position w:val="6"/>
          <w:sz w:val="28"/>
          <w:szCs w:val="28"/>
        </w:rPr>
        <w:t>3. Классификация спекулятивных операций</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Спекулятивные операции подразделяются на:</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bCs/>
          <w:position w:val="6"/>
          <w:sz w:val="28"/>
          <w:szCs w:val="28"/>
        </w:rPr>
        <w:t>-</w:t>
      </w:r>
      <w:r w:rsidRPr="005B7636">
        <w:rPr>
          <w:position w:val="6"/>
          <w:sz w:val="28"/>
          <w:szCs w:val="28"/>
        </w:rPr>
        <w:t xml:space="preserve"> </w:t>
      </w:r>
      <w:r w:rsidRPr="005B7636">
        <w:rPr>
          <w:bCs/>
          <w:iCs/>
          <w:position w:val="6"/>
          <w:sz w:val="28"/>
          <w:szCs w:val="28"/>
        </w:rPr>
        <w:t xml:space="preserve">простые </w:t>
      </w:r>
      <w:r w:rsidRPr="005B7636">
        <w:rPr>
          <w:iCs/>
          <w:position w:val="6"/>
          <w:sz w:val="28"/>
          <w:szCs w:val="28"/>
        </w:rPr>
        <w:t xml:space="preserve">— </w:t>
      </w:r>
      <w:r w:rsidRPr="005B7636">
        <w:rPr>
          <w:position w:val="6"/>
          <w:sz w:val="28"/>
          <w:szCs w:val="28"/>
        </w:rPr>
        <w:t>это спекулятивные операции, представляющие собой разделенное во времени сочетание покупки и продажи одной и той же ценной бумаги одним и тем же спекулянтом по рыночным ценам на моменты заключения сделок;</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bCs/>
          <w:position w:val="6"/>
          <w:sz w:val="28"/>
          <w:szCs w:val="28"/>
        </w:rPr>
        <w:t>-</w:t>
      </w:r>
      <w:r w:rsidRPr="005B7636">
        <w:rPr>
          <w:position w:val="6"/>
          <w:sz w:val="28"/>
          <w:szCs w:val="28"/>
        </w:rPr>
        <w:t xml:space="preserve"> </w:t>
      </w:r>
      <w:r w:rsidRPr="005B7636">
        <w:rPr>
          <w:bCs/>
          <w:iCs/>
          <w:position w:val="6"/>
          <w:sz w:val="28"/>
          <w:szCs w:val="28"/>
        </w:rPr>
        <w:t xml:space="preserve">операции спрэд </w:t>
      </w:r>
      <w:r w:rsidRPr="005B7636">
        <w:rPr>
          <w:iCs/>
          <w:position w:val="6"/>
          <w:sz w:val="28"/>
          <w:szCs w:val="28"/>
        </w:rPr>
        <w:t xml:space="preserve">— </w:t>
      </w:r>
      <w:r w:rsidRPr="005B7636">
        <w:rPr>
          <w:position w:val="6"/>
          <w:sz w:val="28"/>
          <w:szCs w:val="28"/>
        </w:rPr>
        <w:t>это спекулятивные операции, представляющие собой комбинации из простых спекулятивных операций, имеющих разную направленность.</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Простые спекулятивные операции классифицируются в зависимости от: </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1) характера операции:</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 </w:t>
      </w:r>
      <w:r w:rsidRPr="005B7636">
        <w:rPr>
          <w:iCs/>
          <w:position w:val="6"/>
          <w:sz w:val="28"/>
          <w:szCs w:val="28"/>
        </w:rPr>
        <w:t xml:space="preserve">операции «быков», </w:t>
      </w:r>
      <w:r w:rsidRPr="005B7636">
        <w:rPr>
          <w:position w:val="6"/>
          <w:sz w:val="28"/>
          <w:szCs w:val="28"/>
        </w:rPr>
        <w:t>т. е. операции, совершаемые спекулянтами в расчете на повышение рыночной цены в будущем. Суть операции состоит в том, что сначала ценная бумага покупается, а затем через какое-то время продается по более высокой цене, если прогноз спекулянта оправдался. В противном случае спекулянт понесет убыток при продаже ценной бумаги;</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 </w:t>
      </w:r>
      <w:r w:rsidRPr="005B7636">
        <w:rPr>
          <w:iCs/>
          <w:position w:val="6"/>
          <w:sz w:val="28"/>
          <w:szCs w:val="28"/>
        </w:rPr>
        <w:t xml:space="preserve">операции «медведей», </w:t>
      </w:r>
      <w:r w:rsidRPr="005B7636">
        <w:rPr>
          <w:position w:val="6"/>
          <w:sz w:val="28"/>
          <w:szCs w:val="28"/>
        </w:rPr>
        <w:t>т. е. операции, совершаемые спекулянтами в расчете на снижение рыночной цены в будущем. Суть операции состоит в том, что сначала ценная бумага продается, а затем через какое-то время выкупается, но по более низкой цене, чем цена ее продажи. Если прогноз спекулянта оправдался, то он получает прибыль. В противном случае операция принесет спекулянту убыток;</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2) источника спекулятивного капитала (в форме денежных средств или ценных бумаг):</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 </w:t>
      </w:r>
      <w:r w:rsidRPr="005B7636">
        <w:rPr>
          <w:iCs/>
          <w:position w:val="6"/>
          <w:sz w:val="28"/>
          <w:szCs w:val="28"/>
        </w:rPr>
        <w:t xml:space="preserve">операции за счет собственного капитала </w:t>
      </w:r>
      <w:r w:rsidRPr="005B7636">
        <w:rPr>
          <w:position w:val="6"/>
          <w:sz w:val="28"/>
          <w:szCs w:val="28"/>
        </w:rPr>
        <w:t>спекулянта — это спекулятивные операции, осуществляемые за счет денежного капитала (денежных средств) спекулянта или принадлежащих ему ценных бумаг;</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 </w:t>
      </w:r>
      <w:r w:rsidRPr="005B7636">
        <w:rPr>
          <w:iCs/>
          <w:position w:val="6"/>
          <w:sz w:val="28"/>
          <w:szCs w:val="28"/>
        </w:rPr>
        <w:t xml:space="preserve">операции за счет заемного капитала </w:t>
      </w:r>
      <w:r w:rsidRPr="005B7636">
        <w:rPr>
          <w:position w:val="6"/>
          <w:sz w:val="28"/>
          <w:szCs w:val="28"/>
        </w:rPr>
        <w:t>— это спекулятивные операции, осуществляемые за счет заемного денежного капитала (денежной ссуды) или ценных бумаг, взятых взаймы. Данные операции в зависимости от способа получения заемного капитала могут быть разделены на:</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w:t>
      </w:r>
      <w:r w:rsidR="005B7636">
        <w:rPr>
          <w:position w:val="6"/>
          <w:sz w:val="28"/>
          <w:szCs w:val="28"/>
        </w:rPr>
        <w:t xml:space="preserve"> </w:t>
      </w:r>
      <w:r w:rsidRPr="005B7636">
        <w:rPr>
          <w:position w:val="6"/>
          <w:sz w:val="28"/>
          <w:szCs w:val="28"/>
        </w:rPr>
        <w:t>операции, для которых заемный капитал привлекается с использованием тех или иных гарантий (залог, поручительство и др.) или на доверительной основе;</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w:t>
      </w:r>
      <w:r w:rsidR="005B7636">
        <w:rPr>
          <w:position w:val="6"/>
          <w:sz w:val="28"/>
          <w:szCs w:val="28"/>
        </w:rPr>
        <w:t xml:space="preserve"> </w:t>
      </w:r>
      <w:r w:rsidRPr="005B7636">
        <w:rPr>
          <w:iCs/>
          <w:position w:val="6"/>
          <w:sz w:val="28"/>
          <w:szCs w:val="28"/>
        </w:rPr>
        <w:t xml:space="preserve">операции репо — </w:t>
      </w:r>
      <w:r w:rsidRPr="005B7636">
        <w:rPr>
          <w:position w:val="6"/>
          <w:sz w:val="28"/>
          <w:szCs w:val="28"/>
        </w:rPr>
        <w:t xml:space="preserve">это операции, осуществляемые с привлечением заемного капитала путем </w:t>
      </w:r>
      <w:r w:rsidRPr="005B7636">
        <w:rPr>
          <w:iCs/>
          <w:position w:val="6"/>
          <w:sz w:val="28"/>
          <w:szCs w:val="28"/>
        </w:rPr>
        <w:t xml:space="preserve">временной </w:t>
      </w:r>
      <w:r w:rsidRPr="005B7636">
        <w:rPr>
          <w:position w:val="6"/>
          <w:sz w:val="28"/>
          <w:szCs w:val="28"/>
        </w:rPr>
        <w:t xml:space="preserve">продажи ценных бумаг, принадлежащих спекулянту, или их </w:t>
      </w:r>
      <w:r w:rsidRPr="005B7636">
        <w:rPr>
          <w:iCs/>
          <w:position w:val="6"/>
          <w:sz w:val="28"/>
          <w:szCs w:val="28"/>
        </w:rPr>
        <w:t xml:space="preserve">временной </w:t>
      </w:r>
      <w:r w:rsidRPr="005B7636">
        <w:rPr>
          <w:position w:val="6"/>
          <w:sz w:val="28"/>
          <w:szCs w:val="28"/>
        </w:rPr>
        <w:t>покупки им;</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 </w:t>
      </w:r>
      <w:r w:rsidRPr="005B7636">
        <w:rPr>
          <w:iCs/>
          <w:position w:val="6"/>
          <w:sz w:val="28"/>
          <w:szCs w:val="28"/>
        </w:rPr>
        <w:t xml:space="preserve">маржинальные операции </w:t>
      </w:r>
      <w:r w:rsidRPr="005B7636">
        <w:rPr>
          <w:position w:val="6"/>
          <w:sz w:val="28"/>
          <w:szCs w:val="28"/>
        </w:rPr>
        <w:t>— это спекулятивные операции, которые осуществляются за счет комбинации собственного денежного капитала спекулянта (маржи) и заемного капитала в форме денег или ценных бумаг.</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bCs/>
          <w:iCs/>
          <w:position w:val="6"/>
          <w:sz w:val="28"/>
          <w:szCs w:val="28"/>
        </w:rPr>
        <w:t>Модель прибыли (убытка) по простой спекулятивной операции:</w:t>
      </w:r>
    </w:p>
    <w:p w:rsidR="005B7636" w:rsidRDefault="005B7636" w:rsidP="005B7636">
      <w:pPr>
        <w:shd w:val="clear" w:color="auto" w:fill="FFFFFF"/>
        <w:suppressAutoHyphens/>
        <w:autoSpaceDE w:val="0"/>
        <w:autoSpaceDN w:val="0"/>
        <w:adjustRightInd w:val="0"/>
        <w:snapToGrid/>
        <w:spacing w:line="360" w:lineRule="auto"/>
        <w:ind w:firstLine="709"/>
        <w:jc w:val="both"/>
        <w:rPr>
          <w:position w:val="6"/>
          <w:sz w:val="28"/>
          <w:szCs w:val="28"/>
          <w:lang w:val="en-US"/>
        </w:rPr>
      </w:pPr>
    </w:p>
    <w:p w:rsidR="00AB307F"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lang w:val="en-US"/>
        </w:rPr>
      </w:pPr>
      <w:r w:rsidRPr="005B7636">
        <w:rPr>
          <w:position w:val="6"/>
          <w:sz w:val="28"/>
          <w:szCs w:val="28"/>
        </w:rPr>
        <w:t>П = Ц</w:t>
      </w:r>
      <w:r w:rsidRPr="005B7636">
        <w:rPr>
          <w:position w:val="6"/>
          <w:sz w:val="28"/>
          <w:szCs w:val="28"/>
          <w:vertAlign w:val="subscript"/>
        </w:rPr>
        <w:t>пр</w:t>
      </w:r>
      <w:r w:rsidRPr="005B7636">
        <w:rPr>
          <w:position w:val="6"/>
          <w:sz w:val="28"/>
          <w:szCs w:val="28"/>
        </w:rPr>
        <w:t>-Ц</w:t>
      </w:r>
      <w:r w:rsidRPr="005B7636">
        <w:rPr>
          <w:position w:val="6"/>
          <w:sz w:val="28"/>
          <w:szCs w:val="28"/>
          <w:vertAlign w:val="subscript"/>
        </w:rPr>
        <w:t>пок</w:t>
      </w:r>
      <w:r w:rsidRPr="005B7636">
        <w:rPr>
          <w:position w:val="6"/>
          <w:sz w:val="28"/>
          <w:szCs w:val="28"/>
        </w:rPr>
        <w:t>,</w:t>
      </w:r>
      <w:r w:rsidR="005B7636">
        <w:rPr>
          <w:rFonts w:cs="Arial"/>
          <w:position w:val="6"/>
          <w:sz w:val="28"/>
          <w:szCs w:val="28"/>
        </w:rPr>
        <w:t xml:space="preserve"> </w:t>
      </w:r>
      <w:r w:rsidRPr="005B7636">
        <w:rPr>
          <w:position w:val="6"/>
          <w:sz w:val="28"/>
          <w:szCs w:val="28"/>
        </w:rPr>
        <w:t>(1)</w:t>
      </w:r>
    </w:p>
    <w:p w:rsidR="005B7636" w:rsidRPr="005B7636" w:rsidRDefault="005B7636" w:rsidP="005B7636">
      <w:pPr>
        <w:shd w:val="clear" w:color="auto" w:fill="FFFFFF"/>
        <w:suppressAutoHyphens/>
        <w:autoSpaceDE w:val="0"/>
        <w:autoSpaceDN w:val="0"/>
        <w:adjustRightInd w:val="0"/>
        <w:snapToGrid/>
        <w:spacing w:line="360" w:lineRule="auto"/>
        <w:ind w:firstLine="709"/>
        <w:jc w:val="both"/>
        <w:rPr>
          <w:position w:val="6"/>
          <w:sz w:val="28"/>
          <w:szCs w:val="28"/>
          <w:lang w:val="en-US"/>
        </w:rPr>
      </w:pP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где</w:t>
      </w:r>
      <w:r w:rsidR="005B7636">
        <w:rPr>
          <w:position w:val="6"/>
          <w:sz w:val="28"/>
          <w:szCs w:val="28"/>
        </w:rPr>
        <w:t xml:space="preserve"> </w:t>
      </w:r>
      <w:r w:rsidRPr="005B7636">
        <w:rPr>
          <w:position w:val="6"/>
          <w:sz w:val="28"/>
          <w:szCs w:val="28"/>
        </w:rPr>
        <w:t>П - прибыль в случае, если Ц</w:t>
      </w:r>
      <w:r w:rsidRPr="005B7636">
        <w:rPr>
          <w:position w:val="6"/>
          <w:sz w:val="28"/>
          <w:szCs w:val="28"/>
          <w:vertAlign w:val="subscript"/>
        </w:rPr>
        <w:t>пр</w:t>
      </w:r>
      <w:r w:rsidRPr="005B7636">
        <w:rPr>
          <w:position w:val="6"/>
          <w:sz w:val="28"/>
          <w:szCs w:val="28"/>
        </w:rPr>
        <w:t xml:space="preserve"> больше Ц</w:t>
      </w:r>
      <w:r w:rsidRPr="005B7636">
        <w:rPr>
          <w:position w:val="6"/>
          <w:sz w:val="28"/>
          <w:szCs w:val="28"/>
          <w:vertAlign w:val="subscript"/>
        </w:rPr>
        <w:t>пок</w:t>
      </w:r>
      <w:r w:rsidRPr="005B7636">
        <w:rPr>
          <w:position w:val="6"/>
          <w:sz w:val="28"/>
          <w:szCs w:val="28"/>
        </w:rPr>
        <w:t>, или убыток, если Ц</w:t>
      </w:r>
      <w:r w:rsidRPr="005B7636">
        <w:rPr>
          <w:position w:val="6"/>
          <w:sz w:val="28"/>
          <w:szCs w:val="28"/>
          <w:vertAlign w:val="subscript"/>
        </w:rPr>
        <w:t>пр</w:t>
      </w:r>
      <w:r w:rsidRPr="005B7636">
        <w:rPr>
          <w:position w:val="6"/>
          <w:sz w:val="28"/>
          <w:szCs w:val="28"/>
        </w:rPr>
        <w:t xml:space="preserve"> меньше, чем Ц</w:t>
      </w:r>
      <w:r w:rsidRPr="005B7636">
        <w:rPr>
          <w:position w:val="6"/>
          <w:sz w:val="28"/>
          <w:szCs w:val="28"/>
          <w:vertAlign w:val="subscript"/>
        </w:rPr>
        <w:t>пок</w:t>
      </w:r>
      <w:r w:rsidRPr="005B7636">
        <w:rPr>
          <w:position w:val="6"/>
          <w:sz w:val="28"/>
          <w:szCs w:val="28"/>
        </w:rPr>
        <w:t xml:space="preserve">; </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Ц</w:t>
      </w:r>
      <w:r w:rsidRPr="005B7636">
        <w:rPr>
          <w:position w:val="6"/>
          <w:sz w:val="28"/>
          <w:szCs w:val="28"/>
          <w:vertAlign w:val="subscript"/>
        </w:rPr>
        <w:t>пр</w:t>
      </w:r>
      <w:r w:rsidRPr="005B7636">
        <w:rPr>
          <w:position w:val="6"/>
          <w:sz w:val="28"/>
          <w:szCs w:val="28"/>
        </w:rPr>
        <w:t xml:space="preserve"> - цена продажи ценной бумаги на рынке; </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Ц</w:t>
      </w:r>
      <w:r w:rsidRPr="005B7636">
        <w:rPr>
          <w:position w:val="6"/>
          <w:sz w:val="28"/>
          <w:szCs w:val="28"/>
          <w:vertAlign w:val="subscript"/>
        </w:rPr>
        <w:t>пок</w:t>
      </w:r>
      <w:r w:rsidRPr="005B7636">
        <w:rPr>
          <w:position w:val="6"/>
          <w:sz w:val="28"/>
          <w:szCs w:val="28"/>
        </w:rPr>
        <w:t xml:space="preserve"> – цена покупки ценной бумаги на рынке. </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Например, спекулянт рассчитывает на повышение рыночной цены акции в ближайшее время. Он покупает эту акцию по текущей цене, например за 100 руб. Через несколько дней его прогноз оправдывается, и цена возрастает до 120 руб. за акцию. Спекулянт продает ранее купленную акцию и получает спекулятивную прибыль в размере 20 руб. (120 руб. - 100 руб.). Если его прогноз окажется неверным и цена не повысится в должной мере или даже снизится ниже уровня цены покупки акции, то выбор спекулянта обычно сводится к следующему. Либо ему приходится ждать и надеяться на рост цены в дальнейшем, и тогда его капитал омертвляется в акции, лишая спекулянта возможности дальнейшего спекулирования и, соответственно, необходимых ему доходов от своей спекулятивной деятельности. Поэтому, как правило, спекулянт продает акцию в установленный по данной операции срок, пусть даже с какими-то потерями, которые он обычно заранее планирует, и затем осуществляет новую спекулятивную операцию с учетом опыта предыдущей (предыдущих) операции.</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bCs/>
          <w:position w:val="6"/>
          <w:sz w:val="28"/>
          <w:szCs w:val="28"/>
        </w:rPr>
        <w:t>Операции спрэд</w:t>
      </w:r>
      <w:r w:rsidR="00236F23" w:rsidRPr="005B7636">
        <w:rPr>
          <w:bCs/>
          <w:position w:val="6"/>
          <w:sz w:val="28"/>
          <w:szCs w:val="28"/>
        </w:rPr>
        <w:t xml:space="preserve"> </w:t>
      </w:r>
      <w:r w:rsidRPr="005B7636">
        <w:rPr>
          <w:position w:val="6"/>
          <w:sz w:val="28"/>
          <w:szCs w:val="28"/>
        </w:rPr>
        <w:t>обычно классифицируются</w:t>
      </w:r>
      <w:r w:rsidR="00236F23" w:rsidRPr="005B7636">
        <w:rPr>
          <w:position w:val="6"/>
          <w:sz w:val="28"/>
          <w:szCs w:val="28"/>
        </w:rPr>
        <w:t xml:space="preserve"> следующим образом</w:t>
      </w:r>
      <w:r w:rsidRPr="005B7636">
        <w:rPr>
          <w:position w:val="6"/>
          <w:sz w:val="28"/>
          <w:szCs w:val="28"/>
        </w:rPr>
        <w:t>:</w:t>
      </w:r>
    </w:p>
    <w:p w:rsidR="00AB307F" w:rsidRPr="005B7636" w:rsidRDefault="00236F23"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 xml:space="preserve">- </w:t>
      </w:r>
      <w:r w:rsidR="00AB307F" w:rsidRPr="005B7636">
        <w:rPr>
          <w:position w:val="6"/>
          <w:sz w:val="28"/>
          <w:szCs w:val="28"/>
        </w:rPr>
        <w:t>по виду рынка:</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w:t>
      </w:r>
      <w:r w:rsidR="005B7636">
        <w:rPr>
          <w:position w:val="6"/>
          <w:sz w:val="28"/>
          <w:szCs w:val="28"/>
        </w:rPr>
        <w:t xml:space="preserve"> </w:t>
      </w:r>
      <w:r w:rsidRPr="005B7636">
        <w:rPr>
          <w:iCs/>
          <w:position w:val="6"/>
          <w:sz w:val="28"/>
          <w:szCs w:val="28"/>
        </w:rPr>
        <w:t xml:space="preserve">внутрибиржевые спрэды </w:t>
      </w:r>
      <w:r w:rsidRPr="005B7636">
        <w:rPr>
          <w:position w:val="6"/>
          <w:sz w:val="28"/>
          <w:szCs w:val="28"/>
        </w:rPr>
        <w:t>— это операции спрэд с ценными бумагами на одной бирже;</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w:t>
      </w:r>
      <w:r w:rsidR="005B7636">
        <w:rPr>
          <w:position w:val="6"/>
          <w:sz w:val="28"/>
          <w:szCs w:val="28"/>
        </w:rPr>
        <w:t xml:space="preserve"> </w:t>
      </w:r>
      <w:r w:rsidRPr="005B7636">
        <w:rPr>
          <w:iCs/>
          <w:position w:val="6"/>
          <w:sz w:val="28"/>
          <w:szCs w:val="28"/>
        </w:rPr>
        <w:t xml:space="preserve">межбиржевые спрэды — </w:t>
      </w:r>
      <w:r w:rsidRPr="005B7636">
        <w:rPr>
          <w:position w:val="6"/>
          <w:sz w:val="28"/>
          <w:szCs w:val="28"/>
        </w:rPr>
        <w:t>это операции спрэд с ценными бумагами на разных биржах;</w:t>
      </w:r>
    </w:p>
    <w:p w:rsidR="00AB307F" w:rsidRPr="005B7636" w:rsidRDefault="00236F23"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w:t>
      </w:r>
      <w:r w:rsidR="00AB307F" w:rsidRPr="005B7636">
        <w:rPr>
          <w:position w:val="6"/>
          <w:sz w:val="28"/>
          <w:szCs w:val="28"/>
        </w:rPr>
        <w:t xml:space="preserve"> по видам ценных бумаг:</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w:t>
      </w:r>
      <w:r w:rsidR="005B7636">
        <w:rPr>
          <w:position w:val="6"/>
          <w:sz w:val="28"/>
          <w:szCs w:val="28"/>
        </w:rPr>
        <w:t xml:space="preserve"> </w:t>
      </w:r>
      <w:r w:rsidRPr="005B7636">
        <w:rPr>
          <w:iCs/>
          <w:position w:val="6"/>
          <w:sz w:val="28"/>
          <w:szCs w:val="28"/>
        </w:rPr>
        <w:t xml:space="preserve">внутригрупповые спрэды </w:t>
      </w:r>
      <w:r w:rsidRPr="005B7636">
        <w:rPr>
          <w:position w:val="6"/>
          <w:sz w:val="28"/>
          <w:szCs w:val="28"/>
        </w:rPr>
        <w:t>— это операции спрэд с ценными бумагами одного вида или одной подгруппы;</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w:t>
      </w:r>
      <w:r w:rsidR="005B7636">
        <w:rPr>
          <w:position w:val="6"/>
          <w:sz w:val="28"/>
          <w:szCs w:val="28"/>
        </w:rPr>
        <w:t xml:space="preserve"> </w:t>
      </w:r>
      <w:r w:rsidRPr="005B7636">
        <w:rPr>
          <w:iCs/>
          <w:position w:val="6"/>
          <w:sz w:val="28"/>
          <w:szCs w:val="28"/>
        </w:rPr>
        <w:t xml:space="preserve">межгрупповые спрэды — </w:t>
      </w:r>
      <w:r w:rsidRPr="005B7636">
        <w:rPr>
          <w:position w:val="6"/>
          <w:sz w:val="28"/>
          <w:szCs w:val="28"/>
        </w:rPr>
        <w:t>это операции спрэд с ценными бумагами разных видов (стран и т.п.).</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bCs/>
          <w:iCs/>
          <w:position w:val="6"/>
          <w:sz w:val="28"/>
          <w:szCs w:val="28"/>
        </w:rPr>
        <w:t>Модель прибыли (убытка) по операции спрэд:</w:t>
      </w:r>
    </w:p>
    <w:p w:rsidR="005B7636" w:rsidRDefault="005B7636" w:rsidP="005B7636">
      <w:pPr>
        <w:shd w:val="clear" w:color="auto" w:fill="FFFFFF"/>
        <w:suppressAutoHyphens/>
        <w:autoSpaceDE w:val="0"/>
        <w:autoSpaceDN w:val="0"/>
        <w:adjustRightInd w:val="0"/>
        <w:snapToGrid/>
        <w:spacing w:line="360" w:lineRule="auto"/>
        <w:ind w:firstLine="709"/>
        <w:jc w:val="both"/>
        <w:rPr>
          <w:position w:val="6"/>
          <w:sz w:val="28"/>
          <w:szCs w:val="28"/>
          <w:lang w:val="en-US"/>
        </w:rPr>
      </w:pPr>
    </w:p>
    <w:p w:rsidR="00AB307F" w:rsidRDefault="00236F23" w:rsidP="005B7636">
      <w:pPr>
        <w:shd w:val="clear" w:color="auto" w:fill="FFFFFF"/>
        <w:suppressAutoHyphens/>
        <w:autoSpaceDE w:val="0"/>
        <w:autoSpaceDN w:val="0"/>
        <w:adjustRightInd w:val="0"/>
        <w:snapToGrid/>
        <w:spacing w:line="360" w:lineRule="auto"/>
        <w:ind w:firstLine="709"/>
        <w:jc w:val="both"/>
        <w:rPr>
          <w:position w:val="6"/>
          <w:sz w:val="28"/>
          <w:szCs w:val="28"/>
          <w:lang w:val="en-US"/>
        </w:rPr>
      </w:pPr>
      <w:r w:rsidRPr="005B7636">
        <w:rPr>
          <w:position w:val="6"/>
          <w:sz w:val="28"/>
          <w:szCs w:val="28"/>
        </w:rPr>
        <w:t>П</w:t>
      </w:r>
      <w:r w:rsidRPr="005B7636">
        <w:rPr>
          <w:position w:val="6"/>
          <w:sz w:val="28"/>
          <w:szCs w:val="28"/>
          <w:vertAlign w:val="superscript"/>
        </w:rPr>
        <w:t xml:space="preserve"> </w:t>
      </w:r>
      <w:r w:rsidR="00AB307F" w:rsidRPr="005B7636">
        <w:rPr>
          <w:position w:val="6"/>
          <w:sz w:val="28"/>
          <w:szCs w:val="28"/>
        </w:rPr>
        <w:t>= П</w:t>
      </w:r>
      <w:r w:rsidRPr="005B7636">
        <w:rPr>
          <w:position w:val="6"/>
          <w:sz w:val="28"/>
          <w:szCs w:val="28"/>
          <w:vertAlign w:val="subscript"/>
        </w:rPr>
        <w:t>б</w:t>
      </w:r>
      <w:r w:rsidR="00AB307F" w:rsidRPr="005B7636">
        <w:rPr>
          <w:position w:val="6"/>
          <w:sz w:val="28"/>
          <w:szCs w:val="28"/>
        </w:rPr>
        <w:t xml:space="preserve"> + П</w:t>
      </w:r>
      <w:r w:rsidR="00AB307F" w:rsidRPr="005B7636">
        <w:rPr>
          <w:position w:val="6"/>
          <w:sz w:val="28"/>
          <w:szCs w:val="28"/>
          <w:vertAlign w:val="subscript"/>
        </w:rPr>
        <w:t>М</w:t>
      </w:r>
      <w:r w:rsidR="00AB307F" w:rsidRPr="005B7636">
        <w:rPr>
          <w:position w:val="6"/>
          <w:sz w:val="28"/>
          <w:szCs w:val="28"/>
        </w:rPr>
        <w:t>,</w:t>
      </w:r>
      <w:r w:rsidR="005B7636">
        <w:rPr>
          <w:rFonts w:cs="Arial"/>
          <w:position w:val="6"/>
          <w:sz w:val="28"/>
          <w:szCs w:val="28"/>
        </w:rPr>
        <w:t xml:space="preserve"> </w:t>
      </w:r>
      <w:r w:rsidR="00AB307F" w:rsidRPr="005B7636">
        <w:rPr>
          <w:position w:val="6"/>
          <w:sz w:val="28"/>
          <w:szCs w:val="28"/>
        </w:rPr>
        <w:t>(</w:t>
      </w:r>
      <w:r w:rsidRPr="005B7636">
        <w:rPr>
          <w:position w:val="6"/>
          <w:sz w:val="28"/>
          <w:szCs w:val="28"/>
        </w:rPr>
        <w:t>2</w:t>
      </w:r>
      <w:r w:rsidR="00AB307F" w:rsidRPr="005B7636">
        <w:rPr>
          <w:position w:val="6"/>
          <w:sz w:val="28"/>
          <w:szCs w:val="28"/>
        </w:rPr>
        <w:t>)</w:t>
      </w:r>
    </w:p>
    <w:p w:rsidR="005B7636" w:rsidRPr="005B7636" w:rsidRDefault="005B7636" w:rsidP="005B7636">
      <w:pPr>
        <w:shd w:val="clear" w:color="auto" w:fill="FFFFFF"/>
        <w:suppressAutoHyphens/>
        <w:autoSpaceDE w:val="0"/>
        <w:autoSpaceDN w:val="0"/>
        <w:adjustRightInd w:val="0"/>
        <w:snapToGrid/>
        <w:spacing w:line="360" w:lineRule="auto"/>
        <w:ind w:firstLine="709"/>
        <w:jc w:val="both"/>
        <w:rPr>
          <w:position w:val="6"/>
          <w:sz w:val="28"/>
          <w:szCs w:val="28"/>
          <w:lang w:val="en-US"/>
        </w:rPr>
      </w:pP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где</w:t>
      </w:r>
      <w:r w:rsidR="005B7636">
        <w:rPr>
          <w:position w:val="6"/>
          <w:sz w:val="28"/>
          <w:szCs w:val="28"/>
        </w:rPr>
        <w:t xml:space="preserve"> </w:t>
      </w:r>
      <w:r w:rsidRPr="005B7636">
        <w:rPr>
          <w:position w:val="6"/>
          <w:sz w:val="28"/>
          <w:szCs w:val="28"/>
        </w:rPr>
        <w:t>П — прибыль (убыток) по операции;</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П</w:t>
      </w:r>
      <w:r w:rsidR="00236F23" w:rsidRPr="005B7636">
        <w:rPr>
          <w:position w:val="6"/>
          <w:sz w:val="28"/>
          <w:szCs w:val="28"/>
          <w:vertAlign w:val="subscript"/>
        </w:rPr>
        <w:t>б</w:t>
      </w:r>
      <w:r w:rsidRPr="005B7636">
        <w:rPr>
          <w:position w:val="6"/>
          <w:sz w:val="28"/>
          <w:szCs w:val="28"/>
        </w:rPr>
        <w:t xml:space="preserve"> — прибыль (убыток) по операции «быка»;</w:t>
      </w:r>
    </w:p>
    <w:p w:rsidR="00236F23"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П</w:t>
      </w:r>
      <w:r w:rsidRPr="005B7636">
        <w:rPr>
          <w:position w:val="6"/>
          <w:sz w:val="28"/>
          <w:szCs w:val="28"/>
          <w:vertAlign w:val="subscript"/>
        </w:rPr>
        <w:t>м</w:t>
      </w:r>
      <w:r w:rsidRPr="005B7636">
        <w:rPr>
          <w:position w:val="6"/>
          <w:sz w:val="28"/>
          <w:szCs w:val="28"/>
        </w:rPr>
        <w:t xml:space="preserve"> — прибыль (убыток) по операции «медведя». </w:t>
      </w:r>
    </w:p>
    <w:p w:rsidR="00AB307F" w:rsidRPr="005B7636" w:rsidRDefault="00AB307F" w:rsidP="005B7636">
      <w:pPr>
        <w:shd w:val="clear" w:color="auto" w:fill="FFFFFF"/>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Операция спрэд состоит в одновременном проведении как операции «быка», так и операции «медведя» по выбранным двум ценным бумагам, динамика цен по которым, по мнению спекулянта, как-то взаимосвязана. Он исходит из того, что в случае изменения их рыночных цен рост цены одной ценной бумаги окажется больше, чем падение цены другой ценной бумаги, или наоборот. Поэтому прибыль от одной из операций обязательно перекроет по его расчетам возможный убыток от другой операции.</w:t>
      </w:r>
    </w:p>
    <w:p w:rsidR="00E83AF5" w:rsidRPr="005B7636" w:rsidRDefault="00AB307F" w:rsidP="005B7636">
      <w:pPr>
        <w:suppressAutoHyphens/>
        <w:snapToGrid/>
        <w:spacing w:line="360" w:lineRule="auto"/>
        <w:ind w:firstLine="709"/>
        <w:jc w:val="both"/>
        <w:rPr>
          <w:position w:val="6"/>
          <w:sz w:val="28"/>
          <w:szCs w:val="28"/>
        </w:rPr>
      </w:pPr>
      <w:r w:rsidRPr="005B7636">
        <w:rPr>
          <w:position w:val="6"/>
          <w:sz w:val="28"/>
          <w:szCs w:val="28"/>
        </w:rPr>
        <w:t>Операции спрэд очень сложные с точки зрения их обоснования, прогнозирования, и на рынке ценных бумаг они используются намного реже, чем, например, на рынках производных инструментов.</w:t>
      </w:r>
    </w:p>
    <w:p w:rsidR="00236F23" w:rsidRPr="005B7636" w:rsidRDefault="005B7636" w:rsidP="005B7636">
      <w:pPr>
        <w:suppressAutoHyphens/>
        <w:snapToGrid/>
        <w:spacing w:line="360" w:lineRule="auto"/>
        <w:ind w:firstLine="709"/>
        <w:jc w:val="both"/>
        <w:rPr>
          <w:b/>
          <w:position w:val="6"/>
          <w:sz w:val="28"/>
          <w:szCs w:val="28"/>
        </w:rPr>
      </w:pPr>
      <w:r>
        <w:rPr>
          <w:position w:val="6"/>
          <w:sz w:val="28"/>
          <w:szCs w:val="28"/>
        </w:rPr>
        <w:br w:type="page"/>
      </w:r>
      <w:r w:rsidR="00236F23" w:rsidRPr="005B7636">
        <w:rPr>
          <w:b/>
          <w:position w:val="6"/>
          <w:sz w:val="28"/>
          <w:szCs w:val="28"/>
        </w:rPr>
        <w:t>Заключение</w:t>
      </w:r>
    </w:p>
    <w:p w:rsidR="00236F23" w:rsidRPr="005B7636" w:rsidRDefault="00236F23" w:rsidP="005B7636">
      <w:pPr>
        <w:suppressAutoHyphens/>
        <w:snapToGrid/>
        <w:spacing w:line="360" w:lineRule="auto"/>
        <w:ind w:firstLine="709"/>
        <w:jc w:val="both"/>
        <w:rPr>
          <w:position w:val="6"/>
          <w:sz w:val="28"/>
          <w:szCs w:val="28"/>
        </w:rPr>
      </w:pP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В период 2006-2007 годов динамичное развитие рынка ценных бумаг сопровождалось работой ФСФР России по дальнейшему совершенствованию нормативной правовой базы регулирования рынка ценных бумаг. В соответствии со Стратегий ФСФР России были утверждены ведомственные нормативные правовые акты и совместно с Минэкономразвития России, Минфином России, а также Банком России разработаны проекты федеральных законов, затрагивающие широкий перечень проблем развития финансовых институтов и инструментов.</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В центре внимания ФСФР России были, прежде всего, вопросы повышение конкурентоспособности российского финансового рынка, бирж и торговых систем, в том числе посредством расширения спектра инвестиционных инструментов на российском финансовом рынке.</w:t>
      </w:r>
    </w:p>
    <w:p w:rsidR="00236F23" w:rsidRPr="005B7636" w:rsidRDefault="00236F23" w:rsidP="005B7636">
      <w:pPr>
        <w:suppressAutoHyphens/>
        <w:autoSpaceDE w:val="0"/>
        <w:autoSpaceDN w:val="0"/>
        <w:adjustRightInd w:val="0"/>
        <w:snapToGrid/>
        <w:spacing w:line="360" w:lineRule="auto"/>
        <w:ind w:firstLine="709"/>
        <w:jc w:val="both"/>
        <w:rPr>
          <w:position w:val="6"/>
          <w:sz w:val="28"/>
          <w:szCs w:val="28"/>
        </w:rPr>
      </w:pPr>
      <w:r w:rsidRPr="005B7636">
        <w:rPr>
          <w:position w:val="6"/>
          <w:sz w:val="28"/>
          <w:szCs w:val="28"/>
        </w:rPr>
        <w:t>Важным шагом стало создание регулятивной основы для выпуска Российских депозитарных расписок (РДР). Был подготовлен и принят Федеральный закон от 30.12.2006 № 282-ФЗ «О внесении изменений в Федеральный закон «О рынке ценных бумаг», а также в развитие положений этого закона утверждены соответствующие приказы ФСФР России. В дополнение к этому ФСФР России выступила с инициативой о допуске на Российский финансовый рынок иностранных ценных бумаг.</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 xml:space="preserve">В целях увеличения количества финансовых инструментов, обращающихся на финансовом рынке, а также упрощения процедур привлечения инвестиционных средств на рынке ценных бумаг российскими предприятиями ФСФР России создала нормативную базу для эмиссии выпусков биржевых облигаций.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За последние годы важной тенденцией на рынке ценных бумаг стало расширение операций с производными финансовыми инструментами. Реальным импульсом для качественного роста объемов сделок с этими инструментами стали поправки в статью 1062 части второй Гражданского Кодекса Российской Федерации, принятые Федеральным законом от 26.01.2007 № 5-ФЗ</w:t>
      </w:r>
      <w:r w:rsidR="005B7636">
        <w:rPr>
          <w:position w:val="6"/>
          <w:sz w:val="28"/>
          <w:szCs w:val="28"/>
        </w:rPr>
        <w:t xml:space="preserve"> </w:t>
      </w:r>
      <w:r w:rsidRPr="005B7636">
        <w:rPr>
          <w:position w:val="6"/>
          <w:sz w:val="28"/>
          <w:szCs w:val="28"/>
        </w:rPr>
        <w:t xml:space="preserve">« О внесении изменений в статью 1062 части второй Гражданского кодекса Российской Федерации» и направленные на предоставление судебной защиты по срочным сделкам.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Также в соответствии со Стратегией Федеральным законом от 27.07.2006 № 141-ФЗ внесены изменения в Федеральный закон «Об ипотечных ценных бумагах», направленные на совершенствование регулирования эмиссии и обращения</w:t>
      </w:r>
      <w:r w:rsidR="005B7636">
        <w:rPr>
          <w:position w:val="6"/>
          <w:sz w:val="28"/>
          <w:szCs w:val="28"/>
        </w:rPr>
        <w:t xml:space="preserve"> </w:t>
      </w:r>
      <w:r w:rsidRPr="005B7636">
        <w:rPr>
          <w:position w:val="6"/>
          <w:sz w:val="28"/>
          <w:szCs w:val="28"/>
        </w:rPr>
        <w:t xml:space="preserve">ипотечных ценных бумаг.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 xml:space="preserve">В целях обеспечения доступности информации о ценных бумагах и прозрачности сделок с ними были разработаны изменения в Федеральный закон «О рынке ценных бумаг», направленные на уточнение перечня существенных фактов деятельности акционерных обществ, подлежащих публичному раскрытию.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В 2006-2007 годах были разработаны нормативные правовые акты, обеспечившие расширение возможностей акционерных обществ по привлечению инвестиционных средств на рынке акций путем первичного размещения новых выпусков (так называемое</w:t>
      </w:r>
      <w:r w:rsidR="005B7636">
        <w:rPr>
          <w:position w:val="6"/>
          <w:sz w:val="28"/>
          <w:szCs w:val="28"/>
        </w:rPr>
        <w:t xml:space="preserve"> </w:t>
      </w:r>
      <w:r w:rsidRPr="005B7636">
        <w:rPr>
          <w:position w:val="6"/>
          <w:sz w:val="28"/>
          <w:szCs w:val="28"/>
          <w:lang w:val="en-US"/>
        </w:rPr>
        <w:t>IPO</w:t>
      </w:r>
      <w:r w:rsidRPr="005B7636">
        <w:rPr>
          <w:position w:val="6"/>
          <w:sz w:val="28"/>
          <w:szCs w:val="28"/>
        </w:rPr>
        <w:t xml:space="preserve">). В 2007 году по объему первичного размещения акций Россия вышла на одно из лидирующих мест в мире.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 xml:space="preserve">В целях укрепления конкурентоспособности российских торговых площадок, а также гибкого реагирования российских финансовых институтов и инвесторов на конъюнктуру мировых финансовых рынков были созданы правовые основы для увеличения времени торгов на организованном рынке. В соответствии со Стратегией была активизирована работа по снижению административных барьеров на рынке ценных бумаг, а также по развитию саморегулирования участников рынка.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 xml:space="preserve">Одним из центральных вопросов в деятельности ФСФР России в 2006-2007 годах стало развитие институтов коллективного инвестирования.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В 2006-2007 годах была подготовлена целая серия нормативных правовых актов, направленных на усовершенствование механизма государственного регулирования, контроля и надзора за деятельностью негосударственных пенсионных фондов, на повышение их прозрачности для вкладчиков, участников и застрахованных лиц, на защиту интересов вкладчиков и участников, а также на расширение инвестиционных возможностей фондов. Также были разработаны правила размещения средств военной ипотеки.</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 xml:space="preserve">Вместе с тем, работа над Стратегией не завершена. По состоянию на начало 2008 года отдельные важные положения Стратегии остаются не реализованными. Частично это объясняется наличием различных точек зрения по концептуальным, стратегическим направлениям развития финансового рынка как среди его участников, так и среди заинтересованных органов исполнительной власти. </w:t>
      </w:r>
    </w:p>
    <w:p w:rsidR="00236F23" w:rsidRPr="005B7636" w:rsidRDefault="00236F23" w:rsidP="005B7636">
      <w:pPr>
        <w:suppressAutoHyphens/>
        <w:snapToGrid/>
        <w:spacing w:line="360" w:lineRule="auto"/>
        <w:ind w:firstLine="709"/>
        <w:jc w:val="both"/>
        <w:rPr>
          <w:position w:val="6"/>
          <w:sz w:val="28"/>
          <w:szCs w:val="28"/>
        </w:rPr>
      </w:pPr>
      <w:r w:rsidRPr="005B7636">
        <w:rPr>
          <w:position w:val="6"/>
          <w:sz w:val="28"/>
          <w:szCs w:val="28"/>
        </w:rPr>
        <w:t>Целью совершенствования регулирования и развития рынка ценных бумаг на среднесрочную и долгосрочную перспективу является его превращение в важнейший фактор повышения конкурентоспособности российской экономики. Это требует отладки рыночных механизмов привлечения инвестиций, обеспечивающих развитие инноваций и инфраструктуры, реализацию проектов по модернизации экономики, а также повышения эффективности исполнения государственных функций по защите прав и законных интересов участников финансового рынка, по предупреждению и предотвращению недобросовестной практики и нарушений законодательства на рынке ценных бумаг. Все это является основой формирования в России одного из ведущих мировых финансовых центров.</w:t>
      </w:r>
    </w:p>
    <w:p w:rsidR="00236F23" w:rsidRPr="005B7636" w:rsidRDefault="005B7636" w:rsidP="005B7636">
      <w:pPr>
        <w:pStyle w:val="a8"/>
        <w:suppressAutoHyphens/>
        <w:ind w:firstLine="709"/>
        <w:rPr>
          <w:b/>
          <w:spacing w:val="0"/>
          <w:position w:val="6"/>
          <w:szCs w:val="28"/>
          <w:lang w:val="en-US"/>
        </w:rPr>
      </w:pPr>
      <w:r>
        <w:rPr>
          <w:spacing w:val="0"/>
          <w:position w:val="6"/>
          <w:szCs w:val="28"/>
        </w:rPr>
        <w:br w:type="page"/>
      </w:r>
      <w:r w:rsidR="00236F23" w:rsidRPr="005B7636">
        <w:rPr>
          <w:b/>
          <w:spacing w:val="0"/>
          <w:position w:val="6"/>
          <w:szCs w:val="28"/>
        </w:rPr>
        <w:t>С</w:t>
      </w:r>
      <w:r>
        <w:rPr>
          <w:b/>
          <w:spacing w:val="0"/>
          <w:position w:val="6"/>
          <w:szCs w:val="28"/>
        </w:rPr>
        <w:t>писок использованных источников</w:t>
      </w:r>
    </w:p>
    <w:p w:rsidR="00236F23" w:rsidRPr="005B7636" w:rsidRDefault="00236F23" w:rsidP="005B7636">
      <w:pPr>
        <w:pStyle w:val="a8"/>
        <w:suppressAutoHyphens/>
        <w:ind w:firstLine="709"/>
        <w:rPr>
          <w:b/>
          <w:spacing w:val="0"/>
          <w:position w:val="6"/>
          <w:szCs w:val="28"/>
        </w:rPr>
      </w:pP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 xml:space="preserve">Бердникова Т. Б. Рынок ценных бумаг. – М.: Инфра-М, 2006. </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Галанов В.А. Рынок ценных бумаг. – М.: ИНФРА-М, 2008.</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Ивасенко А.Г. Рынок ценных бумаг: Инструменты и механизмы функционирования. – М.: Кнорус, 2007.</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Корчагин Ю.А. Современная экономика России. – Ростов н/Д: Феникс, 2006.</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Корчагин Ю.А. Рынок ценных бумаг. – Воронеж: ЦИРЭ, 2007.</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Лялин В.А., Воробъев П.В. Рынок ценных бумаг. – М.: Проспект, 2009.</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Сизов Ю.В. Актуальные проблемы развития российского фондового рынка // Вопросы экономики. – 2006. - №7. – с. 26-42.</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rPr>
        <w:t>Федякина Л.Н. Международные финансы. – СПб.: Питер, 2007.</w:t>
      </w:r>
    </w:p>
    <w:p w:rsidR="00236F23" w:rsidRPr="005B7636" w:rsidRDefault="00236F23" w:rsidP="005B7636">
      <w:pPr>
        <w:numPr>
          <w:ilvl w:val="0"/>
          <w:numId w:val="3"/>
        </w:numPr>
        <w:tabs>
          <w:tab w:val="clear" w:pos="1015"/>
          <w:tab w:val="num" w:pos="426"/>
        </w:tabs>
        <w:suppressAutoHyphens/>
        <w:snapToGrid/>
        <w:spacing w:line="360" w:lineRule="auto"/>
        <w:ind w:left="0" w:firstLine="0"/>
        <w:rPr>
          <w:position w:val="6"/>
          <w:sz w:val="28"/>
          <w:szCs w:val="28"/>
        </w:rPr>
      </w:pPr>
      <w:r w:rsidRPr="005B7636">
        <w:rPr>
          <w:position w:val="6"/>
          <w:sz w:val="28"/>
          <w:szCs w:val="28"/>
          <w:lang w:val="en-US"/>
        </w:rPr>
        <w:t>www.rts.ru</w:t>
      </w:r>
    </w:p>
    <w:p w:rsidR="00236F23" w:rsidRPr="005B7636" w:rsidRDefault="00236F23" w:rsidP="005B7636">
      <w:pPr>
        <w:suppressAutoHyphens/>
        <w:snapToGrid/>
        <w:spacing w:line="360" w:lineRule="auto"/>
        <w:ind w:firstLine="709"/>
        <w:jc w:val="both"/>
        <w:rPr>
          <w:position w:val="6"/>
          <w:sz w:val="28"/>
          <w:szCs w:val="28"/>
        </w:rPr>
      </w:pPr>
      <w:bookmarkStart w:id="0" w:name="_GoBack"/>
      <w:bookmarkEnd w:id="0"/>
    </w:p>
    <w:sectPr w:rsidR="00236F23" w:rsidRPr="005B7636" w:rsidSect="005B7636">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456" w:rsidRDefault="00A31456">
      <w:pPr>
        <w:snapToGrid/>
        <w:rPr>
          <w:sz w:val="24"/>
          <w:szCs w:val="24"/>
        </w:rPr>
      </w:pPr>
      <w:r>
        <w:rPr>
          <w:sz w:val="24"/>
          <w:szCs w:val="24"/>
        </w:rPr>
        <w:separator/>
      </w:r>
    </w:p>
  </w:endnote>
  <w:endnote w:type="continuationSeparator" w:id="0">
    <w:p w:rsidR="00A31456" w:rsidRDefault="00A31456">
      <w:pPr>
        <w:snapToGrid/>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456" w:rsidRDefault="00A31456">
      <w:pPr>
        <w:snapToGrid/>
        <w:rPr>
          <w:sz w:val="24"/>
          <w:szCs w:val="24"/>
        </w:rPr>
      </w:pPr>
      <w:r>
        <w:rPr>
          <w:sz w:val="24"/>
          <w:szCs w:val="24"/>
        </w:rPr>
        <w:separator/>
      </w:r>
    </w:p>
  </w:footnote>
  <w:footnote w:type="continuationSeparator" w:id="0">
    <w:p w:rsidR="00A31456" w:rsidRDefault="00A31456">
      <w:pPr>
        <w:snapToGrid/>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D22" w:rsidRDefault="00893D22" w:rsidP="00E62EC0">
    <w:pPr>
      <w:pStyle w:val="a5"/>
      <w:framePr w:wrap="around" w:vAnchor="text" w:hAnchor="margin" w:xAlign="center" w:y="1"/>
      <w:rPr>
        <w:rStyle w:val="a7"/>
      </w:rPr>
    </w:pPr>
  </w:p>
  <w:p w:rsidR="00893D22" w:rsidRDefault="00893D2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84AAA"/>
    <w:multiLevelType w:val="hybridMultilevel"/>
    <w:tmpl w:val="2FCAA8C4"/>
    <w:lvl w:ilvl="0" w:tplc="9B42C85A">
      <w:start w:val="1"/>
      <w:numFmt w:val="decimal"/>
      <w:lvlText w:val="%1."/>
      <w:lvlJc w:val="left"/>
      <w:pPr>
        <w:tabs>
          <w:tab w:val="num" w:pos="1134"/>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9ED52E3"/>
    <w:multiLevelType w:val="hybridMultilevel"/>
    <w:tmpl w:val="3516E94C"/>
    <w:lvl w:ilvl="0" w:tplc="0419000F">
      <w:start w:val="1"/>
      <w:numFmt w:val="decimal"/>
      <w:lvlText w:val="%1."/>
      <w:lvlJc w:val="left"/>
      <w:pPr>
        <w:tabs>
          <w:tab w:val="num" w:pos="1015"/>
        </w:tabs>
        <w:ind w:left="1015" w:hanging="360"/>
      </w:pPr>
      <w:rPr>
        <w:rFonts w:cs="Times New Roman"/>
      </w:rPr>
    </w:lvl>
    <w:lvl w:ilvl="1" w:tplc="04190019" w:tentative="1">
      <w:start w:val="1"/>
      <w:numFmt w:val="lowerLetter"/>
      <w:lvlText w:val="%2."/>
      <w:lvlJc w:val="left"/>
      <w:pPr>
        <w:tabs>
          <w:tab w:val="num" w:pos="1735"/>
        </w:tabs>
        <w:ind w:left="1735" w:hanging="360"/>
      </w:pPr>
      <w:rPr>
        <w:rFonts w:cs="Times New Roman"/>
      </w:rPr>
    </w:lvl>
    <w:lvl w:ilvl="2" w:tplc="0419001B" w:tentative="1">
      <w:start w:val="1"/>
      <w:numFmt w:val="lowerRoman"/>
      <w:lvlText w:val="%3."/>
      <w:lvlJc w:val="right"/>
      <w:pPr>
        <w:tabs>
          <w:tab w:val="num" w:pos="2455"/>
        </w:tabs>
        <w:ind w:left="2455" w:hanging="180"/>
      </w:pPr>
      <w:rPr>
        <w:rFonts w:cs="Times New Roman"/>
      </w:rPr>
    </w:lvl>
    <w:lvl w:ilvl="3" w:tplc="0419000F" w:tentative="1">
      <w:start w:val="1"/>
      <w:numFmt w:val="decimal"/>
      <w:lvlText w:val="%4."/>
      <w:lvlJc w:val="left"/>
      <w:pPr>
        <w:tabs>
          <w:tab w:val="num" w:pos="3175"/>
        </w:tabs>
        <w:ind w:left="3175" w:hanging="360"/>
      </w:pPr>
      <w:rPr>
        <w:rFonts w:cs="Times New Roman"/>
      </w:rPr>
    </w:lvl>
    <w:lvl w:ilvl="4" w:tplc="04190019" w:tentative="1">
      <w:start w:val="1"/>
      <w:numFmt w:val="lowerLetter"/>
      <w:lvlText w:val="%5."/>
      <w:lvlJc w:val="left"/>
      <w:pPr>
        <w:tabs>
          <w:tab w:val="num" w:pos="3895"/>
        </w:tabs>
        <w:ind w:left="3895" w:hanging="360"/>
      </w:pPr>
      <w:rPr>
        <w:rFonts w:cs="Times New Roman"/>
      </w:rPr>
    </w:lvl>
    <w:lvl w:ilvl="5" w:tplc="0419001B" w:tentative="1">
      <w:start w:val="1"/>
      <w:numFmt w:val="lowerRoman"/>
      <w:lvlText w:val="%6."/>
      <w:lvlJc w:val="right"/>
      <w:pPr>
        <w:tabs>
          <w:tab w:val="num" w:pos="4615"/>
        </w:tabs>
        <w:ind w:left="4615" w:hanging="180"/>
      </w:pPr>
      <w:rPr>
        <w:rFonts w:cs="Times New Roman"/>
      </w:rPr>
    </w:lvl>
    <w:lvl w:ilvl="6" w:tplc="0419000F" w:tentative="1">
      <w:start w:val="1"/>
      <w:numFmt w:val="decimal"/>
      <w:lvlText w:val="%7."/>
      <w:lvlJc w:val="left"/>
      <w:pPr>
        <w:tabs>
          <w:tab w:val="num" w:pos="5335"/>
        </w:tabs>
        <w:ind w:left="5335" w:hanging="360"/>
      </w:pPr>
      <w:rPr>
        <w:rFonts w:cs="Times New Roman"/>
      </w:rPr>
    </w:lvl>
    <w:lvl w:ilvl="7" w:tplc="04190019" w:tentative="1">
      <w:start w:val="1"/>
      <w:numFmt w:val="lowerLetter"/>
      <w:lvlText w:val="%8."/>
      <w:lvlJc w:val="left"/>
      <w:pPr>
        <w:tabs>
          <w:tab w:val="num" w:pos="6055"/>
        </w:tabs>
        <w:ind w:left="6055" w:hanging="360"/>
      </w:pPr>
      <w:rPr>
        <w:rFonts w:cs="Times New Roman"/>
      </w:rPr>
    </w:lvl>
    <w:lvl w:ilvl="8" w:tplc="0419001B" w:tentative="1">
      <w:start w:val="1"/>
      <w:numFmt w:val="lowerRoman"/>
      <w:lvlText w:val="%9."/>
      <w:lvlJc w:val="right"/>
      <w:pPr>
        <w:tabs>
          <w:tab w:val="num" w:pos="6775"/>
        </w:tabs>
        <w:ind w:left="6775"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07F"/>
    <w:rsid w:val="00236F23"/>
    <w:rsid w:val="00305EC5"/>
    <w:rsid w:val="00527BB5"/>
    <w:rsid w:val="0053051D"/>
    <w:rsid w:val="005B7636"/>
    <w:rsid w:val="00666A84"/>
    <w:rsid w:val="0071741A"/>
    <w:rsid w:val="00893D22"/>
    <w:rsid w:val="009E5235"/>
    <w:rsid w:val="00A31456"/>
    <w:rsid w:val="00AB307F"/>
    <w:rsid w:val="00D12231"/>
    <w:rsid w:val="00E25EC8"/>
    <w:rsid w:val="00E62EC0"/>
    <w:rsid w:val="00E83AF5"/>
    <w:rsid w:val="00F465B2"/>
    <w:rsid w:val="00F80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9A3760B-1051-41BC-9623-D418A92B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36F23"/>
    <w:pPr>
      <w:snapToGri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AB307F"/>
    <w:pPr>
      <w:shd w:val="clear" w:color="auto" w:fill="FFFFFF"/>
      <w:autoSpaceDE w:val="0"/>
      <w:autoSpaceDN w:val="0"/>
      <w:adjustRightInd w:val="0"/>
      <w:snapToGrid/>
      <w:spacing w:line="360" w:lineRule="auto"/>
      <w:ind w:firstLine="540"/>
      <w:jc w:val="center"/>
    </w:pPr>
    <w:rPr>
      <w:b/>
      <w:bCs/>
      <w:color w:val="000000"/>
      <w:sz w:val="28"/>
      <w:szCs w:val="19"/>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header"/>
    <w:basedOn w:val="a"/>
    <w:link w:val="a6"/>
    <w:uiPriority w:val="99"/>
    <w:rsid w:val="00236F23"/>
    <w:pPr>
      <w:tabs>
        <w:tab w:val="center" w:pos="4677"/>
        <w:tab w:val="right" w:pos="9355"/>
      </w:tabs>
      <w:snapToGrid/>
    </w:pPr>
    <w:rPr>
      <w:sz w:val="24"/>
      <w:szCs w:val="24"/>
    </w:r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236F23"/>
    <w:rPr>
      <w:rFonts w:cs="Times New Roman"/>
    </w:rPr>
  </w:style>
  <w:style w:type="paragraph" w:styleId="a8">
    <w:name w:val="Body Text Indent"/>
    <w:basedOn w:val="a"/>
    <w:link w:val="a9"/>
    <w:uiPriority w:val="99"/>
    <w:rsid w:val="00236F23"/>
    <w:pPr>
      <w:tabs>
        <w:tab w:val="left" w:pos="1134"/>
      </w:tabs>
      <w:snapToGrid/>
      <w:spacing w:line="360" w:lineRule="auto"/>
      <w:ind w:firstLine="851"/>
      <w:jc w:val="both"/>
    </w:pPr>
    <w:rPr>
      <w:spacing w:val="20"/>
      <w:sz w:val="28"/>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footer"/>
    <w:basedOn w:val="a"/>
    <w:link w:val="ab"/>
    <w:uiPriority w:val="99"/>
    <w:rsid w:val="005B7636"/>
    <w:pPr>
      <w:tabs>
        <w:tab w:val="center" w:pos="4677"/>
        <w:tab w:val="right" w:pos="9355"/>
      </w:tabs>
    </w:pPr>
  </w:style>
  <w:style w:type="character" w:customStyle="1" w:styleId="ab">
    <w:name w:val="Нижний колонтитул Знак"/>
    <w:link w:val="aa"/>
    <w:uiPriority w:val="99"/>
    <w:locked/>
    <w:rsid w:val="005B76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05966">
      <w:marLeft w:val="0"/>
      <w:marRight w:val="0"/>
      <w:marTop w:val="0"/>
      <w:marBottom w:val="0"/>
      <w:divBdr>
        <w:top w:val="none" w:sz="0" w:space="0" w:color="auto"/>
        <w:left w:val="none" w:sz="0" w:space="0" w:color="auto"/>
        <w:bottom w:val="none" w:sz="0" w:space="0" w:color="auto"/>
        <w:right w:val="none" w:sz="0" w:space="0" w:color="auto"/>
      </w:divBdr>
    </w:div>
    <w:div w:id="12347059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2793</Words>
  <Characters>15925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Санькин Дом</Company>
  <LinksUpToDate>false</LinksUpToDate>
  <CharactersWithSpaces>18681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ИваКаСа</dc:creator>
  <cp:keywords/>
  <dc:description/>
  <cp:lastModifiedBy>admin</cp:lastModifiedBy>
  <cp:revision>2</cp:revision>
  <dcterms:created xsi:type="dcterms:W3CDTF">2014-03-20T11:32:00Z</dcterms:created>
  <dcterms:modified xsi:type="dcterms:W3CDTF">2014-03-20T11:32:00Z</dcterms:modified>
</cp:coreProperties>
</file>