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CE3" w:rsidRDefault="00CB2CE3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ГРЕНЛАНДСКИЙ ЯЗЫК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1.1.0. Общие сведения.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1.1.1. Гренландский язык (Г.я.); вариант названия - язык эскимосов Гренландии.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1.1.2. Относится к группе инуит эскимосско-алеутской семьи.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1.1.3. Распространен по восточному, юго-западному и северо-западному побережью о. Гренландия. Численность говорящих - ок. 43 тыс. чел. и быстро растет.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1.2.0. Лингвогеографические сведения.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1.2.1. В прошлом выделялось три диалекта: восточно-гренландский, западно-гренландский и северный, или туле. На первом и третьем говорит в общей сложности несколько сот человек, и эти диалекты быстро ассимилируются возникшим на базе западного диалекта литературным языком (см. 2.7.0.). Двухсотлетняя письменная традиция, развитие литературного языка, развитие в последние десятилетия средств массовой информации способствуют нивелированию диалектных различий.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1.3.0. Социолингвистические сведения.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1.3.1. Г.я. является государственным языком Гренландии (в прошлом - датская колония, в феврале 1979 г. получившая национальную автономию). Для всех без исключения гренландцев Г.я. является основным, для многих - единственным языком общения; датский в очень ограниченной степени остается языком администрации.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1.3.2. Литературный язык возник на базе западного диалекта (см. 2.7.0.); в настоящее время, видимо, отличается высокой степенью стандартизации; региональные различия практически не просматриваются.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1.3.3. Достигнута всеобщая грамотность на родном языке, на нем существует обширная оригинальная и переводная литература, выходят периодические издания, ведутся радио- и телепередачи. Обучение на родном языке в начальной, средней и частично высшей школе.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1.4.0. После пионерских работ миссионеров Пауля Эгеде (1760) и Отто Фабрициуса (1791) для Г.я. установилась традиция использования датской орфографии; однако после выхода "Грамматики" классика гренландского языкознания Самуэля Кляйншмидта (1851) была принята новая орфографическая система, используемая до сих пор. Не будучи безупречной (ср. использование диграфов типа dl для /l./, ng для /ng/, ss для /s/, а также некоторую архаичность ее, например, в написании gp, gss, ngm - в произношении соответственно /pp/, /ss/, /mm/ и т.п.), она стала уже традиционной и привычной. Орфографические системы первых миссионеров и Кляйншмидта в сопоставлении с современным произношением дают интересный материал для изучения истории Г.я.: переход дифтонгов в долгие гласные, ассимиляция согласных, деназализация, ср.: в написании auveq 'морж', tugto или tukto 'олень', pauting 'весло', в произношении соответственно /a:vэq/, /tutto/, /pa:tik/.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1.5.0. Сведений о периодизации истории языка нет.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1.6.0. Возможно, что контактами с европейскими языками (особенно датским) вызвана утрата двойственного числа и замена его везде на множественное.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2.0.0. Лингвистическая характеристика.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2.1.0. Фонологические сведения.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2.1.1. Гласных в Г.я. три: a, i, u.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Согласные</w:t>
      </w:r>
    </w:p>
    <w:tbl>
      <w:tblPr>
        <w:tblW w:w="4250" w:type="pct"/>
        <w:tblCellSpacing w:w="15" w:type="dxa"/>
        <w:tblInd w:w="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56"/>
        <w:gridCol w:w="1452"/>
        <w:gridCol w:w="933"/>
        <w:gridCol w:w="1111"/>
        <w:gridCol w:w="1047"/>
        <w:gridCol w:w="1047"/>
        <w:gridCol w:w="1348"/>
      </w:tblGrid>
      <w:tr w:rsidR="00CB2CE3" w:rsidRPr="00CB2CE3">
        <w:trPr>
          <w:cantSplit/>
          <w:tblCellSpacing w:w="15" w:type="dxa"/>
        </w:trPr>
        <w:tc>
          <w:tcPr>
            <w:tcW w:w="0" w:type="auto"/>
            <w:gridSpan w:val="2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По способу образования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По месту образования</w:t>
            </w:r>
          </w:p>
        </w:tc>
      </w:tr>
      <w:tr w:rsidR="00CB2CE3" w:rsidRPr="00CB2CE3">
        <w:trPr>
          <w:cantSplit/>
          <w:tblCellSpacing w:w="15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Губные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Передне-</w:t>
            </w:r>
          </w:p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язычные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Средне-</w:t>
            </w:r>
          </w:p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язычные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Задне-</w:t>
            </w:r>
          </w:p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язычные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Увулярные</w:t>
            </w:r>
          </w:p>
        </w:tc>
      </w:tr>
      <w:tr w:rsidR="00CB2CE3" w:rsidRPr="00CB2CE3">
        <w:trPr>
          <w:cantSplit/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Чистые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Смычные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q</w:t>
            </w:r>
          </w:p>
        </w:tc>
      </w:tr>
      <w:tr w:rsidR="00CB2CE3" w:rsidRPr="00CB2CE3">
        <w:trPr>
          <w:cantSplit/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Щелевые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v (в)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s 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g.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g.</w:t>
            </w:r>
          </w:p>
        </w:tc>
      </w:tr>
      <w:tr w:rsidR="00CB2CE3" w:rsidRPr="00CB2CE3">
        <w:trPr>
          <w:cantSplit/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Сонанты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Смычные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N</w:t>
            </w:r>
          </w:p>
        </w:tc>
      </w:tr>
      <w:tr w:rsidR="00CB2CE3" w:rsidRPr="00CB2CE3">
        <w:trPr>
          <w:cantSplit/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Щелевые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l l.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2.1.2. Ударение в Г.я. различается силовое и количественное, причем для некоторых диалектов более важно второе (например, туле).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2.1.3. На стыках морфем происходят регулярные комбинаторные изменения. Выделяется три морфонологических класса суффиксов по их влиянию на финаль основы: 1) спирантизующие p, t, q &gt; в, g, g. (щелевые), за исключением случаев: k &gt; ng перед носовым, k + g (щелевой) &gt; kk, q + g (щелевой) &gt; g.; t &gt; s перед гласными; финаль основы t перед этими суффиксами ассимилируется (t + p &gt; pp; t + n &gt; nn), но сохраняется перед t, s, l; 2) вытесняющие любой предшествующий согласный, но: q + g &gt; g.; q или k + s &gt; g; a, u +gu &gt; ayu, uyu; a, u + gi &gt; ayi, uyi; 3) добавляющиеся к основе мн. числа, которая, в свою очередь, образуется по-разному у разных основ.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2.1.4. Единичный согласный или второй согласный кластера всегда относится к следующему слогу; первый согласный сочетания отходит к предшествующему слогу. Трудно поддаются слогоделению сочетания согласных.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2.2.0. Морфонологические сведения.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2.2.1. Запрещены сочетания более двух одинаковых гласных в любой позиции, более двух согласных в середине и более одной - в начале и конце слова. Дистрибуция согласных следующая: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tbl>
      <w:tblPr>
        <w:tblW w:w="4250" w:type="pct"/>
        <w:tblCellSpacing w:w="15" w:type="dxa"/>
        <w:tblInd w:w="66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791"/>
        <w:gridCol w:w="259"/>
        <w:gridCol w:w="624"/>
        <w:gridCol w:w="259"/>
        <w:gridCol w:w="259"/>
        <w:gridCol w:w="226"/>
        <w:gridCol w:w="344"/>
        <w:gridCol w:w="259"/>
        <w:gridCol w:w="691"/>
        <w:gridCol w:w="691"/>
        <w:gridCol w:w="691"/>
        <w:gridCol w:w="691"/>
        <w:gridCol w:w="192"/>
        <w:gridCol w:w="317"/>
      </w:tblGrid>
      <w:tr w:rsidR="00CB2CE3" w:rsidRPr="00CB2CE3">
        <w:trPr>
          <w:tblCellSpacing w:w="15" w:type="dxa"/>
        </w:trPr>
        <w:tc>
          <w:tcPr>
            <w:tcW w:w="17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начальная позиция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CB2CE3" w:rsidRPr="00CB2CE3">
        <w:trPr>
          <w:tblCellSpacing w:w="15" w:type="dxa"/>
        </w:trPr>
        <w:tc>
          <w:tcPr>
            <w:tcW w:w="17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конечная позиция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CB2CE3" w:rsidRPr="00CB2CE3">
        <w:trPr>
          <w:tblCellSpacing w:w="15" w:type="dxa"/>
        </w:trPr>
        <w:tc>
          <w:tcPr>
            <w:tcW w:w="17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срединная позиция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s.</w:t>
            </w:r>
          </w:p>
        </w:tc>
      </w:tr>
      <w:tr w:rsidR="00CB2CE3" w:rsidRPr="00CB2CE3">
        <w:trPr>
          <w:tblCellSpacing w:w="15" w:type="dxa"/>
        </w:trPr>
        <w:tc>
          <w:tcPr>
            <w:tcW w:w="17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первый согласный в кластере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t 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n 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v 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g 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g.(3)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B2CE3" w:rsidRPr="00CB2CE3">
        <w:trPr>
          <w:tblCellSpacing w:w="15" w:type="dxa"/>
        </w:trPr>
        <w:tc>
          <w:tcPr>
            <w:tcW w:w="17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второй согласный в кластере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s.</w:t>
            </w:r>
          </w:p>
        </w:tc>
      </w:tr>
    </w:tbl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Примечания: (1) не перед p, m; (2) не перед q, m, n; (3) не перед k; (4) только перед m, n; (5) только перед l, s.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2.2.2. Специальных исследований нет.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2.2.3. Типичным чередованием является "глухой смычный / звонкая аффриката / глухая аффриката"; эта модель реализуется для k/g/h, q/g./h. Регулярные изменения в исходе основ при присоединении суффиксов следующие (на примере суффиксов относительного падежа -(u)p и мн. числа -(i)t).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 Основа на гласный присоединяет суффиксы не изменяясь, за исключением фонотактических модификаций гласного: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tbl>
      <w:tblPr>
        <w:tblW w:w="3000" w:type="pct"/>
        <w:tblCellSpacing w:w="15" w:type="dxa"/>
        <w:tblInd w:w="66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679"/>
        <w:gridCol w:w="1657"/>
        <w:gridCol w:w="1519"/>
      </w:tblGrid>
      <w:tr w:rsidR="00CB2CE3" w:rsidRPr="00CB2CE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Отн. п.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Мн. ч.</w:t>
            </w:r>
          </w:p>
        </w:tc>
      </w:tr>
      <w:tr w:rsidR="00CB2CE3" w:rsidRPr="00CB2CE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nuna '</w:t>
            </w:r>
            <w:r w:rsidRPr="00CB2CE3">
              <w:rPr>
                <w:color w:val="000000"/>
                <w:sz w:val="24"/>
                <w:szCs w:val="24"/>
              </w:rPr>
              <w:t>земля</w:t>
            </w:r>
            <w:r w:rsidRPr="00CB2CE3">
              <w:rPr>
                <w:color w:val="000000"/>
                <w:sz w:val="24"/>
                <w:szCs w:val="24"/>
                <w:lang w:val="en-US"/>
              </w:rPr>
              <w:t>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nunap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nunat</w:t>
            </w:r>
          </w:p>
        </w:tc>
      </w:tr>
      <w:tr w:rsidR="00CB2CE3" w:rsidRPr="00CB2CE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is.e '</w:t>
            </w:r>
            <w:r w:rsidRPr="00CB2CE3">
              <w:rPr>
                <w:color w:val="000000"/>
                <w:sz w:val="24"/>
                <w:szCs w:val="24"/>
              </w:rPr>
              <w:t>глаз</w:t>
            </w:r>
            <w:r w:rsidRPr="00CB2CE3">
              <w:rPr>
                <w:color w:val="000000"/>
                <w:sz w:val="24"/>
                <w:szCs w:val="24"/>
                <w:lang w:val="en-US"/>
              </w:rPr>
              <w:t>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is.ip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is.it</w:t>
            </w:r>
          </w:p>
        </w:tc>
      </w:tr>
      <w:tr w:rsidR="00CB2CE3" w:rsidRPr="00CB2CE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igl.o '</w:t>
            </w:r>
            <w:r w:rsidRPr="00CB2CE3">
              <w:rPr>
                <w:color w:val="000000"/>
                <w:sz w:val="24"/>
                <w:szCs w:val="24"/>
              </w:rPr>
              <w:t>дом</w:t>
            </w:r>
            <w:r w:rsidRPr="00CB2CE3">
              <w:rPr>
                <w:color w:val="000000"/>
                <w:sz w:val="24"/>
                <w:szCs w:val="24"/>
                <w:lang w:val="en-US"/>
              </w:rPr>
              <w:t>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igl.up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igl.ut</w:t>
            </w:r>
          </w:p>
        </w:tc>
      </w:tr>
    </w:tbl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2) </w:t>
      </w:r>
      <w:r>
        <w:rPr>
          <w:color w:val="000000"/>
          <w:sz w:val="24"/>
          <w:szCs w:val="24"/>
        </w:rPr>
        <w:t>Основа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  <w:lang w:val="en-US"/>
        </w:rPr>
        <w:t xml:space="preserve"> -q, </w:t>
      </w:r>
      <w:r>
        <w:rPr>
          <w:color w:val="000000"/>
          <w:sz w:val="24"/>
          <w:szCs w:val="24"/>
        </w:rPr>
        <w:t>отпадающее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словоизменении</w:t>
      </w:r>
      <w:r>
        <w:rPr>
          <w:color w:val="000000"/>
          <w:sz w:val="24"/>
          <w:szCs w:val="24"/>
          <w:lang w:val="en-US"/>
        </w:rPr>
        <w:t xml:space="preserve">, </w:t>
      </w:r>
      <w:r>
        <w:rPr>
          <w:color w:val="000000"/>
          <w:sz w:val="24"/>
          <w:szCs w:val="24"/>
        </w:rPr>
        <w:t>дает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разные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чередования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согласных</w:t>
      </w:r>
      <w:r>
        <w:rPr>
          <w:color w:val="000000"/>
          <w:sz w:val="24"/>
          <w:szCs w:val="24"/>
          <w:lang w:val="en-US"/>
        </w:rPr>
        <w:t xml:space="preserve">, </w:t>
      </w:r>
      <w:r>
        <w:rPr>
          <w:color w:val="000000"/>
          <w:sz w:val="24"/>
          <w:szCs w:val="24"/>
        </w:rPr>
        <w:t>например</w:t>
      </w:r>
      <w:r>
        <w:rPr>
          <w:color w:val="000000"/>
          <w:sz w:val="24"/>
          <w:szCs w:val="24"/>
          <w:lang w:val="en-US"/>
        </w:rPr>
        <w:t xml:space="preserve"> g &gt; kk: aligoq '</w:t>
      </w:r>
      <w:r>
        <w:rPr>
          <w:color w:val="000000"/>
          <w:sz w:val="24"/>
          <w:szCs w:val="24"/>
        </w:rPr>
        <w:t>кристалл</w:t>
      </w:r>
      <w:r>
        <w:rPr>
          <w:color w:val="000000"/>
          <w:sz w:val="24"/>
          <w:szCs w:val="24"/>
          <w:lang w:val="en-US"/>
        </w:rPr>
        <w:t xml:space="preserve">' - alikkup - alikkut, </w:t>
      </w:r>
      <w:r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  <w:lang w:val="en-US"/>
        </w:rPr>
        <w:t xml:space="preserve"> v &gt; vk, l &gt; tl, m &gt; -'m (ame'k '</w:t>
      </w:r>
      <w:r>
        <w:rPr>
          <w:color w:val="000000"/>
          <w:sz w:val="24"/>
          <w:szCs w:val="24"/>
        </w:rPr>
        <w:t>шкура</w:t>
      </w:r>
      <w:r>
        <w:rPr>
          <w:color w:val="000000"/>
          <w:sz w:val="24"/>
          <w:szCs w:val="24"/>
          <w:lang w:val="en-US"/>
        </w:rPr>
        <w:t xml:space="preserve">' - a'mip - a'mit), n &gt; -'n, t &gt; -'t, g. &gt; qq, s &gt; ts', y &gt; ts'; </w:t>
      </w:r>
      <w:r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интервокальном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положении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внутри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сочетаний</w:t>
      </w:r>
      <w:r>
        <w:rPr>
          <w:color w:val="000000"/>
          <w:sz w:val="24"/>
          <w:szCs w:val="24"/>
          <w:lang w:val="en-US"/>
        </w:rPr>
        <w:t xml:space="preserve"> ia, ua </w:t>
      </w:r>
      <w:r>
        <w:rPr>
          <w:color w:val="000000"/>
          <w:sz w:val="24"/>
          <w:szCs w:val="24"/>
        </w:rPr>
        <w:t>появляется</w:t>
      </w:r>
      <w:r>
        <w:rPr>
          <w:color w:val="000000"/>
          <w:sz w:val="24"/>
          <w:szCs w:val="24"/>
          <w:lang w:val="en-US"/>
        </w:rPr>
        <w:t xml:space="preserve"> s (uluaq '</w:t>
      </w:r>
      <w:r>
        <w:rPr>
          <w:color w:val="000000"/>
          <w:sz w:val="24"/>
          <w:szCs w:val="24"/>
        </w:rPr>
        <w:t>щека</w:t>
      </w:r>
      <w:r>
        <w:rPr>
          <w:color w:val="000000"/>
          <w:sz w:val="24"/>
          <w:szCs w:val="24"/>
          <w:lang w:val="en-US"/>
        </w:rPr>
        <w:t xml:space="preserve">' - ulusap - ulusat).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3) Конечное -q основы может чередоваться с g, например: igneg 'сын' - ignegup - ignegit. Возможны и более сложные чередования, типа ateq 'имя' - aqqup - aqqit.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4) конечное -k основы при словоизменении выпадает или чередуется с ng: ogpik 'дерево' - ogpiup - ogpit, isik 'холод' - isingup - isingit.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5) В основах на -t u &gt; i: aput 'снег' - apitip, но aputit.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Практически каждый ряд чередований и каждое правило имеет в существующих описаниях минимум одно-два исключения.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2.3.0. Семантико-грамматические сведения.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Г.я. традиционно относится к агглютинативным, синтетическим; эти две тенденции проявляются в нем в очень большой степени. Парадигмы склонения и спряжения имеют в целом агглютинативный характер: стандартные суффиксы присоединяются без изменений (или со стандартными изменениями) к основам. Г.я. суффиксальный: слово всегда начинается с корня.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2.3.1. Части речи выделяются относительно легко, хотя и существуют спорные моменты, связанные с возможностью образования имен и глаголов от одной основы; при этом дело осложняется омонимичностью некоторых суффиксов и способностью ряда имен выполнять предикативную функцию. Выделяются именные, глагольные и служебные части речи. В Г.я., как правило, не выделяется категория прилагательных на том основании, что слова, обозначающие качество, свободно употребляются в предикативной функции, в отличие от имен существительных, которые для этого необходимо вербализовать посредством специального суффикса.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2.3.2. Качественные именные классификации (класс, род, одушевленность) специального выражения в языке не имеют. В сфере вопросительных местоимений прослеживается оппозиция "человек/не-человек": kina? 'кто?' - suna? 'что?' (о предметах, животных и др.).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2.3.3. В Г.я. три числа - единственное, двойственное и множественное. В именах показатель ед. ч. Ø, дв. числа -k, мн. числа -t. Глагол согласуется с субъектом (переходные глаголы - с субъектом и объектом по числу). Местоимения также имеют три числа, но показатели числа несколько отличаются. Система числительных пятерично-десятеричная; числительное 'один' имеет показатель ед. ч., 'два' - дв. ч., 'три', 'четыре', 'пять' - мн. ч., остальные - ед. ч. Числительные легко этимологизируются.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2.3.4. Падежей восемь: абсолютный (-Ø) - подлежащее непереходного глагола и прямое дополнение переходного; относительный (-р) - подлежащее переходного глагола и обладатель в посессивной группе; инструменталис (-mik, -nik) - дополнение в антипассиве и обладатель и обстоятельственные значения; локатив (-me, -ne), аллатив (-mut, - nut); аблатив (-mit, -nit), виалис (-kut, -tigut) - обстоятельственные значения; экватив (-tut) со значением 'такой же, как', 'подобный'. По сравнению с падежной системой языков группы юпик есть единственное отличие: юпикский творительный падеж на -мын, соответствует в Г.я. двум - инструменталису и аблативу. Однако в речи, а также по диалектам эти два падежа в Г.я. часто взаимозаменяются (ср. восточно-гренландский диалект). По утверждению М. Сводеша, некоторые местоимения (tamaq- 'вместе, все', kisi - 'один', nalinginaq 'каждый', nayminiq 'сам, свой') различают номинатив и аккузатив вместо абсолютного и относительного. Имена имеют личные (притяжательные) формы (по 16 для каждого падежа), ср. igdluga 'мой дом', igdluka 'мои дома', igdlorput 'наш дом', igdluvut 'наши дома' и т. д.; см. 2.4.0.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Обладатель в посессивной группе оформляется относительным падежом, обладаемое - притяжательной формой, ср. merqap igdlua букв. 'мальчика дом-его', igdlup matua букв. 'дома дверь-его'. Существует класс имен, употребляющихся практически только в притяжательной форме. Это - слова пространственной ориентации (типа qaqap ataa 'горы низ-ее' от основы at- 'нижняя часть'); слова со значением части целого (типа isaa 'глаз его' от isi- 'глаз'); термины родства (типа angutiga 'мой отец' от angut- 'отец'); действительные переходные причастия (типа asasiga 'любящий меня', букв. 'любящий-мой' от asasi- 'любящий').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2.3.5. Все залоговые значения выражаются суффиксально. Основное диатезное преобразование ("антипассив") обеспечивается при помощи изменения субъектно-объектного спряжения глагола на субъектное и образования так называемых "полупереходных глаголов". Этот же механизм используется для выражения рефлексивного значения. Каузатив и версия обслуживаются специальными суффиксами. Наряду с антипассивом, в Г.я. в отличие от языков юпик, имеется суффиксально выраженный пассив: tiguva 'он это взял/берет', tigu-neqar-poq 'оно взято (им)'.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Наклонения подразделяются на независимые (индикатив, вопросительное, императив, оптатив) и зависимые (сослагательное, условное, субъектно- и объектно-партиципиальное). Употребление зависимых наклонений ограничено зависимой предикацией. Сослагательное обозначает как происходящее в прошедшем или настоящем: а) временное состояние ('когда'); б) причину; в) уступку ('хотя'). Условное наклонение выражает как будущее или гипотетическое а) временные отношения; б) условие. Партиципиальные наклонения обозначают сопутствующие действия самой различной семантики, причем субъектно-партиципиальное используется при наличии кореферентности субъектов главной и зависимой части, а объектно-партиципиальное - при кореферентности объектов или объекта с субъектом, ср.: umiat autlaligsut tikippai букв. 'лодка уплывая поймал-он-ее', т. е. 'когда лодка уплывала, он ее поймал' (ср. ниже о "четвертом лице").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Вид как особая категория в описаниях Г.я. не выделяется, хотя значения вида (точнее, способа действия) широко представлены в разделах, посвященных словообразованию. Словообразование очень развито, составляет основу выразительных средств языка. Добавляя новые суффиксы, можно получить практически любую часть речи из любой, а также любое уточнение значения (качественная и количественная модификация действия, модальные, фазовые и др. значения глагола, уменьшительные, увеличительные, оценочные добавления к именам и др.).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2.3.6. Глаголы имеют две модели спряжения: субъектную и субъектно-объектную. В субъектном спряжении шесть форм, в субъектно-объектном - 28 (нет двойственного числа). Притяжательные формы имен и сказуемые зависимых предикативных единиц имеют, помимо обычных трех лиц, еще и возвратное ("четвертое") лицо: agqa taiвaa 'имя-его (другого) он-назвал' - agqi taiвaa 'имя-свое он-назвал'; в полипредикативном предложении четвертое лицо используется при кореферентности субъектов, третье - при отсутствие кореферентности.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Система времен не выявлена четко, пересекается с видом, модальностью и наклонением. Шульц-Лоренцен выделяет исходную форму глагола Г.я. со значением претерита, в редких случаях способную обозначать настоящее. Значение прошедшего выражается суффиксом -simavoq-; настоящего - суффиксом -lerpoq- 'начинает' или -tarpoq-/-araoq- 'обычно делает'. Для обозначения будущего используются суффиксы различной семантики: -umarpoq 'обязательно, наверняка (сделает)', -niarpoq 'собирается, намеревается' и др. Очевидно, такая неоднозначность форм свидетельствует в данном случае не о несовершенстве системы, а о неадекватности описания.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Отрицание суффиксальное. Система демонстративов и пространственной ориентации очень развита, насчитывает до 30 локализаторов.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2.3.7. Надежно выделяются лишь три семантико-грамматических разряда слов: глаголы, имена и неизменяемые. Большая часть основ свободно образует как имена, так и глаголы; от неизменяемых слов также почти всегда можно образовать глаголы.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2.4.0. Образцы парадигм.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Беспритяжательное склонение (qaqaq 'гора')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tbl>
      <w:tblPr>
        <w:tblW w:w="3750" w:type="pct"/>
        <w:tblCellSpacing w:w="15" w:type="dxa"/>
        <w:tblInd w:w="66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244"/>
        <w:gridCol w:w="2439"/>
        <w:gridCol w:w="2636"/>
      </w:tblGrid>
      <w:tr w:rsidR="00CB2CE3" w:rsidRPr="00CB2CE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Ед. ч.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Мн. ч.</w:t>
            </w:r>
          </w:p>
        </w:tc>
      </w:tr>
      <w:tr w:rsidR="00CB2CE3" w:rsidRPr="00CB2CE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Абс.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qaqaq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qaqat</w:t>
            </w:r>
          </w:p>
        </w:tc>
      </w:tr>
      <w:tr w:rsidR="00CB2CE3" w:rsidRPr="00CB2CE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Отн.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qaqap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qaqat</w:t>
            </w:r>
          </w:p>
        </w:tc>
      </w:tr>
      <w:tr w:rsidR="00CB2CE3" w:rsidRPr="00CB2CE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Лок.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qaqame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qaqane</w:t>
            </w:r>
          </w:p>
        </w:tc>
      </w:tr>
      <w:tr w:rsidR="00CB2CE3" w:rsidRPr="00CB2CE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Инстр.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qaqamik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qaqanik</w:t>
            </w:r>
          </w:p>
        </w:tc>
      </w:tr>
      <w:tr w:rsidR="00CB2CE3" w:rsidRPr="00CB2CE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Аллат.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qaqamut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qaqanut</w:t>
            </w:r>
          </w:p>
        </w:tc>
      </w:tr>
      <w:tr w:rsidR="00CB2CE3" w:rsidRPr="00CB2CE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Аблат.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qaqamit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qaqanit</w:t>
            </w:r>
          </w:p>
        </w:tc>
      </w:tr>
      <w:tr w:rsidR="00CB2CE3" w:rsidRPr="00CB2CE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Виалис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qaqakut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qaqatigut</w:t>
            </w:r>
          </w:p>
        </w:tc>
      </w:tr>
      <w:tr w:rsidR="00CB2CE3" w:rsidRPr="00CB2CE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Экв.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qaqatut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qaqatut</w:t>
            </w:r>
          </w:p>
        </w:tc>
      </w:tr>
    </w:tbl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Притяжательное склонение (iniga 'комната')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tbl>
      <w:tblPr>
        <w:tblW w:w="4250" w:type="pct"/>
        <w:tblCellSpacing w:w="15" w:type="dxa"/>
        <w:tblInd w:w="66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974"/>
        <w:gridCol w:w="1105"/>
        <w:gridCol w:w="1283"/>
        <w:gridCol w:w="1158"/>
        <w:gridCol w:w="1472"/>
        <w:gridCol w:w="1302"/>
      </w:tblGrid>
      <w:tr w:rsidR="00CB2CE3" w:rsidRPr="00CB2CE3">
        <w:trPr>
          <w:cantSplit/>
          <w:tblCellSpacing w:w="15" w:type="dxa"/>
        </w:trPr>
        <w:tc>
          <w:tcPr>
            <w:tcW w:w="0" w:type="auto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Число и лицо обладателя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Абсолютный падеж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Относительный падеж</w:t>
            </w:r>
          </w:p>
        </w:tc>
      </w:tr>
      <w:tr w:rsidR="00CB2CE3" w:rsidRPr="00CB2CE3">
        <w:trPr>
          <w:cantSplit/>
          <w:tblCellSpacing w:w="15" w:type="dxa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Ед. ч.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Мн. ч.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Ед. ч.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Мн. ч.</w:t>
            </w:r>
          </w:p>
        </w:tc>
      </w:tr>
      <w:tr w:rsidR="00CB2CE3" w:rsidRPr="00CB2CE3">
        <w:trPr>
          <w:cantSplit/>
          <w:tblCellSpacing w:w="15" w:type="dxa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Ед. ч.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1 л.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iniga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inika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inima</w:t>
            </w:r>
          </w:p>
        </w:tc>
      </w:tr>
      <w:tr w:rsidR="00CB2CE3" w:rsidRPr="00CB2CE3">
        <w:trPr>
          <w:cantSplit/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 xml:space="preserve">2 </w:t>
            </w:r>
            <w:r w:rsidRPr="00CB2CE3">
              <w:rPr>
                <w:color w:val="000000"/>
                <w:sz w:val="24"/>
                <w:szCs w:val="24"/>
              </w:rPr>
              <w:t>л</w:t>
            </w:r>
            <w:r w:rsidRPr="00CB2CE3">
              <w:rPr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init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initit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inegpit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inivit</w:t>
            </w:r>
          </w:p>
        </w:tc>
      </w:tr>
      <w:tr w:rsidR="00CB2CE3" w:rsidRPr="00CB2CE3">
        <w:trPr>
          <w:cantSplit/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 xml:space="preserve">3 </w:t>
            </w:r>
            <w:r w:rsidRPr="00CB2CE3">
              <w:rPr>
                <w:color w:val="000000"/>
                <w:sz w:val="24"/>
                <w:szCs w:val="24"/>
              </w:rPr>
              <w:t>л</w:t>
            </w:r>
            <w:r w:rsidRPr="00CB2CE3">
              <w:rPr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inai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inata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inaisa</w:t>
            </w:r>
          </w:p>
        </w:tc>
      </w:tr>
      <w:tr w:rsidR="00CB2CE3" w:rsidRPr="00CB2CE3">
        <w:trPr>
          <w:cantSplit/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 xml:space="preserve">4 </w:t>
            </w:r>
            <w:r w:rsidRPr="00CB2CE3">
              <w:rPr>
                <w:color w:val="000000"/>
                <w:sz w:val="24"/>
                <w:szCs w:val="24"/>
              </w:rPr>
              <w:t>л</w:t>
            </w:r>
            <w:r w:rsidRPr="00CB2CE3">
              <w:rPr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inine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inine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inime</w:t>
            </w:r>
          </w:p>
        </w:tc>
      </w:tr>
      <w:tr w:rsidR="00CB2CE3" w:rsidRPr="00CB2CE3">
        <w:trPr>
          <w:cantSplit/>
          <w:tblCellSpacing w:w="15" w:type="dxa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</w:rPr>
              <w:t>Мн</w:t>
            </w:r>
            <w:r w:rsidRPr="00CB2CE3"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r w:rsidRPr="00CB2CE3">
              <w:rPr>
                <w:color w:val="000000"/>
                <w:sz w:val="24"/>
                <w:szCs w:val="24"/>
              </w:rPr>
              <w:t>ч</w:t>
            </w:r>
            <w:r w:rsidRPr="00CB2CE3">
              <w:rPr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 xml:space="preserve">1 </w:t>
            </w:r>
            <w:r w:rsidRPr="00CB2CE3">
              <w:rPr>
                <w:color w:val="000000"/>
                <w:sz w:val="24"/>
                <w:szCs w:val="24"/>
              </w:rPr>
              <w:t>л</w:t>
            </w:r>
            <w:r w:rsidRPr="00CB2CE3">
              <w:rPr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inegput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inivut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inivta</w:t>
            </w:r>
          </w:p>
        </w:tc>
      </w:tr>
      <w:tr w:rsidR="00CB2CE3" w:rsidRPr="00CB2CE3">
        <w:trPr>
          <w:cantSplit/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 xml:space="preserve">2 </w:t>
            </w:r>
            <w:r w:rsidRPr="00CB2CE3">
              <w:rPr>
                <w:color w:val="000000"/>
                <w:sz w:val="24"/>
                <w:szCs w:val="24"/>
              </w:rPr>
              <w:t>л</w:t>
            </w:r>
            <w:r w:rsidRPr="00CB2CE3">
              <w:rPr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inegse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inise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inivse</w:t>
            </w:r>
          </w:p>
        </w:tc>
      </w:tr>
      <w:tr w:rsidR="00CB2CE3" w:rsidRPr="00CB2CE3">
        <w:trPr>
          <w:cantSplit/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 xml:space="preserve">3 </w:t>
            </w:r>
            <w:r w:rsidRPr="00CB2CE3">
              <w:rPr>
                <w:color w:val="000000"/>
                <w:sz w:val="24"/>
                <w:szCs w:val="24"/>
              </w:rPr>
              <w:t>л</w:t>
            </w:r>
            <w:r w:rsidRPr="00CB2CE3">
              <w:rPr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inat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inait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inata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inaisa</w:t>
            </w:r>
          </w:p>
        </w:tc>
      </w:tr>
      <w:tr w:rsidR="00CB2CE3" w:rsidRPr="00CB2CE3">
        <w:trPr>
          <w:cantSplit/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 xml:space="preserve">4 </w:t>
            </w:r>
            <w:r w:rsidRPr="00CB2CE3">
              <w:rPr>
                <w:color w:val="000000"/>
                <w:sz w:val="24"/>
                <w:szCs w:val="24"/>
              </w:rPr>
              <w:t>л</w:t>
            </w:r>
            <w:r w:rsidRPr="00CB2CE3">
              <w:rPr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inegtik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initik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inimik</w:t>
            </w:r>
          </w:p>
        </w:tc>
      </w:tr>
    </w:tbl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Фрагмент склонения вопросительных местоимений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tbl>
      <w:tblPr>
        <w:tblW w:w="3750" w:type="pct"/>
        <w:tblCellSpacing w:w="15" w:type="dxa"/>
        <w:tblInd w:w="66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77"/>
        <w:gridCol w:w="1582"/>
        <w:gridCol w:w="1412"/>
        <w:gridCol w:w="1613"/>
        <w:gridCol w:w="1335"/>
      </w:tblGrid>
      <w:tr w:rsidR="00CB2CE3" w:rsidRPr="00CB2CE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Ед. ч.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Мн. ч.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Ед. ч.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Мн. ч.</w:t>
            </w:r>
          </w:p>
        </w:tc>
      </w:tr>
      <w:tr w:rsidR="00CB2CE3" w:rsidRPr="00CB2CE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Абс.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kina 'кто'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kikut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suna '</w:t>
            </w:r>
            <w:r w:rsidRPr="00CB2CE3">
              <w:rPr>
                <w:color w:val="000000"/>
                <w:sz w:val="24"/>
                <w:szCs w:val="24"/>
              </w:rPr>
              <w:t>что</w:t>
            </w:r>
            <w:r w:rsidRPr="00CB2CE3">
              <w:rPr>
                <w:color w:val="000000"/>
                <w:sz w:val="24"/>
                <w:szCs w:val="24"/>
                <w:lang w:val="en-US"/>
              </w:rPr>
              <w:t>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sut</w:t>
            </w:r>
          </w:p>
        </w:tc>
      </w:tr>
      <w:tr w:rsidR="00CB2CE3" w:rsidRPr="00CB2CE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</w:rPr>
              <w:t>Отн</w:t>
            </w:r>
            <w:r w:rsidRPr="00CB2CE3">
              <w:rPr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kia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kikut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sup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sut</w:t>
            </w:r>
          </w:p>
        </w:tc>
      </w:tr>
      <w:tr w:rsidR="00CB2CE3" w:rsidRPr="00CB2CE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</w:rPr>
              <w:t>Лок</w:t>
            </w:r>
            <w:r w:rsidRPr="00CB2CE3">
              <w:rPr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kime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kikune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sume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sune</w:t>
            </w:r>
          </w:p>
        </w:tc>
      </w:tr>
      <w:tr w:rsidR="00CB2CE3" w:rsidRPr="00CB2CE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</w:rPr>
              <w:t>Аллат</w:t>
            </w:r>
            <w:r w:rsidRPr="00CB2CE3">
              <w:rPr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kimut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kikunut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sumut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sunut</w:t>
            </w:r>
          </w:p>
        </w:tc>
      </w:tr>
    </w:tbl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Фрагменты спряжения глагола (aki- 'отвечать')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tbl>
      <w:tblPr>
        <w:tblW w:w="4250" w:type="pct"/>
        <w:tblCellSpacing w:w="15" w:type="dxa"/>
        <w:tblInd w:w="66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775"/>
        <w:gridCol w:w="1572"/>
        <w:gridCol w:w="1943"/>
        <w:gridCol w:w="1063"/>
        <w:gridCol w:w="984"/>
        <w:gridCol w:w="957"/>
      </w:tblGrid>
      <w:tr w:rsidR="00CB2CE3" w:rsidRPr="00CB2CE3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Непереходные глаголы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Переходные глаголы</w:t>
            </w:r>
          </w:p>
        </w:tc>
      </w:tr>
      <w:tr w:rsidR="00CB2CE3" w:rsidRPr="00CB2CE3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Число и лицо глагола</w:t>
            </w:r>
          </w:p>
        </w:tc>
      </w:tr>
      <w:tr w:rsidR="00CB2CE3" w:rsidRPr="00CB2CE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Число и лицо субъекта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1 л. ед.ч.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2 л. ед.ч.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3 л. ед.ч.</w:t>
            </w:r>
          </w:p>
        </w:tc>
      </w:tr>
      <w:tr w:rsidR="00CB2CE3" w:rsidRPr="00CB2CE3">
        <w:trPr>
          <w:cantSplit/>
          <w:tblCellSpacing w:w="15" w:type="dxa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Императив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1 л. мн.ч.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akisa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akitigo</w:t>
            </w:r>
          </w:p>
        </w:tc>
      </w:tr>
      <w:tr w:rsidR="00CB2CE3" w:rsidRPr="00CB2CE3">
        <w:trPr>
          <w:cantSplit/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 xml:space="preserve">2 </w:t>
            </w:r>
            <w:r w:rsidRPr="00CB2CE3">
              <w:rPr>
                <w:color w:val="000000"/>
                <w:sz w:val="24"/>
                <w:szCs w:val="24"/>
              </w:rPr>
              <w:t>л</w:t>
            </w:r>
            <w:r w:rsidRPr="00CB2CE3"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r w:rsidRPr="00CB2CE3">
              <w:rPr>
                <w:color w:val="000000"/>
                <w:sz w:val="24"/>
                <w:szCs w:val="24"/>
              </w:rPr>
              <w:t>ед</w:t>
            </w:r>
            <w:r w:rsidRPr="00CB2CE3">
              <w:rPr>
                <w:color w:val="000000"/>
                <w:sz w:val="24"/>
                <w:szCs w:val="24"/>
                <w:lang w:val="en-US"/>
              </w:rPr>
              <w:t>.</w:t>
            </w:r>
            <w:r w:rsidRPr="00CB2CE3">
              <w:rPr>
                <w:color w:val="000000"/>
                <w:sz w:val="24"/>
                <w:szCs w:val="24"/>
              </w:rPr>
              <w:t>ч</w:t>
            </w:r>
            <w:r w:rsidRPr="00CB2CE3">
              <w:rPr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akigit, akina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akinga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akiguk</w:t>
            </w:r>
          </w:p>
        </w:tc>
      </w:tr>
      <w:tr w:rsidR="00CB2CE3" w:rsidRPr="00CB2CE3">
        <w:trPr>
          <w:cantSplit/>
          <w:tblCellSpacing w:w="15" w:type="dxa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Индикатив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1 л. ед.ч.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akivunga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akivavkit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akivaga</w:t>
            </w:r>
          </w:p>
        </w:tc>
      </w:tr>
      <w:tr w:rsidR="00CB2CE3" w:rsidRPr="00CB2CE3">
        <w:trPr>
          <w:cantSplit/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2 л. ед.ч.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akivutit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akivagma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akivat</w:t>
            </w:r>
          </w:p>
        </w:tc>
      </w:tr>
      <w:tr w:rsidR="00CB2CE3" w:rsidRPr="00CB2CE3">
        <w:trPr>
          <w:cantSplit/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3 л. ед.ч.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akivoq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akivanga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akivati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akiva</w:t>
            </w:r>
          </w:p>
        </w:tc>
      </w:tr>
      <w:tr w:rsidR="00CB2CE3" w:rsidRPr="00CB2CE3">
        <w:trPr>
          <w:cantSplit/>
          <w:tblCellSpacing w:w="15" w:type="dxa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Вопроситель. форма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2 л. ед.ч.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akivit?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akivinga?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akiviuk?</w:t>
            </w:r>
          </w:p>
        </w:tc>
      </w:tr>
      <w:tr w:rsidR="00CB2CE3" w:rsidRPr="00CB2CE3">
        <w:trPr>
          <w:cantSplit/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3 л. ед.ч.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akita?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akivanga?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-</w:t>
            </w:r>
          </w:p>
        </w:tc>
      </w:tr>
    </w:tbl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2.5.0. Морфосинтаксические сведения.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2.5.1. Словоформа всегда начинается с корня, за которым следуют суффиксы внутриклассного и междуклассного словообразования, далее суффиксы словоизменения и иногда энклитики. Минимальная модель глагольного слова, кроме корня, включает, видимо, аффиксы времени, наклонения и лица/числа.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подсчетам Ринка, слово igdlo 'дом' может принять 80 различных деривационных суффиксов; каждый из полученных дериватов может получить 61 деривацию второго порядка, каждый из последних - 70 дериваций третьего порядка, и т. д. с общим числом производных ок. 270 млн. слов. Очевидно, эта цифра сильно преувеличена, так как она предполагает свободную сочетаемость всех морфем со всеми, но в любом случае число морфологических форм слова исключительно велико. Пример 8-порядковой деривации: igdlo-ssua-tsia-lior-fi-gssa-liar-qu-gamiuk 'дом-большой-довольно-изготавливать-место-быть-идти-велеть-когда.он.его', т. е. 'велев ему пойти туда, где строился довольно большой дом'. За суффиксами словоизменения могут следовать энклитики (одна или более), типа -lu 'и, также', -guuq/-nguuq 'говорят; мол' и др., ср.: una-lu-guuq 'этот, мол, тоже', igdlo-lu 'также и дом'.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2.5.2. Единственным средством словообразования является суффиксация, ср.: inuk 'человек' - inorujuk 'большой человек', igdlo 'дом' - igdlorssuaq 'большой дом' - igdlorssuat 'большие дома' - igdlorssualiorpoq 'он строит большой дом'.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2.5.3. Из-за сильно выраженного синтетизма, наличия субъектно-объектного спряжения и посессивного склонения слово в Г.я. включает все элементы, необходимые для передачи законченного смысла. Предложения типа Nuliarniaraluarnerpise? 'Интересно, правда ли, что ты действительно собираешься поехать в Готхоб?' настолько сильно действовали на воображение лингвистов, что собственно синтаксисом Г.я. они практически не занимались, ограничиваясь утверждением, что соединение нескольких слов в предложении сводится к дополнению, распространению, объяснению одного единственного слова. Сведения о синтаксисе Г.я. в традиционном понимании поэтому крайне фрагментарны.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Г.я. характерна эргативная система глагольных конструкций (подлежащее в релативе, прямое дополнение - в абсолютном падеже) и так называемая "антипассивная" ("косвенно-переходная") конструкция (подлежащее в абсолютном падеже, глагол семантически переходный и морфологически переходный, прямое дополнение в инструменталисе). Выделяется также, в отличие от языков группы юпик, и пассивная конструкция.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Вопросительные предложения, выражающие общий вопрос, формируются посредством вопросительного наклонения глаголов (показатель -pi/-vi во 2-м лице, -va в 3-м лице): akivoq 'он отвечает', akiva? 'он отвечает?', akivit? 'ты отвечаешь?'. Г.я., в отличие от языков группы юпик, не имеет вопросительной формы 1-го лица. Специальный вопрос выражается вопросительным словом в сочетании с глаголом в индикативе.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2.5.4. Сложного предложения в традиционном понимании нет. Полипредикация выражается через зависимые наклонения глаголов, ср.: Tikikkamik, taquvuq букв. 'Они, приехав, он (один-из-них)-умер'.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2.6.0. Источник, объем и роль лексических заимствований. Основной (и, видимо, единственный) источник - датский язык. В 1871 г. зафиксировано 26 скандинавских заимствований, из которых четыре восходят к X в. (колония Эрика Рыжего), семь - к XVIII в. (колония Ханса Эгеде), остальные - к XIX в. В настоящее время наблюдается большой наплыв датских заимствований (как правило - вместе с предметами материальной культуры, ср. biili 'машина' &lt; bil (датск.).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2.7.0. Диалектная система.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Восточно-гренландский диалект. С 90-х гг. XIX в. испытывает сильное влияние литературного языка, сформировавшегося на базе западного диалекта, и постепенно нивелируется. В восточно-гренландском диалекте, как и в крайнем западном ареале распространения языков эскимосско-алеутской семьи (Берингов пролив), сохранились некоторые архаизмы.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Фонетические соответствия с литературным западным диалектом Г.я. следующие: 1) назализация q в окончаниях -poq, -woq; 2) замена лит. q на g, как в pegarter (лит. peqartoq), imaga (лит. imaqa); 3) замена лит. B на q, как в imerqik (лит. imerBik); 4) частое появление r в конце слова на месте лит. q: ср. sor, лит. soq, и т. п.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Серьезных морфологических отличий от литературного Г.я. нет, однако существует большое количество мелких отклонений. Ср., например, восточно-гренландские варианты p ~ m для относительного падежа (лит. -p; ср. аз.-эск. -м) или варианты t ~ n для мн. числа (лит. -t). Есть различия и в окончаниях ед. числа (т. е. чистой основы): ед. ч. taleng, мн. ч. talin 'рука', ср. лит. ед. ч. talik, мн. ч. talit. В восточно-гренландском нет аблатива на -mit, его функции выполняет инструменталис (то же в языках юпик). Показатель 1-го лица -woa, -poa вместо лит. -wonga, -ponga.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Наиболее яркие отличия восточно-гренландского от литературного Г.я. - в лексике. Основная причина этого - распространенная в прошлом система табу, запрещающая употребление слова, если оно служило именем умершего человека. Так, после смерти людей, носивших имена Umiaq ('женская лодка') и Inuk ('человек'), эти слова стали табу и были заменены в речи соответственно на иносказательные Aawtaarit 'средство передвижения по морю' и Taaq 'тень человека; человек, видимый с большого расстояния'. В результате составленные миссионерами списки базовой лексики в значительной мере теряли смысл через 30-40 лет.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Восточно-гренландский диалект распространен на восточном побережье острова между 60о и 68о северной широты. Включает три поддиалекта: район Киалинык - Пикиутлык, или Ангмагссалик; район Умивик - Икыгмиут; район Аногиток - Алюк. Восточно-гренландский диалект представляет собой самую восточную точку распространение языка эскимосско-алеутской семьи и является географически изолированным. О современном состоянии диалекта, точном числе носителей, сферах употребления и степени ассимиляции литературным языком не позволяет судить отсутствие опубликованных полевых данных.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Западно-гренландский диалект лежит в основе литературного языка. Включает четыре поддиалекта: 1) район Юлианехоб; близок к восточно-гренландскому, наиболее характерная черта - замена во многих случаях лит. u, o, O на соотв. i, e, E, ср. marlik 'два' вместо marluk; 2) район Фредериксхоб - Хольстейнсборг; именно на базе этого поддиалекта был создан литературный язык; характеризуется огубленными гласными u, o, O и наличием g вместо ng; на месте s - ретрофлексный s; 3) район Эгедесминее - Уманак; часто имеет ng вместо лит. g, t вместо лит. ts, gng вместо лит. gn; 4) район Упернавик; характеризуется следующими фонетическими отличиями от литературного языка: q вместо g, k вместо х, p вместо g и f; вместо g, v, ts часто стоят q, ng, s.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Западно-гренландский диалект (и, следовательно, литературный гренландский) близок к диалектам Иглулик, а последние - к Лабрадорскому (см. статью "Инуитов Канады язык" в настоящем издании). Вообще, географическое деление лингвистически мало ценно, хотя и практически удобно; государственные границы не совпадают с диалектными.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Западно-гренландский диалект распространен на юго-западном и западном побережье Гренландии, приблизительно между 60о и 74о северной широты.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Туле диалект (то же, что язык полярных эскимосов, северный гренландский диалект). Впервые был обнаружен в 1818 г. экспедицией Джона Росса. Наименее изучен из всех диалектов Г.я. Словарь и грамматика почти не отличаются от западно-гренландского, но звуковой строй языка совершенно другой из-за особого ритмического рисунка речи (фразовое ударение не на последнем слоге, как в западно-гренландском) и более вялой артикуляции. Из-за сдвига фразового ударения происходит ослабление конечных взрывных до щелевых и далее до носовых, практически не слышных в потоке речи. Инвентарь гласных тот же, что в западно-гренландском, но в туле a, e/i, o/u - более огубленные и менее напряженные. В дополнение к общим для Г.я. согласным есть звонкие смычные g, d, b и h. Процесс ассимиляции, характерный для западно-гренландского, в туле продвинулся не столь далеко, ср.: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tbl>
      <w:tblPr>
        <w:tblW w:w="3750" w:type="pct"/>
        <w:tblCellSpacing w:w="15" w:type="dxa"/>
        <w:tblInd w:w="66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56"/>
        <w:gridCol w:w="2126"/>
        <w:gridCol w:w="2052"/>
        <w:gridCol w:w="1685"/>
      </w:tblGrid>
      <w:tr w:rsidR="00CB2CE3" w:rsidRPr="00CB2CE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в орфографии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туле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зап.-гренл.</w:t>
            </w:r>
          </w:p>
        </w:tc>
      </w:tr>
      <w:tr w:rsidR="00CB2CE3" w:rsidRPr="00CB2CE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'скала'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ivnaq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imnAq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iwnAq</w:t>
            </w:r>
          </w:p>
        </w:tc>
      </w:tr>
      <w:tr w:rsidR="00CB2CE3" w:rsidRPr="00CB2CE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'немного'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ingmanguaq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ingmangnuAq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imangnAq</w:t>
            </w:r>
          </w:p>
        </w:tc>
      </w:tr>
      <w:tr w:rsidR="00CB2CE3" w:rsidRPr="00CB2CE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'огонь'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ingneq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ingnEq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inEq</w:t>
            </w:r>
          </w:p>
        </w:tc>
      </w:tr>
      <w:tr w:rsidR="00CB2CE3" w:rsidRPr="00CB2CE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B2CE3">
              <w:rPr>
                <w:color w:val="000000"/>
                <w:sz w:val="24"/>
                <w:szCs w:val="24"/>
              </w:rPr>
              <w:t>'обрыв'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igpik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igpik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CE3" w:rsidRPr="00CB2CE3" w:rsidRDefault="00CB2CE3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CB2CE3">
              <w:rPr>
                <w:color w:val="000000"/>
                <w:sz w:val="24"/>
                <w:szCs w:val="24"/>
                <w:lang w:val="en-US"/>
              </w:rPr>
              <w:t>ipik</w:t>
            </w:r>
          </w:p>
        </w:tc>
      </w:tr>
    </w:tbl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Окончание непереходного глагола (зап.-гренл. -poq/-voq) в туле имеет форму -toq/-soq, характерную для северной Аляски. Возможно, здесь сказалось влияние соседних канадских диалектов. Диалект туле, видимо, более архаичен, чем западно-гренландский; в нем сохранились черты, которые восстанавливаются для западно-гренландского XVIII в. по устаревшей орфографии. 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Диалект туле, видимо, самое северное наречие на Земле. Распространен в районе пос. Туле, мыса Йорк (ок. 78о северной широты). В 1923 г. зарегистрировано ок. 250 носителей. </w:t>
      </w:r>
    </w:p>
    <w:p w:rsidR="00CB2CE3" w:rsidRDefault="00CB2CE3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Список</w:t>
      </w:r>
      <w:r>
        <w:rPr>
          <w:b/>
          <w:bCs/>
          <w:color w:val="000000"/>
          <w:sz w:val="28"/>
          <w:szCs w:val="28"/>
          <w:lang w:val="en-US"/>
        </w:rPr>
        <w:t xml:space="preserve"> </w:t>
      </w:r>
      <w:r>
        <w:rPr>
          <w:b/>
          <w:bCs/>
          <w:color w:val="000000"/>
          <w:sz w:val="28"/>
          <w:szCs w:val="28"/>
        </w:rPr>
        <w:t>литературы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Bergsland K. A. Grammatical Outline of the Eskimo Language of West Greenland. Oslo, 1955.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Fortescue M. West Greenlandic. Croom Helm Descriptive Grammars. London, 1984.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Holtved E. Remarks on the Polar Eskimo Dialect // International Journal of American Linguistics. 1952, vol. 18.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Kleinschmidt S. P. Grammatik der gronlandischen Sprache (mit teilweisem Einschluss des Labradordialekts). Berlin, 1851. </w:t>
      </w:r>
      <w:r>
        <w:rPr>
          <w:color w:val="000000"/>
          <w:sz w:val="24"/>
          <w:szCs w:val="24"/>
        </w:rPr>
        <w:t>Переиздано</w:t>
      </w:r>
      <w:r>
        <w:rPr>
          <w:color w:val="000000"/>
          <w:sz w:val="24"/>
          <w:szCs w:val="24"/>
          <w:lang w:val="en-US"/>
        </w:rPr>
        <w:t>: Georg Olus Verlag Buchhandlung. Hildesheim, 1968.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Mennecier Ph. Le Tunumiisut, dialect inuit du Groenland Oriental. Description et analyse. Collection linguistique, 78. Societe de linguistique de Paris, 1994.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Schultz-Lorentzen C. W. Grammar of the West Greenland Language // Meddelelserom Gronland. Kobenhavn, 1945, Bd. 129, Nr. 3.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Swadesh M. South Greenlandic Eskimo // Linguistic Structures of Native America. Viking Fund Publications in Anthropology. N. Y., 1946, No 6.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 xml:space="preserve">Woodbury A. Ergativity in Grammatical Processes. A Study of Greenlandic Eskimo // Master's Essay. University of Illinois. </w:t>
      </w:r>
      <w:r>
        <w:rPr>
          <w:color w:val="000000"/>
          <w:sz w:val="24"/>
          <w:szCs w:val="24"/>
        </w:rPr>
        <w:t>Chicago, 1975.</w:t>
      </w:r>
    </w:p>
    <w:p w:rsidR="00CB2CE3" w:rsidRDefault="00CB2C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CB2CE3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4C9A"/>
    <w:rsid w:val="0021704C"/>
    <w:rsid w:val="00607A23"/>
    <w:rsid w:val="00CB2CE3"/>
    <w:rsid w:val="00D84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367FC50-921B-4ABA-9889-43AA35938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15318</Words>
  <Characters>8732</Characters>
  <Application>Microsoft Office Word</Application>
  <DocSecurity>0</DocSecurity>
  <Lines>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ГРЕНЛАНДСКИЙ ЯЗЫК</vt:lpstr>
    </vt:vector>
  </TitlesOfParts>
  <Company>PERSONAL COMPUTERS</Company>
  <LinksUpToDate>false</LinksUpToDate>
  <CharactersWithSpaces>24002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ГРЕНЛАНДСКИЙ ЯЗЫК</dc:title>
  <dc:subject/>
  <dc:creator>USER</dc:creator>
  <cp:keywords/>
  <dc:description/>
  <cp:lastModifiedBy>admin</cp:lastModifiedBy>
  <cp:revision>2</cp:revision>
  <dcterms:created xsi:type="dcterms:W3CDTF">2014-01-26T23:15:00Z</dcterms:created>
  <dcterms:modified xsi:type="dcterms:W3CDTF">2014-01-26T23:15:00Z</dcterms:modified>
</cp:coreProperties>
</file>