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A67" w:rsidRDefault="00FF4A6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Придаточные предложения относительные и посессивность в современных славянских языках</w:t>
      </w:r>
    </w:p>
    <w:p w:rsidR="00FF4A67" w:rsidRDefault="00FF4A67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 Беличова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Местоимения относительные (МО), выполняющие в славянских языках по отношению к главному предложению функцию связующего средства и в рамках придаточного предложения выступающие на правах строевого компонента его структуры, не дифференцированы, как правило, в формальном отношении от местоимений вопросительных и неопределенных, т. е., например, местоимение кто в русском языке может выполнять функцию местоимения как вопросительного, так и неопределенного или же относительного. Различие в их функции достаточно определенно гарантируется контекстом, местоимение само по себе связано лишь с таким признаком, как «референциальная неопределенность» </w:t>
      </w:r>
      <w:r>
        <w:rPr>
          <w:color w:val="000000"/>
          <w:sz w:val="24"/>
          <w:szCs w:val="24"/>
          <w:vertAlign w:val="superscript"/>
        </w:rPr>
        <w:t>1</w:t>
      </w:r>
      <w:r>
        <w:rPr>
          <w:color w:val="000000"/>
          <w:sz w:val="24"/>
          <w:szCs w:val="24"/>
        </w:rPr>
        <w:t>. В южнославянских языках (за исключением сербскохорватского), а также в лужицких МО как особая разновидность местоимений, выполняющих в рамках сложного предложения служебную функцию, получили оформление посредством суффикса: словен. -r (kdor), болг. -то (който), макед. -што (коjшто), в.-луж. -ž (štóž), н.-луж. -ž (chtož). МО вместе с другими местоимениями, указывающими в наиболее общих чертах на характер референта, вступают в парадигматические отношения: рус. я (ты...), кто, кто-то, кто-нибудь, никто..., словен. jaz (ti...), kdor, kdo, nekdo и т. п. объединены семантическим признаком «лицо»; рус. что, что-то, что-нибудь..., словен. kar, kaj, nekaj и т. п. объединяются на основании семантического признака «предметность» и т.п. В такие же парадигматические отношения вступают посессивные МО вроде рус. чей. См. рус. мой (твой...), чей, чей-то, чей-нибудь, ничей и т.п. Некоторые расхождения между славянскими языками определяются тем, входит ли МО типа рус. чей в парадигматический ряд с мой, чей-то... или же с его, ее, их, т. е. с формами, выполняющими функции притяжательного местоимения не только по отношению к лицу, но и к нелицу. См., например, рус. мой дом : его высота. Местоимения посессивные вроде мой, твой выражают наличие посессивной связи в узком смысле между какой-либо субстанцией и лицом, отсылая к данному лицу: мой дом, моя дочь, моя голова и т.п. В более широком смысле они отсылают к лицу, отношение которого к референту другого имени представлено как разновидность посессивной связи, но на самом деле имеются в виду разного рода субъектные отношения: моя книга (==книга, написанная мною); мой успех (=='я вел себя успешно'); мое возвращение (==я вернулся); мое вознаграждение (==меня вознаградили == я был вознагражден) и т.п. В отличие от посессивных местоимений вроде мой, твой, наш, ваш с однозначной личной референцией местоимения его, ее, их кроме личной референции (его дом, его возвращение) отличаются также референцией предметной в широком смысле слова, т.е. отсылают к нелицам: длина предложения — его длина, вес книги — ее вес, необходимость поисков — их необходимость и т.п.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Будучи употреблено как вопросительное или неопределенное, местоимение вроде рус. чей, чья, чье, чьи всегда опирается на наличие признака «лицо», т.е. предполагает соотнесенность с неопределенным лицом: Чья это книга? В этом отношении славянские языки абсолютно сходны, см. чеш. Čí je to dítĕ?; серб.-хорв. Čije su to knjige? и т.п. Относительное же местоимение чей и т.п. ведет себя в славянских языках по-разному.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Хотя во всех славянских языках налицо такое МО (либо имеется МО, образованное от вопросительного посредством суффиксации, либо МО совпадает с вопросительным/неопределенным) — см. рус. чей, укр. чиц, блр. чый, чеш. čí, словац. čí, польск. czyj, в.-луж. čehož, н.-луж. cejiž, серб.-хорв. čiji, словен. čigar, болг. чийто, макед. чиj (што) (в словенском и верхнелужицком МО представляет собой по форме род. падеж; в македонском форма с -што факультативна), — славянские языки отличаются друг от друга как тем, включено ли указанное МО в парадигматический ряд вместе с мой, твой и т. п. или же в парадигматический ряд вместе с местоимением притяжательным 3-го лица, так и тем, насколько широко употребляются другие МО, способные выполнять функцию МО в широком смысле слова.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Расхождения между славянскими языками — в сфере относительных предложений — определяется тем, входит ли МО посессивное в парадигматический ряд вместе с МО вроде кто или который. Разница между МО кто и который заключается в том, что референция МО кто всегда личная, в то время как референция МО который является немаркированной, т.е. предметной в широком смысле слова, в том числе и — в зависимости от контекста — личной. МО с чисто личной референцией вводят придаточные относительные предложения, употребление которых основывается на презумпции наличия некоторого множества лиц («по крайней мере одно»), любое из которых соотносимо с предикатом придаточного предложения (указанная предикативная связь отнесена говорящим к сфере импликаций). В результате референциального тождества какого-либо N главного предложения и лица, к которому отсылает МО (рус. кто, словен. kdor и т. п.), N главного предложения посредством МО соотнесено также с предикатом придаточного предложения, самостоятельная коммуникативная функция которого снята.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В славянских языках имеется несколько разновидностей указанного рода сложных предложений с относительными придаточными. Общеславянский характер носит сложное предложение с препозицией придаточного вроде рус. Кто еще не начинал, спешил отбить косу, серб.-хорв. Ко je bez greha, neka se prvi baci kamenom, болг. Който има за кола, има и за сервиз, чеш. </w:t>
      </w:r>
      <w:r>
        <w:rPr>
          <w:color w:val="000000"/>
          <w:sz w:val="24"/>
          <w:szCs w:val="24"/>
          <w:lang w:val="en-US"/>
        </w:rPr>
        <w:t xml:space="preserve">Kdo se bojí, nesmí do lesa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  <w:lang w:val="en-US"/>
        </w:rPr>
        <w:t>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Общеславянский характер носит также сложное предложение, главное предложение которого содержит анафорический эквивалент МО кто, т.е. или указательное местоимение, или же местоимение 3-го лица (так в болгарском и македонском, факультативно также в сербскохорватском, словенском и словацком, не исключено местоимение 3-го лица также в чешском); рус. Кто не видел киевской осени, тот никогда не поймет нежной прелести этих часов; словен. Kdor med vami je največji lenuh, ta naj postane kralj; Kdor bo ugriznil v to pecenko, mu bo mast kar curljala po bradi; болг. Който не работи, само той не бърка и т.п., а также с контактным положением анафорического и относительного местоимений: рус. Победителем выйдет тот, у кого крепче нервы; серб.-хорв. То nije malo onom ko zna neposrednost i površinu и т.п.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славянских языках имеется также тип сложного предложения с относительным придаточным как с ориентированной анафорической связью, так и без нее 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, МО которого имеет ту же референцию, что и контактное с придаточным имя существительное в главном, т.е. оно выполняет отождествляющую функцию (индивидуальную либо видовую), и в зависимости от контекста его фактическая референция может представляться как неопределенной, так и определенной. Эта функция связана в славянских языках с МО вроде рус. который или серб.-хор. koji, отчасти также с «абсолютными» МО (АМО), см. рус. который, укр. котрий, блр. каторы (в белорусском и украинском ту же функцию выполняет также МО якi/який), чеш. který, польск. który, словац. ktorý, в.-луж. kotryž, н.-луж. kotaryž, словен. kateri, серб.-хорв. koji, болг. който, макед. koj (што) (болг. който и макед. кojштo являются эквивалентами рус. кто и который). Если с МО кто связана только личная референция, а с МО вроде рус. что, польск. со — предметная в узком смысле слова, то МО вроде рус. который и т.п. связаны с предметной референцией в широком смысле слова, т.е. они выполняют отождествляюще-анафорическую функцию по отношению как к наименованиям лиц, так и предметов в самом широком смысле, в том числе абстрактных понятий: рус. Плох тот художник, который рисует людей, как на лубочных картинках; Дивизия, в которой он был комиссаром, воевала у Ярцева; серб.-хорв. То je rekao i pisar koji me je saslušao и т.п. В восточнославянских языках иногда МО вроде рус. кто встречается в позиции, закрепленной за МО который 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; см., например: рус. В очередном письме он сообщил даже «метеорологическому сержанту», кому единственному поверял теперь свои горечи, что...; укр. Де Аркадiй Соун, мiй товариш, по пiдкопу i карцерах, з ким разом я увiйшов у maбip смертi, не знаю и т.п.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 притяжательные, т.е. МО вроде рус. чей, болг. чийто и т.п., закреплены в славянских языках в первую очередь за относительными предложениями с универсальной референцией к лицу, т.е. они отсылают к неопределенному лицу вообще. Таковы, например, рус. Чей хлеб кушаю, того и слушаю; чеш. Čí chleba jíš, toho píseň zpívej, словен. Čigar prejo prela, tega kruh jela и т. п. Указанная разновидность сложного предложения известна всем славянским языкам; правда, например, болгарский избегает ее и предпочитает в данном случае ориентированную анафорическую связь вроде Ще пееш песента на този, чийто хляб ядеш и т. п.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фоне универсальной личной референции выделяются такие же сложные предложения с неуниверсальной личной референцией, например: Чья свеча заплывет дальше, та девушка будет счастливее всех. Неопределенная референция касается какого-либо элемента класса, названного существительным в главном предложении. Указанная разновидность относительного придаточного характерна для восточнославянских языков, другие же славянские языки ограничивают сферу употребления соответствующих МО универсальной личной референцией.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восточно- и южнославянских языках МО вроде рус. чей вводят атрибутивные относительные предложения, т.е. предложения, в которых посессивное местоимение представляет собой соответствие МО типа который. В отличие от западнославянских языков, в которых представлена лишь разновидность относительного придаточного, соотнесенного с анафорическим местоимением в главном, например: чеш. Zvítĕzí ten, či kůň dobĕhne první, польск. Szanuj tego, czyj chleb jesz и т. п. (МО посессивное входит здесь в парадигматический ряд с МО kdo и не выходит за пределы неопределенной референции), в восточно- и южнославянских языках представлены относительные придаточные предложения с посессивным МО, выполняющие атрибутивную функцию в собственном смысле слова. В таких предложениях МО типа чей, как и МО типа который, само по себе не указывающее на определенность референции, не исключает ее, что вытекает из определенности референта имени в главном предложении, тождество референции с которым МО выражает. В восточнославянских языках указанная функция ограничена атрибутивными МО, соотнесенными в главном предложении с названиями лиц, см., например: рус. Самыми счастливыми считались те девушки, чей венок попал в водоворот; блр. Хто ж такi Мартын Рыль, чый арышт узрушы</w:t>
      </w:r>
      <w:r>
        <w:rPr>
          <w:rStyle w:val="uni1"/>
          <w:rFonts w:ascii="Times New Roman" w:cs="Times New Roman"/>
          <w:color w:val="000000"/>
          <w:sz w:val="24"/>
          <w:szCs w:val="24"/>
        </w:rPr>
        <w:t>ў</w:t>
      </w:r>
      <w:r>
        <w:rPr>
          <w:color w:val="000000"/>
          <w:sz w:val="24"/>
          <w:szCs w:val="24"/>
        </w:rPr>
        <w:t xml:space="preserve"> новага войта? и т. п. Сюда же примыкает и словенский: možatost Carlina Palumba, čigar obraz je tako okropel, da bi... и т. п. В русском языке такое употребление считается книжным.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фоне общего ограничения употребления МО типа чей лишь контекстами с личной референцией, затрагивающего все северные славянские языки и словенский, иная картина наблюдается в южнославянских языках (за исключением словенского). Здесь МО посессивное вроде серб.-хорв. čiji отсылает не только к лицу, наделенному той же референцией, что и соотнесенное с МО имя существительное в главном, и, следовательно, выполняющему функцию посессора в узком либо широком смысле слова: оно отсылает вообще к субстанции, вступающей в посессивные отношения в широком смысле, т.е. в оформляемые при помощи посессивных местоимений отношения, независимо от того, идет ли речь о собственно посессивной связи или нет. См., например: серб.-хорв. Austrijski konzul, о čijem dolasku se odavno govorilo, još ne dolazi; odeven u kapu, čiji su se krajevi mogli spustiti na uši; Drvenim hodnikom, čije su daske odjekivale, žustri koraci se udaljiše; болг.: един факт, върху чийто фон се разгръща следващото действие и т.п.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Очевидно, что в восточнославянских (шире — вообще в северных славянских языках), а также в словенском МО притяжательное типа чей входит в парадигматическую связь с кто, в то время как в южнославянских языках (кроме словенского) то же МО входит в парадигматическую связь с МО вроде серб.-хорв. koji, koja, koje или же с посессивными местоимениями вроде серб.-хорв. njegou, njein, njihov, для которых личный/неличный характер референции не релевантен (см., например, серб.-хорв. politički odnosi se ne mogu odvajati od njihove ekonomske baze и т. п.). Таким образом, область посессивных отношений, выражаемая посессивными МО типа чей, в восточнославянских языках, а также в словенском (не говоря уже о западнославянских), с одной стороны, и в южнославянских (кроме словенского) — с другой, неодинакова, что непосредственно сказывается на сфере использования других МО, способных выражать посессивные отношения в широком смысле слова, т.е. закономерно вызывает их употребление.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славянских языках в целом ряде случаев в качестве средства, способного в контексте передавать посессивные отношения, представлен род. падеж «синтаксического существительного» независимо от его личной/предметной референции. Аналогичную функцию в рамках сложного предложения с придаточным относительным выполняет род. падеж МО типа рус. который, серб.-хорв. koji, референция которых тоже не ограничивается одними только лицами. В восточнославянских языках, а также в словенском употребление род. падежа МО указанного рода является единственным способом передачи посессивных в широком смысле слова отношений за пределами личной референции; в западнославянских указанное средство охватывает не только область предметной референции, а также область референции личной вследствие весьма ограниченного употребления МО типа чеш. či, польск. czyj и т.п. См., например: рус. Тут же он пересел на другой танк, командир которого был убит; Она сказала ему что-то про молодого поэта, стихи которого ей понравились; блр. На участку суседняга палка, траншэи якога iдуць па пагорку...; укр. величнiсть мети, досягнення яко</w:t>
      </w:r>
      <w:r>
        <w:rPr>
          <w:rStyle w:val="uni1"/>
          <w:rFonts w:ascii="Times New Roman" w:cs="Times New Roman"/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</w:rPr>
        <w:t xml:space="preserve"> вимагае жертв; польск. Zobazcyłem tarn też horyzont, którego istnienia nawet nie podejrzewatem; словац. Spoza skleného okienka sleduje Petra a Veroniku vrátnička, ktorej pohładu nič neujde; в.-луж. Heydrich, kotrehož mjeno tež pod zasudźenskim pismom Marje Grólmusec steji... и т.п.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Аналогично другим славянским языкам ведет себя также чешский; вместо основного атрибутивного МО který здесь употребляются формы притяжательного МО, соотнесенные с атрибутивным МО jenž, т.е. jehož, jejíž, jejichž  </w:t>
      </w:r>
      <w:r>
        <w:rPr>
          <w:color w:val="000000"/>
          <w:sz w:val="24"/>
          <w:szCs w:val="24"/>
          <w:vertAlign w:val="superscript"/>
        </w:rPr>
        <w:t>4</w:t>
      </w:r>
      <w:r>
        <w:rPr>
          <w:color w:val="000000"/>
          <w:sz w:val="24"/>
          <w:szCs w:val="24"/>
        </w:rPr>
        <w:t>: Ноrа, jejíž vrcholek vidíme v dáice; To je můj známý, jehož syn se nedávno přiženil do vsi и т.п. Чеш. jehož, jejíž, jejichž представляет собой в основном средство языка литературного в узком смысле слова.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Родительный посессивный МО вроде серб.-хорв. koji известен также на славянском юге, несмотря на то что посессивные МО вроде серб.-хорв. čiji (за исключением словенского) выходят далеко за пределы посессивных отношений с личной референцией. Указанная форма характерна не только для словенского, ограничивающего область употребления МО čigar личной референцией; она отмечается также в грамматиках сербскохорватского  </w:t>
      </w:r>
      <w:r>
        <w:rPr>
          <w:color w:val="000000"/>
          <w:sz w:val="24"/>
          <w:szCs w:val="24"/>
          <w:vertAlign w:val="superscript"/>
        </w:rPr>
        <w:t>5</w:t>
      </w:r>
      <w:r>
        <w:rPr>
          <w:color w:val="000000"/>
          <w:sz w:val="24"/>
          <w:szCs w:val="24"/>
        </w:rPr>
        <w:t xml:space="preserve"> и болгарского языков — в болгарском в виде предложного сочетания  </w:t>
      </w:r>
      <w:r>
        <w:rPr>
          <w:color w:val="000000"/>
          <w:sz w:val="24"/>
          <w:szCs w:val="24"/>
          <w:vertAlign w:val="superscript"/>
        </w:rPr>
        <w:t>6</w:t>
      </w:r>
      <w:r>
        <w:rPr>
          <w:color w:val="000000"/>
          <w:sz w:val="24"/>
          <w:szCs w:val="24"/>
        </w:rPr>
        <w:t xml:space="preserve">. См., например: словен. </w:t>
      </w:r>
      <w:r>
        <w:rPr>
          <w:color w:val="000000"/>
          <w:sz w:val="24"/>
          <w:szCs w:val="24"/>
          <w:lang w:val="en-US"/>
        </w:rPr>
        <w:t xml:space="preserve">Visoka vrata, katerih krila so bila razprta, </w:t>
      </w:r>
      <w:r>
        <w:rPr>
          <w:color w:val="000000"/>
          <w:sz w:val="24"/>
          <w:szCs w:val="24"/>
        </w:rPr>
        <w:t>серб</w:t>
      </w:r>
      <w:r>
        <w:rPr>
          <w:color w:val="000000"/>
          <w:sz w:val="24"/>
          <w:szCs w:val="24"/>
          <w:lang w:val="en-US"/>
        </w:rPr>
        <w:t>.-</w:t>
      </w:r>
      <w:r>
        <w:rPr>
          <w:color w:val="000000"/>
          <w:sz w:val="24"/>
          <w:szCs w:val="24"/>
        </w:rPr>
        <w:t>хорв</w:t>
      </w:r>
      <w:r>
        <w:rPr>
          <w:color w:val="000000"/>
          <w:sz w:val="24"/>
          <w:szCs w:val="24"/>
          <w:lang w:val="en-US"/>
        </w:rPr>
        <w:t xml:space="preserve">. Khjaz če se morati osloniti na ljude kojih namere nikako nisu izvesne (M. </w:t>
      </w:r>
      <w:r>
        <w:rPr>
          <w:color w:val="000000"/>
          <w:sz w:val="24"/>
          <w:szCs w:val="24"/>
        </w:rPr>
        <w:t>Стеванович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характеризует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такого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рода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посессивные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конструкции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некотором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смысле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архаические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Дмитриев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считает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редкими</w:t>
      </w:r>
      <w:r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  <w:vertAlign w:val="superscript"/>
          <w:lang w:val="en-US"/>
        </w:rPr>
        <w:t>7</w:t>
      </w:r>
      <w:r>
        <w:rPr>
          <w:color w:val="000000"/>
          <w:sz w:val="24"/>
          <w:szCs w:val="24"/>
          <w:lang w:val="en-US"/>
        </w:rPr>
        <w:t>).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посессивного род. падежа МО типа рус. который, серб.-хорв. koji не является дифференциальным признаком, на основании которого можно группировать славянские языки (если оставить в стороне частотность такого употребления и положение в чешском, где форма жен. рода jejíž ведет себя как прилагательное). Дистинктивную функцию в рамках славянского языкового мира выполняет позиция родительного, конкретно — его препозиция или постпозиция по отношению к определяемому имени в пределах относительного придаточного. На этом основании выделяется группа восточнославянских языков с характерной для них постпозицией род. падежа МО, например: рус. Та сопка, на вершине которой он был утром, оказывается, имеет в себе медь; блр. На яго вачах адбывалася развязка вяликага змагання, сэнс якога ён не мог ахапiць; укр. вузька скеляста розколина, отвiр яко</w:t>
      </w:r>
      <w:r>
        <w:rPr>
          <w:rStyle w:val="uni1"/>
          <w:rFonts w:ascii="Times New Roman" w:cs="Times New Roman"/>
          <w:color w:val="000000"/>
          <w:sz w:val="24"/>
          <w:szCs w:val="24"/>
        </w:rPr>
        <w:t>ї</w:t>
      </w:r>
      <w:r>
        <w:rPr>
          <w:color w:val="000000"/>
          <w:sz w:val="24"/>
          <w:szCs w:val="24"/>
        </w:rPr>
        <w:t xml:space="preserve"> я не вгледiв... и т.п. К восточнославянским языкам в некотором смысле примыкают южнославянские (за исключением словенского), например серб.-хорв.: Upoznali smo čovjeka u srcu kojega gori ljubav prema narodu  </w:t>
      </w:r>
      <w:r>
        <w:rPr>
          <w:color w:val="000000"/>
          <w:sz w:val="24"/>
          <w:szCs w:val="24"/>
          <w:vertAlign w:val="superscript"/>
        </w:rPr>
        <w:t>8</w:t>
      </w:r>
      <w:r>
        <w:rPr>
          <w:color w:val="000000"/>
          <w:sz w:val="24"/>
          <w:szCs w:val="24"/>
        </w:rPr>
        <w:t xml:space="preserve">. Сказанное отчасти относится также к словацкому: Nemyslela som takého boha, predstava akého </w:t>
      </w:r>
      <w:r>
        <w:rPr>
          <w:rStyle w:val="uni1"/>
          <w:rFonts w:ascii="Times New Roman" w:cs="Times New Roman"/>
          <w:color w:val="000000"/>
          <w:sz w:val="24"/>
          <w:szCs w:val="24"/>
        </w:rPr>
        <w:t></w:t>
      </w:r>
      <w:r>
        <w:rPr>
          <w:color w:val="000000"/>
          <w:sz w:val="24"/>
          <w:szCs w:val="24"/>
        </w:rPr>
        <w:t>a rozosmiala и т.п.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Западнославянские языки отличает препозиция род. падежа МО. Единственно возможной является препозиция чеш. jehož, jejíž, jejichž  </w:t>
      </w:r>
      <w:r>
        <w:rPr>
          <w:color w:val="000000"/>
          <w:sz w:val="24"/>
          <w:szCs w:val="24"/>
          <w:vertAlign w:val="superscript"/>
        </w:rPr>
        <w:t>9</w:t>
      </w:r>
      <w:r>
        <w:rPr>
          <w:color w:val="000000"/>
          <w:sz w:val="24"/>
          <w:szCs w:val="24"/>
        </w:rPr>
        <w:t xml:space="preserve"> она характерна для верхнелужицкого (kotrehož N) и польского (którego N), а также имеет место в словацком (ktorého N). Препозиция характерна и для словенского (katerega N) и не исключена в сербскохорватском (kojega N). Следовательно, словацкий и сербскохорватский представляют собой с этой точки зрения переходное состояние. См., например: польск. Zamknąłem się w pokoju, którego ściany były wyłożone korkiem; Zobaczyłem tam też horyzont, którego istnienia nie podejrzewałem; словац. žena, ktorej práca je príkladna; словен. vplivni ljudi, katerih otroci so se zbirali p</w:t>
      </w:r>
      <w:r>
        <w:rPr>
          <w:rStyle w:val="uni1"/>
          <w:rFonts w:ascii="Times New Roman" w:cs="Times New Roman"/>
          <w:color w:val="000000"/>
          <w:sz w:val="24"/>
          <w:szCs w:val="24"/>
        </w:rPr>
        <w:t>́</w:t>
      </w:r>
      <w:r>
        <w:rPr>
          <w:color w:val="000000"/>
          <w:sz w:val="24"/>
          <w:szCs w:val="24"/>
        </w:rPr>
        <w:t xml:space="preserve">ri Adi; серб.-хорв. osloniti se na ljude kojih namere nisu izvesne и т.п.  </w:t>
      </w:r>
      <w:r>
        <w:rPr>
          <w:color w:val="000000"/>
          <w:sz w:val="24"/>
          <w:szCs w:val="24"/>
          <w:vertAlign w:val="superscript"/>
        </w:rPr>
        <w:t>10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Оказывается, таким образом, что часть славянских языков препозицией МО акцентирует его синтаксическую функцию связующего средства, равно как и средства, сигнализирующего о референциальном тождестве МО и N в рамках главного предложения, в то время как другие славянские языки — в случае постпозиции МО — акцентируют, скорее, внутреннюю функцию МО в рамках самого относительного придаточного, выдвигая как будто бы на первый план посессивную в широком смысле слова функцию род. падежа и лишь на втором плане — в форме МО типа рус. который — отмечая его функцию анафорического связующего средства.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 отметить, что часть славянских языков распространила на область МО с посессивным значением АМО, т.е. неизменяемое по форме МО, отношение между референтом которого и предикатом выражается формами личных местоимений. В случав выполнения таким МО посессивной функции о ней сигнализируется формой посессивного местоимения 3-го лица. Особенно примечательно с этой точки зрения положение в словенском: da bi v imenu IOOF stopila v stik naša delegacija, ki njeni člani za zdaj ne bi pripadali izvršnemu odboru; Mrtev je tudi župnik Janez Rastresen, ki je njegova smrt še bolj hesmiselna и т.п. Такие же примеры можно привести из сербскохорватского, где наряду с посессивным местоимением можно употребить так называемый дательный посессивный: Soda sasvim jasno vidimo kulu što smo joj iz daljine nazirali same obrise  </w:t>
      </w:r>
      <w:r>
        <w:rPr>
          <w:color w:val="000000"/>
          <w:sz w:val="24"/>
          <w:szCs w:val="24"/>
          <w:vertAlign w:val="superscript"/>
        </w:rPr>
        <w:t>11</w:t>
      </w:r>
      <w:r>
        <w:rPr>
          <w:color w:val="000000"/>
          <w:sz w:val="24"/>
          <w:szCs w:val="24"/>
        </w:rPr>
        <w:t xml:space="preserve">. Как в словенском, так и в сербскохорватском указанное употребление является в стилистическом отношении беспризнаковым, чего нельзя сказать, например, о тех же конструкциях в чешском, несмотря на то что посессивные МО вроде jehož представляют собой средство книжное, т.е. в устной речи они не употребляются, по крайней мере в разговорном языке. АМО в сочетании с посессивным местоимением лимитировано областью придаточных относительных предложений, выполняющих ограничительную функцию, причем в силу своей стилистической специфики такие конструкции не выходят за рамки разговорного языка: То je ten pán, со jeho pes pokousal nedávno Vaška и т.п. Лишь в качестве субстандартного средства можно было бы употребить конструкции с АМО и посессивным местоимением также в других славянских языках, которые относительно широко употребляют — по крайней мере в разговорном языке — АМО в сочетании с формами личного местоимения 3-го лица. </w:t>
      </w:r>
    </w:p>
    <w:p w:rsidR="00FF4A67" w:rsidRDefault="00FF4A6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Topolińska Z. Соодносот помегу прашалните и релативните заменки во македонскиот литературен jaзик // Прилози МАНУ, II/1. Ckonje, 1971.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См.: Русская грамматика. М.: Наука, 1980. Т. 2. С. 513.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Там же. С. 525.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Указанные формы восходят к род. падежу МО, и, за исключением формы жен. рода. jejíž, они так и ведут себя, т.е. остаются неизменными, в то время как форма jejíž (род. п. жен. р. МО jež регулярно имеет форму jíž/níž) вторично оформилась как склоняемая разновидность прилагательного с мягкой основой типа jarní аналогично посессивному местоимению 3-го лица (jeho, její, jejich; její склоняется — jejího, jejímu...).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 См.: Стеванови</w:t>
      </w:r>
      <w:r>
        <w:rPr>
          <w:rStyle w:val="uni1"/>
          <w:rFonts w:ascii="Times New Roman" w:cs="Times New Roman"/>
          <w:color w:val="000000"/>
          <w:sz w:val="24"/>
          <w:szCs w:val="24"/>
        </w:rPr>
        <w:t>ћ</w:t>
      </w:r>
      <w:r>
        <w:rPr>
          <w:color w:val="000000"/>
          <w:sz w:val="24"/>
          <w:szCs w:val="24"/>
        </w:rPr>
        <w:t xml:space="preserve"> M. Савремени српскохрватски jeзик. 2: Синтакса. Београд, 1969. С. 818 и след.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 «Грамматика на съвременния български книжовен език» (3: Синтаксис. София, 1983. С. 311) приводит на който в качестве синонима чийто, отмечая, что отдельные современные писатели совсем избегают употребления МО чийто, «макар че тези изречения са по-компактни от изреченията с на който»; примеры посессивного на който не приведены.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 Дмитриев П. А. Особенности построения сложного предложения с определительным придаточным в сербохорватском языке // Учен. зап. ЛГУ. 1958. # 250. С. 107.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 Указанная разновидность посессивной конструкции, отражающая положение в хорватском, приведена на втором месте, вслед за čiji, без комментариев в кн.: Baric</w:t>
      </w:r>
      <w:r>
        <w:rPr>
          <w:rStyle w:val="uni1"/>
          <w:rFonts w:ascii="Times New Roman" w:cs="Times New Roman"/>
          <w:color w:val="000000"/>
          <w:sz w:val="24"/>
          <w:szCs w:val="24"/>
        </w:rPr>
        <w:t>́</w:t>
      </w:r>
      <w:r>
        <w:rPr>
          <w:color w:val="000000"/>
          <w:sz w:val="24"/>
          <w:szCs w:val="24"/>
        </w:rPr>
        <w:t xml:space="preserve"> Е. et al. </w:t>
      </w:r>
      <w:r>
        <w:rPr>
          <w:color w:val="000000"/>
          <w:sz w:val="24"/>
          <w:szCs w:val="24"/>
          <w:lang w:val="en-US"/>
        </w:rPr>
        <w:t xml:space="preserve">Priručna gramatika hrvatskoga književnoga jezilca. </w:t>
      </w:r>
      <w:r>
        <w:rPr>
          <w:color w:val="000000"/>
          <w:sz w:val="24"/>
          <w:szCs w:val="24"/>
        </w:rPr>
        <w:t>Zagreb, 1979. С. 398.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 Следствием этого является развитие формы жен. рода jejíž в направлении к склоняемой разновидности прилагательных типа jarní.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 Постпозицию МО в сербскохорватском П.А. Дмитриев считает по сравнению с препозицией более поздним явлением (см.: Дмитриев П.А. Указ. соч. С. 107). Нельзя, однако, относить к постпозиции посессивного МО употребление МО koji в сочетании с номинативной группой, выполняющей на самом деле функцию предложного средства: načela na osnovu kojih treba... (см. там же). Аналогичное явление наблюдается в польском: Ale kolega Glus</w:t>
      </w:r>
      <w:r>
        <w:rPr>
          <w:rStyle w:val="uni1"/>
          <w:rFonts w:ascii="Times New Roman" w:cs="Times New Roman"/>
          <w:color w:val="000000"/>
          <w:sz w:val="24"/>
          <w:szCs w:val="24"/>
        </w:rPr>
        <w:t>́</w:t>
      </w:r>
      <w:r>
        <w:rPr>
          <w:color w:val="000000"/>
          <w:sz w:val="24"/>
          <w:szCs w:val="24"/>
        </w:rPr>
        <w:t xml:space="preserve"> urządził pokaz pokazowy, w wyniku którego cały nasz dom stanął pod zarsutem... </w:t>
      </w:r>
    </w:p>
    <w:p w:rsidR="00FF4A67" w:rsidRDefault="00FF4A6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11 Baric</w:t>
      </w:r>
      <w:r>
        <w:rPr>
          <w:rStyle w:val="uni1"/>
          <w:rFonts w:ascii="Times New Roman" w:cs="Times New Roman"/>
          <w:color w:val="000000"/>
          <w:sz w:val="24"/>
          <w:szCs w:val="24"/>
          <w:lang w:val="en-US"/>
        </w:rPr>
        <w:t>́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  <w:lang w:val="en-US"/>
        </w:rPr>
        <w:t>. et al. Op. cit. C. 397.</w:t>
      </w:r>
      <w:bookmarkStart w:id="0" w:name="_GoBack"/>
      <w:bookmarkEnd w:id="0"/>
    </w:p>
    <w:sectPr w:rsidR="00FF4A6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29E"/>
    <w:multiLevelType w:val="singleLevel"/>
    <w:tmpl w:val="E684D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316AC8"/>
    <w:multiLevelType w:val="singleLevel"/>
    <w:tmpl w:val="E684D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B05AB0"/>
    <w:multiLevelType w:val="hybridMultilevel"/>
    <w:tmpl w:val="9EF0FD6A"/>
    <w:lvl w:ilvl="0" w:tplc="9A403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38EAA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9876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8440A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11003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E2C2C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47ED6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BEDD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362AC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B8A655C"/>
    <w:multiLevelType w:val="singleLevel"/>
    <w:tmpl w:val="E5E068B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2A2DBA"/>
    <w:multiLevelType w:val="hybridMultilevel"/>
    <w:tmpl w:val="DB7003EC"/>
    <w:lvl w:ilvl="0" w:tplc="F424C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9C2C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1825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F80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743A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04A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3EDE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907B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260D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722C1"/>
    <w:multiLevelType w:val="singleLevel"/>
    <w:tmpl w:val="6E960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C6340A0"/>
    <w:multiLevelType w:val="singleLevel"/>
    <w:tmpl w:val="E684D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F7501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550395F"/>
    <w:multiLevelType w:val="hybridMultilevel"/>
    <w:tmpl w:val="70D05080"/>
    <w:lvl w:ilvl="0" w:tplc="B7F23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812C6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DD274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CFCA1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10AB0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9763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77E50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6D867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2CE24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6B656A5"/>
    <w:multiLevelType w:val="hybridMultilevel"/>
    <w:tmpl w:val="9D36B84E"/>
    <w:lvl w:ilvl="0" w:tplc="01CC5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17072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95621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2AAEB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E76D8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89039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38EA8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85025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2FC38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7D24DBD"/>
    <w:multiLevelType w:val="hybridMultilevel"/>
    <w:tmpl w:val="242C01C2"/>
    <w:lvl w:ilvl="0" w:tplc="B4CA4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07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CE0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630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5606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3224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4A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90B1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AEDB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84696E"/>
    <w:multiLevelType w:val="singleLevel"/>
    <w:tmpl w:val="1DA4637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>
    <w:nsid w:val="2F3421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DE668D"/>
    <w:multiLevelType w:val="hybridMultilevel"/>
    <w:tmpl w:val="F546139A"/>
    <w:lvl w:ilvl="0" w:tplc="7818B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94EC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A69D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218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8853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0003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7CF9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608F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347A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9E44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A516445"/>
    <w:multiLevelType w:val="hybridMultilevel"/>
    <w:tmpl w:val="0C5CA742"/>
    <w:lvl w:ilvl="0" w:tplc="3EBE6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2281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AE85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FC30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9C28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3819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46AF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EA87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2C6F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AE3F28"/>
    <w:multiLevelType w:val="singleLevel"/>
    <w:tmpl w:val="E684D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EA27DC2"/>
    <w:multiLevelType w:val="hybridMultilevel"/>
    <w:tmpl w:val="8F62055C"/>
    <w:lvl w:ilvl="0" w:tplc="F5741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6045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C2EB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E62E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0447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70F8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043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8E41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CABA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1510B0"/>
    <w:multiLevelType w:val="singleLevel"/>
    <w:tmpl w:val="E684D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25B686B"/>
    <w:multiLevelType w:val="singleLevel"/>
    <w:tmpl w:val="E5E068B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0">
    <w:nsid w:val="439439F3"/>
    <w:multiLevelType w:val="hybridMultilevel"/>
    <w:tmpl w:val="D53E3A56"/>
    <w:lvl w:ilvl="0" w:tplc="6F660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C6B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2290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A02F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E4DD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BE20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8CE9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25A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7AF7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BB1F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874427B"/>
    <w:multiLevelType w:val="hybridMultilevel"/>
    <w:tmpl w:val="53487578"/>
    <w:lvl w:ilvl="0" w:tplc="DC7E58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48B00FA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0C569F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E4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40EC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DDE80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B0EE4A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ADC57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12E9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03662BF"/>
    <w:multiLevelType w:val="singleLevel"/>
    <w:tmpl w:val="E684D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D8326E"/>
    <w:multiLevelType w:val="hybridMultilevel"/>
    <w:tmpl w:val="CC8233FE"/>
    <w:lvl w:ilvl="0" w:tplc="1D140C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00CC6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E36CE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6F07A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B5A9D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880BB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388AA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0EA20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10AAC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11D1E00"/>
    <w:multiLevelType w:val="hybridMultilevel"/>
    <w:tmpl w:val="55307A0C"/>
    <w:lvl w:ilvl="0" w:tplc="ADC00C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AA18D9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B1488F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6989C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39C36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654ED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D462F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794B0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39EA9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697062"/>
    <w:multiLevelType w:val="singleLevel"/>
    <w:tmpl w:val="E684D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358280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8">
    <w:nsid w:val="543E17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6AA0B9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0">
    <w:nsid w:val="584C2F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8F575E4"/>
    <w:multiLevelType w:val="hybridMultilevel"/>
    <w:tmpl w:val="D6680554"/>
    <w:lvl w:ilvl="0" w:tplc="AB741E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1079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21CCD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7B451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048D8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1D25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9E6A6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3A6586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DF458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5A455F40"/>
    <w:multiLevelType w:val="hybridMultilevel"/>
    <w:tmpl w:val="D44AA6C4"/>
    <w:lvl w:ilvl="0" w:tplc="335A9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AC03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B82C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BE88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CE63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3C07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7CE1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D47D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9CCC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C514F45"/>
    <w:multiLevelType w:val="singleLevel"/>
    <w:tmpl w:val="E684D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EF231F1"/>
    <w:multiLevelType w:val="hybridMultilevel"/>
    <w:tmpl w:val="3424C894"/>
    <w:lvl w:ilvl="0" w:tplc="6B785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D4FE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CE02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340A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807B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6E78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5681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140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F44A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7146C6"/>
    <w:multiLevelType w:val="hybridMultilevel"/>
    <w:tmpl w:val="D1403578"/>
    <w:lvl w:ilvl="0" w:tplc="8C54FB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E4CAE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852DD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40A37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CCEEF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BA835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8C053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9A30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9FEA3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5372DB2"/>
    <w:multiLevelType w:val="singleLevel"/>
    <w:tmpl w:val="E684D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A2262AB"/>
    <w:multiLevelType w:val="hybridMultilevel"/>
    <w:tmpl w:val="FD82198A"/>
    <w:lvl w:ilvl="0" w:tplc="3EBC4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1035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4C8A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4CE7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4A3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76A2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561A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98F1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9226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DB2805"/>
    <w:multiLevelType w:val="hybridMultilevel"/>
    <w:tmpl w:val="F2D8EC56"/>
    <w:lvl w:ilvl="0" w:tplc="34FAD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E81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221D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CEDB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4211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2ADD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DEC6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7ABB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1076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8574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1E12698"/>
    <w:multiLevelType w:val="hybridMultilevel"/>
    <w:tmpl w:val="A8740822"/>
    <w:lvl w:ilvl="0" w:tplc="6F22E8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A57C02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15C21B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F7459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7DAEF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43281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99EC9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CA65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94623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2C95A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2E873D2"/>
    <w:multiLevelType w:val="hybridMultilevel"/>
    <w:tmpl w:val="043CC84E"/>
    <w:lvl w:ilvl="0" w:tplc="CDA243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42A8B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8C21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A407E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F02BF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368BD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37844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AAEF6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EDE2D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55806F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9410842"/>
    <w:multiLevelType w:val="hybridMultilevel"/>
    <w:tmpl w:val="D3BC80BC"/>
    <w:lvl w:ilvl="0" w:tplc="12B40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7C5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475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D0A7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0AE4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1634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E807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083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4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E849DD"/>
    <w:multiLevelType w:val="hybridMultilevel"/>
    <w:tmpl w:val="D4F8DDAA"/>
    <w:lvl w:ilvl="0" w:tplc="79D667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09A8C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2F6E8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FA15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35E69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8A81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B34EC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AC85C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0285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8"/>
  </w:num>
  <w:num w:numId="2">
    <w:abstractNumId w:val="4"/>
  </w:num>
  <w:num w:numId="3">
    <w:abstractNumId w:val="34"/>
  </w:num>
  <w:num w:numId="4">
    <w:abstractNumId w:val="24"/>
  </w:num>
  <w:num w:numId="5">
    <w:abstractNumId w:val="8"/>
  </w:num>
  <w:num w:numId="6">
    <w:abstractNumId w:val="45"/>
  </w:num>
  <w:num w:numId="7">
    <w:abstractNumId w:val="42"/>
  </w:num>
  <w:num w:numId="8">
    <w:abstractNumId w:val="9"/>
  </w:num>
  <w:num w:numId="9">
    <w:abstractNumId w:val="15"/>
  </w:num>
  <w:num w:numId="10">
    <w:abstractNumId w:val="17"/>
  </w:num>
  <w:num w:numId="11">
    <w:abstractNumId w:val="3"/>
  </w:num>
  <w:num w:numId="12">
    <w:abstractNumId w:val="19"/>
  </w:num>
  <w:num w:numId="13">
    <w:abstractNumId w:val="5"/>
  </w:num>
  <w:num w:numId="14">
    <w:abstractNumId w:val="11"/>
  </w:num>
  <w:num w:numId="15">
    <w:abstractNumId w:val="16"/>
  </w:num>
  <w:num w:numId="16">
    <w:abstractNumId w:val="39"/>
  </w:num>
  <w:num w:numId="17">
    <w:abstractNumId w:val="27"/>
  </w:num>
  <w:num w:numId="18">
    <w:abstractNumId w:val="7"/>
  </w:num>
  <w:num w:numId="19">
    <w:abstractNumId w:val="14"/>
  </w:num>
  <w:num w:numId="20">
    <w:abstractNumId w:val="41"/>
  </w:num>
  <w:num w:numId="21">
    <w:abstractNumId w:val="28"/>
  </w:num>
  <w:num w:numId="22">
    <w:abstractNumId w:val="21"/>
  </w:num>
  <w:num w:numId="23">
    <w:abstractNumId w:val="1"/>
  </w:num>
  <w:num w:numId="24">
    <w:abstractNumId w:val="23"/>
  </w:num>
  <w:num w:numId="25">
    <w:abstractNumId w:val="0"/>
  </w:num>
  <w:num w:numId="26">
    <w:abstractNumId w:val="29"/>
  </w:num>
  <w:num w:numId="27">
    <w:abstractNumId w:val="30"/>
  </w:num>
  <w:num w:numId="28">
    <w:abstractNumId w:val="12"/>
  </w:num>
  <w:num w:numId="29">
    <w:abstractNumId w:val="36"/>
  </w:num>
  <w:num w:numId="30">
    <w:abstractNumId w:val="33"/>
  </w:num>
  <w:num w:numId="31">
    <w:abstractNumId w:val="18"/>
  </w:num>
  <w:num w:numId="32">
    <w:abstractNumId w:val="26"/>
  </w:num>
  <w:num w:numId="33">
    <w:abstractNumId w:val="6"/>
  </w:num>
  <w:num w:numId="34">
    <w:abstractNumId w:val="43"/>
  </w:num>
  <w:num w:numId="35">
    <w:abstractNumId w:val="2"/>
  </w:num>
  <w:num w:numId="36">
    <w:abstractNumId w:val="10"/>
  </w:num>
  <w:num w:numId="37">
    <w:abstractNumId w:val="32"/>
  </w:num>
  <w:num w:numId="38">
    <w:abstractNumId w:val="35"/>
  </w:num>
  <w:num w:numId="39">
    <w:abstractNumId w:val="31"/>
  </w:num>
  <w:num w:numId="40">
    <w:abstractNumId w:val="37"/>
  </w:num>
  <w:num w:numId="41">
    <w:abstractNumId w:val="20"/>
  </w:num>
  <w:num w:numId="42">
    <w:abstractNumId w:val="25"/>
  </w:num>
  <w:num w:numId="43">
    <w:abstractNumId w:val="22"/>
  </w:num>
  <w:num w:numId="44">
    <w:abstractNumId w:val="40"/>
  </w:num>
  <w:num w:numId="45">
    <w:abstractNumId w:val="44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0915"/>
    <w:rsid w:val="00015A91"/>
    <w:rsid w:val="00B90915"/>
    <w:rsid w:val="00F555A1"/>
    <w:rsid w:val="00F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1873BB-B1BA-48A6-8E7B-3A670023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 w:unhideWhenUsed="1"/>
    <w:lsdException w:name="HTML Cite" w:semiHidden="1"/>
    <w:lsdException w:name="HTML Code" w:semiHidden="1" w:unhideWhenUsed="1"/>
    <w:lsdException w:name="HTML Definition" w:semiHidden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HTML">
    <w:name w:val="HTML Definition"/>
    <w:uiPriority w:val="99"/>
    <w:rPr>
      <w:rFonts w:ascii="Courier New" w:hAnsi="Courier New" w:cs="Courier New"/>
      <w:i/>
      <w:iCs/>
      <w:spacing w:val="39"/>
    </w:rPr>
  </w:style>
  <w:style w:type="paragraph" w:customStyle="1" w:styleId="ind">
    <w:name w:val="ind"/>
    <w:basedOn w:val="a"/>
    <w:uiPriority w:val="99"/>
    <w:pPr>
      <w:spacing w:before="100" w:beforeAutospacing="1" w:after="100" w:afterAutospacing="1"/>
      <w:ind w:firstLine="979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"/>
    <w:uiPriority w:val="99"/>
    <w:pPr>
      <w:spacing w:before="100" w:beforeAutospacing="1" w:after="100" w:afterAutospacing="1"/>
    </w:pPr>
    <w:rPr>
      <w:rFonts w:ascii="MS Mincho" w:eastAsia="MS Mincho" w:cs="MS Mincho"/>
      <w:sz w:val="24"/>
      <w:szCs w:val="24"/>
    </w:rPr>
  </w:style>
  <w:style w:type="paragraph" w:customStyle="1" w:styleId="linki">
    <w:name w:val="linki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copy">
    <w:name w:val="copy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epy">
    <w:name w:val="epy"/>
    <w:basedOn w:val="a"/>
    <w:uiPriority w:val="99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proun">
    <w:name w:val="proun"/>
    <w:basedOn w:val="a"/>
    <w:uiPriority w:val="9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snoski">
    <w:name w:val="snoski"/>
    <w:basedOn w:val="a"/>
    <w:uiPriority w:val="99"/>
    <w:pPr>
      <w:spacing w:before="100" w:beforeAutospacing="1" w:after="100" w:afterAutospacing="1"/>
    </w:pPr>
    <w:rPr>
      <w:rFonts w:ascii="Courier" w:hAnsi="Courier" w:cs="Courier"/>
    </w:rPr>
  </w:style>
  <w:style w:type="paragraph" w:customStyle="1" w:styleId="urlm">
    <w:name w:val="urlm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customStyle="1" w:styleId="urlnaforum">
    <w:name w:val="urlnaforum"/>
    <w:basedOn w:val="a"/>
    <w:uiPriority w:val="99"/>
    <w:pPr>
      <w:shd w:val="clear" w:color="auto" w:fill="000000"/>
      <w:spacing w:before="100" w:beforeAutospacing="1" w:after="100" w:afterAutospacing="1"/>
    </w:pPr>
    <w:rPr>
      <w:sz w:val="24"/>
      <w:szCs w:val="24"/>
    </w:rPr>
  </w:style>
  <w:style w:type="paragraph" w:customStyle="1" w:styleId="abzac">
    <w:name w:val="abzac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customStyle="1" w:styleId="texttitle1">
    <w:name w:val="texttitle1"/>
    <w:uiPriority w:val="99"/>
    <w:rPr>
      <w:rFonts w:ascii="Arial" w:hAnsi="Arial" w:cs="Arial"/>
      <w:caps/>
      <w:sz w:val="18"/>
      <w:szCs w:val="18"/>
    </w:rPr>
  </w:style>
  <w:style w:type="paragraph" w:customStyle="1" w:styleId="menu">
    <w:name w:val="menu"/>
    <w:basedOn w:val="a"/>
    <w:uiPriority w:val="99"/>
    <w:pPr>
      <w:spacing w:before="100" w:beforeAutospacing="1" w:after="100" w:afterAutospacing="1"/>
    </w:pPr>
    <w:rPr>
      <w:rFonts w:ascii="Verdana" w:hAnsi="Verdana" w:cs="Verdana"/>
      <w:b/>
      <w:bCs/>
      <w:sz w:val="13"/>
      <w:szCs w:val="13"/>
    </w:rPr>
  </w:style>
  <w:style w:type="paragraph" w:customStyle="1" w:styleId="texttitle">
    <w:name w:val="texttitle"/>
    <w:basedOn w:val="a"/>
    <w:uiPriority w:val="99"/>
    <w:pPr>
      <w:spacing w:before="100" w:beforeAutospacing="1" w:after="100" w:afterAutospacing="1"/>
    </w:pPr>
    <w:rPr>
      <w:rFonts w:ascii="Arial" w:hAnsi="Arial" w:cs="Arial"/>
      <w:caps/>
      <w:sz w:val="18"/>
      <w:szCs w:val="18"/>
    </w:rPr>
  </w:style>
  <w:style w:type="paragraph" w:customStyle="1" w:styleId="oneexistsay">
    <w:name w:val="oneexistsay"/>
    <w:basedOn w:val="a"/>
    <w:uiPriority w:val="99"/>
    <w:pPr>
      <w:spacing w:before="100" w:beforeAutospacing="1" w:after="100" w:afterAutospacing="1"/>
    </w:pPr>
    <w:rPr>
      <w:sz w:val="12"/>
      <w:szCs w:val="12"/>
    </w:rPr>
  </w:style>
  <w:style w:type="paragraph" w:customStyle="1" w:styleId="headmenu">
    <w:name w:val="headmenu"/>
    <w:basedOn w:val="a"/>
    <w:uiPriority w:val="99"/>
    <w:pPr>
      <w:spacing w:before="100" w:beforeAutospacing="1" w:after="100" w:afterAutospacing="1"/>
    </w:pPr>
    <w:rPr>
      <w:rFonts w:ascii="Verdana" w:hAnsi="Verdana" w:cs="Verdana"/>
      <w:caps/>
      <w:sz w:val="15"/>
      <w:szCs w:val="15"/>
    </w:rPr>
  </w:style>
  <w:style w:type="paragraph" w:customStyle="1" w:styleId="text">
    <w:name w:val="text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24"/>
      <w:szCs w:val="24"/>
    </w:rPr>
  </w:style>
  <w:style w:type="paragraph" w:styleId="a5">
    <w:name w:val="Title"/>
    <w:basedOn w:val="a"/>
    <w:link w:val="a6"/>
    <w:uiPriority w:val="99"/>
    <w:qFormat/>
    <w:pPr>
      <w:autoSpaceDE w:val="0"/>
      <w:autoSpaceDN w:val="0"/>
      <w:jc w:val="center"/>
    </w:pPr>
    <w:rPr>
      <w:b/>
      <w:bCs/>
      <w:color w:val="000000"/>
      <w:sz w:val="24"/>
      <w:szCs w:val="24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uiPriority w:val="99"/>
    <w:qFormat/>
    <w:pPr>
      <w:autoSpaceDE w:val="0"/>
      <w:autoSpaceDN w:val="0"/>
      <w:spacing w:line="360" w:lineRule="auto"/>
      <w:jc w:val="center"/>
    </w:pPr>
    <w:rPr>
      <w:b/>
      <w:bCs/>
      <w:color w:val="000000"/>
      <w:sz w:val="24"/>
      <w:szCs w:val="24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a9">
    <w:name w:val="Body Text"/>
    <w:basedOn w:val="a"/>
    <w:link w:val="aa"/>
    <w:uiPriority w:val="99"/>
    <w:pPr>
      <w:autoSpaceDE w:val="0"/>
      <w:autoSpaceDN w:val="0"/>
      <w:spacing w:line="360" w:lineRule="auto"/>
      <w:jc w:val="both"/>
    </w:pPr>
    <w:rPr>
      <w:color w:val="000000"/>
      <w:sz w:val="24"/>
      <w:szCs w:val="24"/>
    </w:rPr>
  </w:style>
  <w:style w:type="character" w:customStyle="1" w:styleId="aa">
    <w:name w:val="Основной текст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autoSpaceDE w:val="0"/>
      <w:autoSpaceDN w:val="0"/>
      <w:spacing w:line="360" w:lineRule="auto"/>
      <w:jc w:val="both"/>
    </w:pPr>
    <w:rPr>
      <w:rFonts w:ascii="MS Sans Serif" w:hAnsi="MS Sans Serif" w:cs="MS Sans Serif"/>
      <w:lang w:val="en-US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pPr>
      <w:autoSpaceDE w:val="0"/>
      <w:autoSpaceDN w:val="0"/>
      <w:spacing w:line="360" w:lineRule="auto"/>
      <w:jc w:val="both"/>
    </w:pPr>
    <w:rPr>
      <w:sz w:val="24"/>
      <w:szCs w:val="24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character" w:customStyle="1" w:styleId="uni1">
    <w:name w:val="uni1"/>
    <w:uiPriority w:val="99"/>
    <w:rPr>
      <w:rFonts w:ascii="MS Mincho" w:eastAsia="MS Mincho" w:cs="MS Mincho"/>
    </w:rPr>
  </w:style>
  <w:style w:type="paragraph" w:customStyle="1" w:styleId="abzac1">
    <w:name w:val="abzac1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rFonts w:ascii="Arial" w:hAnsi="Arial" w:cs="Arial"/>
      <w:color w:val="auto"/>
      <w:u w:val="none"/>
      <w:effect w:val="none"/>
    </w:rPr>
  </w:style>
  <w:style w:type="character" w:styleId="ad">
    <w:name w:val="footnote reference"/>
    <w:uiPriority w:val="99"/>
    <w:rPr>
      <w:vertAlign w:val="superscript"/>
    </w:rPr>
  </w:style>
  <w:style w:type="character" w:styleId="HTML0">
    <w:name w:val="HTML Cite"/>
    <w:uiPriority w:val="99"/>
    <w:rPr>
      <w:i/>
      <w:iCs/>
    </w:rPr>
  </w:style>
  <w:style w:type="character" w:styleId="HTML1">
    <w:name w:val="HTML Acronym"/>
    <w:uiPriority w:val="99"/>
  </w:style>
  <w:style w:type="paragraph" w:styleId="ae">
    <w:name w:val="footnote text"/>
    <w:basedOn w:val="a"/>
    <w:link w:val="af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af">
    <w:name w:val="Текст сноски Знак"/>
    <w:link w:val="ae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13771</Words>
  <Characters>7850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Придаточные предложения относительные и посессивность в современных славянских языках</vt:lpstr>
    </vt:vector>
  </TitlesOfParts>
  <Company>PERSONAL COMPUTERS</Company>
  <LinksUpToDate>false</LinksUpToDate>
  <CharactersWithSpaces>21578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Придаточные предложения относительные и посессивность в современных славянских языках</dc:title>
  <dc:subject/>
  <dc:creator>USER</dc:creator>
  <cp:keywords/>
  <dc:description/>
  <cp:lastModifiedBy>admin</cp:lastModifiedBy>
  <cp:revision>2</cp:revision>
  <dcterms:created xsi:type="dcterms:W3CDTF">2014-01-26T07:02:00Z</dcterms:created>
  <dcterms:modified xsi:type="dcterms:W3CDTF">2014-01-26T07:02:00Z</dcterms:modified>
</cp:coreProperties>
</file>