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BEB" w:rsidRDefault="00E82BEB">
      <w:pPr>
        <w:pStyle w:val="ConsPlusNonformat"/>
        <w:widowControl/>
        <w:spacing w:line="360" w:lineRule="auto"/>
        <w:jc w:val="both"/>
        <w:rPr>
          <w:sz w:val="28"/>
          <w:szCs w:val="28"/>
        </w:rPr>
      </w:pPr>
    </w:p>
    <w:p w:rsidR="00E82BEB" w:rsidRDefault="00E82BEB">
      <w:pPr>
        <w:pStyle w:val="ConsPlusTitle"/>
        <w:widowControl/>
        <w:spacing w:line="360" w:lineRule="auto"/>
        <w:jc w:val="center"/>
        <w:rPr>
          <w:rFonts w:ascii="Courier New" w:hAnsi="Courier New" w:cs="Courier New"/>
          <w:sz w:val="28"/>
          <w:szCs w:val="28"/>
        </w:rPr>
      </w:pPr>
      <w:r>
        <w:rPr>
          <w:rFonts w:ascii="Courier New" w:hAnsi="Courier New" w:cs="Courier New"/>
          <w:sz w:val="28"/>
          <w:szCs w:val="28"/>
        </w:rPr>
        <w:t>ДИСКРЕДИТАЦИЯ СВИДЕТЕЛЯ КАК ЭЛЕМЕНТ ПЕРЕКРЕСТНОГО ДОПРОСА В УГОЛОВНОМ ПРОЦЕССЕ США</w:t>
      </w:r>
    </w:p>
    <w:p w:rsidR="00E82BEB" w:rsidRDefault="00E82BEB">
      <w:pPr>
        <w:pStyle w:val="ConsPlusTitle"/>
        <w:widowControl/>
        <w:spacing w:line="360" w:lineRule="auto"/>
        <w:jc w:val="center"/>
        <w:rPr>
          <w:rFonts w:ascii="Courier New" w:hAnsi="Courier New" w:cs="Courier New"/>
          <w:sz w:val="28"/>
          <w:szCs w:val="28"/>
        </w:rPr>
      </w:pPr>
    </w:p>
    <w:p w:rsidR="00E82BEB" w:rsidRDefault="00E82BEB">
      <w:pPr>
        <w:pStyle w:val="ConsPlusNonformat"/>
        <w:widowControl/>
        <w:spacing w:line="360" w:lineRule="auto"/>
        <w:jc w:val="both"/>
        <w:rPr>
          <w:sz w:val="28"/>
          <w:szCs w:val="28"/>
        </w:rPr>
      </w:pP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Важнейшим способом доказательства достоверности свидетельских показаний в американском уголовном процессе является обеспечение доверия суда присяжных к самому свидетелю. Поэтому при прямом допросе свидетеля в суде сторона, вызвавшая свидетеля, старается подтвердить достоверность его показаний в глазах присяжных заседателей, а противная сторона - принять все меры для дискредитации этого свидетеля или его показаний.</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Перекрестный допрос считается основным способом проверки показаний свидетеля. В действительности же, в соответствии с состязательной моделью правосудия, перекрестный допрос служит основным способом дискредитации свидетеля перед присяжными заседателями, что может подорвать доказываемую позицию противоположной стороны.</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Существует два вида дискредитации: дискредитация самого свидетеля (т.е. доказывание его некомпетентности) или его показаний (т.е. доказывание недостоверности этих показаний). Цель любой дискредитации - устранить нежелательные для стороны доказательства путем внушения присяжным представления об их ложности.</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Рассмотрим основные способы дискредитации подробнее. Эти способы также делятся на две группы в зависимости от того, подвергается ли дискредитации сам свидетель или его показания.</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Способы дискредитации свидетеля</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Одним из способов дискредитации свидетеля является доказательство его неправдивости как черты характера.</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Для доказывания неправдивости как черты характера свидетеля в американской судебной практике используются либо доказательство репутации, либо доказательство в виде мнения. По общему правилу и согласно современной точке зрения поставить под сомнение добросовестность свидетеля суд разрешает только при наличии доказательств в виде репутации. Однако многие суды разрешают доказывать неправдивость как черту характера любым из указанных способов. Это закреплено, например, в Федеральных правилах о доказательствах для судов и магистратов США 1995 г.</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Доказывание характера обычно осуществляется через показания свидетеля. Однако свидетель, дающий показания о характере другого свидетеля, должен проживать в той же местности (или быть членом той же социальной группы), что и свидетель, достоверность показаний которого ставится под сомнение, причем он должен проживать достаточно долго, чтобы составить представление о репутации данного свидетеля среди членов данного сообщества. В тех судах, где в качестве доказательства характера свидетеля допускается мнение, необходимо, чтобы свидетель, высказывающий мнение, был достаточно долго знаком со свидетелем, о котором он дает показания.</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Предметом доказывания является конкретная черта характера свидетеля - его правдивость. Никакие иные свойства характера не принимаются на усмотрение. Некоторые суды штатов допускают доказывание общего морального облика свидетеля, но их меньшинство.</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Другой способ дискредитации свидетеля - доказательство его предшествующей судимости. Еще несколько десятилетий назад считалось, что лицо, ранее осужденное за государственное преступление или иное преступление, связанное с нечестными действиями, не вправе давать свидетельские показания. В настоящее время это положение видоизменено: свидетелю можно выразить недоверие, приведя данные о том, что он подвергался законному и окончательному осуждению за определенные виды преступлений. Особенно убедительным является доказательство предыдущей судимости свидетеля по обвинению в лжесвидетельстве.</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Для дискредитации свидетеля противная сторона должна доказать, что данный свидетель подвергался законному, окончательному и недавнему осуждению за преступление определенной категории. Факт осуждения допускается в качестве доказательства, дискредитирующего свидетеля в том случае, если судья определил, что его доказательственная сила перевешивает простое "неблагоприятное воздействие" на присяжных, и если о намерении использовать факт предшествующего осуждения в качестве материала для объявления недоверия свидетелю подано предварительное письменное заявление.</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Что касается категорий преступлений, осуждение за которые может упоминаться в процессе как основание недоверия свидетелю, то здесь имеет значение тяжесть либо характер преступления, т.е. оно (преступление) должно быть нечестного свойства (лжесвидетельство, мошенничество, подделка и т.д.). Федеральные правила о доказательствах придерживаются компромиссной точки зрения. Согласно правилу 609, если преступление заслуживает наказания в диапазоне от смертной казни или тюремного заключения сроком свыше одного года или если преступление, независимо от наказания, связано с ложным показанием или бесчестием, то факт осуждения за такое преступление может послужить основанием недоверия свидетелю. На практике часто возникает вопрос, влекут ли за собой такие преступления, как кража или ограбление, достаточную степень нечестного действия, чтобы попасть под действие правила 609. Факт осуждения доказывается в суде путем проведения перекрестного допроса либо предоставления независимых материалов об осуждении. Если при перекрестном допросе свидетель отрицает факт осуждения, то допрос прекращается и процедура вынесения недоверия свидетелю продолжается с помощью других независимых доказательств, т.е. представления суду копии судебного решения. Но во многих судах США все же допускается продолжение перекрестного допроса, включая вопросы о деталях осуждения. Подчеркнем, что вопрос о допущении данных о прошлом осуждении в целях объявления недоверия свидетелю решается по усмотрению судьи, который обязан взвешивать доказательственную силу этих данных по сравнению с воздействием, причиняющим вред рассмотрению дела подсудимого. Здесь необходимо принимать во внимание целый ряд факторов: как давно свидетель осужден, насколько факт осуждения влияет на оценку достоверности показаний свидетеля, насколько существенны ставящиеся под сомнение показания свидетеля и т.д.</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Следующим способом дискредитации свидетеля является доказательство совершения ими проступков, не влекущих за собой осуждения. Федеральное правило о доказательствах 608(б) позволяет суду по своему усмотрению проводить перекрестный допрос относительно проступков ("специфических примеров поведения"), могущих служить мерилом неправдивости свидетеля.</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Однако противная сторона ограничена ответом свидетеля: она не вправе доказывать акт совершения проступка с помощью внесудебных данных. Если свидетель отрицает акт проступка, то допрашивающая сторона вынуждена довольствоваться этим ответом, т.е. представитель этой стороны не вправе вызвать еще одного свидетеля, чтобы доказать совершение свидетелем в прошлом проступка.</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В некоторых судах заинтересованная сторона сама может спросить свидетеля, совершал ли он в прошлом какой-либо проступок, но только в том случае, если представитель стороны искренне верит, что свидетель действительно совершал такой проступок. В иных судах вообще запрещено при перекрестном допросе спрашивать о конкретных проступках, которые не повлекли за собой осуждение.</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Но существует три исключения, когда вопрос о проступках может быть поставлен. Во-первых, представитель противной стороны может приводить доказательства о том, что были проступки, непосредственно связанные с данным делом, например попытки подстрекательства к даче лживых показаний со стороны того или иного свидетеля по делу.</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Во-вторых, если во время прямого допроса свидетель по своей инициативе затронул вопрос о том, что он не совершал каких-либо проступков, то представитель противной стороны вправе допросить его относительно конкретных проступков. При этом судья разрешает противной стороне при перекрестном допросе представить независимые доказательства.</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В-третьих, в делах по обвинению в сексуальных преступлениях некоторые суды допускают доказательства того, что потерпевший в прошлом также предъявлял аналогичные лживые обвинения.</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Распространенным способом дискредитации свидетеля является доказательство пробелов в его правоспособности. Чтобы быть компетентным свидетелем, лицо должно иметь способность воспринимать факты, запоминать их и воспроизводить. Противная сторона вправе задавать свидетелю вопросы с тем, чтобы поставить под сомнение указанные качества свидетеля.</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Законными для перекрестного допроса являются вопросы, касающиеся состояния органов восприятия свидетеля: для выявления возможных дефектов восприятия им расстояния, цвета, звука, времени. Учитывается и то, что восприятие, а значит, и показания свидетеля могут пострадать от таких факторов, как возбуждение, страх, физическая боль, старческие недуги.</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Могут ставиться и компрометирующие вопросы относительно психического состояния, умственных способностей, состояния опьянения, наркомании.</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Данные о психическом состоянии свидетеля вводятся в процесс посредством показаний эксперта, в отношении которых действует комплекс правил и ограничений. Заключение, основанное на гипотетическом вопросе, не имеет доказательственной силы. Также ненадежным является заключение, основанное на поведении лица и его показаниях в зале суда. Более или менее удовлетворительным является заключение, основанное на клиническом обследовании свидетеля. Но это происходит довольно редко, в особых делах и по усмотрению судьи. Согласно некоторым статутам, данные о психическом состоянии, имевшем место до момента дачи свидетельских показаний, судом не принимаются. Даже тот факт, что свидетель является эпилептиком, также не является правомерным предметом перекрестного допроса, за исключением тех случаев, когда представлены убедительные данные о том, что эпилепсия отрицательно сказывается на памяти свидетеля.</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Суды признают, что умственные способности свидетеля влияют на достоверность его показаний, поэтому перекрестный допрос относительно умственных способностей считается правомерным, однако для доказывания умственных способностей нельзя приводить внесудебные данные.</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Предметом допроса в данном случае могут быть: источник полученной свидетелем информации, обстоятельства восприятия информации, способность и возможность свидетеля проводить точные наблюдения, понимание свидетелем сообщаемых им обстоятельств. Правомерным предметом допроса является также: причина, заставившая свидетеля вспомнить те или иные обстоятельства; степень интереса, проявленного свидетелем к этим обстоятельствам, и т.д.</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Сведения о том, что свидетель в момент событий, об обстоятельствах которых он допрашивается, или в момент дачи показаний находился в состоянии опьянения, судом допускаются и являются правомерным предметом перекрестного допроса. Здесь тоже есть нюансы: например, состояние опьянения отражается на способности наблюдать, запоминать и вспоминать факты, но сам по себе факт того, что свидетель является алкоголиком, не служит основанием недоверия к его показаниям. Интересно, что по вопросу о влиянии наркомании на достоверность свидетельских показаний мнения судов расходятся. Одни суды считают, что наркомания отрицательно сказывается на способности свидетеля воспринимать, запоминать и излагать факты, и поэтому рассматривают доказанный факт злоупотребления наркотиками как основание недоверия свидетелю.</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Другие суды не столь категоричны в этом вопросе и требуют заключения эксперта для подтверждения влияния употребления наркотиков на показания свидетеля. Мнение третьей группы судов сводится к тому, что употребление свидетелем наркотиков может быть предметом перекрестного допроса только в том случае, когда есть достаточные основания считать, что он во время восприятия им интересующих суд фактов или событий находился под действием наркотиков непосредственно.</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Способы дискредитации показаний свидетеля.</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Предшествующие противоречивые заявления. Если перед процессом свидетель сделал заявление, противоречащее тому, что он говорит на суде, то представитель противной стороны вправе подвергнуть этого свидетеля перекрестному допросу на предмет предшествующего заявления.</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Большинство судов придерживается точки зрения, что такой допрос возможен, если между показаниями до суда на суде имеется существенное расхождение. Расхождение считается существенным, если в предшествующем заявлении свидетеля опущен какой-нибудь факт, который свидетель ни при каких разумных обстоятельствах не упустил бы, если показание свидетеля по всем признакам представляет собой недавнюю фабрикацию, если свидетель изменил свои показания в части каких-либо значимых для дела фактов и обстоятельств.</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Противоречие с предшествующим заявлением может быть доказано не только путем перекрестного допроса свидетеля, но и с помощью внесудебных данных, например показаний другого свидетеля. О вызове в суд такого свидетеля ходатайствует заинтересованная сторона.</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Внесудебные доказательства противоречивого заявления свидетеля допускаются, если, во-первых, имеется законное основание для перекрестного допроса. Процессуальный оппонент должен иметь данные о предшествующем заявлении свидетеля, противоречащем сказанному им на суде, и представить их ему (где, когда, кому было сделано заявление). В некоторых судах США это требование менее строгое, когда противная сторона может задавать общие вопросы о предшествующем заявлении. Во-вторых, внесудебное доказательство допускается, если свидетель отрицает факт совершения противоречивого заявления или заявляет, что не помнит об этом. Если же свидетель признает факт противоречивого заявления, то внесудебное доказательство этого судом не допускается. В-третьих, противоречивое заявление должно относиться к существенному факту по делу.</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Предшествующие противоречащие действия также признаются основанием для недоверия показаниям свидетеля. Противоречие здесь заключается в том, что сделанное свидетелем в суде заявление не согласуется с его поведением до суда. Например, сторона обвинения представляет показание свидетеля в целях дискредитации свидетельских показаний подсудимого. В свою очередь защита, чтобы опровергнуть довод обвинения, вынуждает этого свидетеля признаться, что он в свое время одолжил деньги подсудимому. Делается вывод: если бы свидетель искренне верил, что подсудимый является человеком, не заслуживающим доверия, он не одолжил бы ему деньги. Следовательно, между показанием свидетеля и его поступками до суда имеется противоречие, из которого явствует, что показаниям этого свидетеля нельзя доверять.</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Другой пример. Когда подсудимый во время дачи показаний в суде ссылается на оправдывающие его обстоятельства, то его молчание на предварительном следствии может рассматриваться как противоречащее действие.</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Предубеждение и пристрастие, а также заинтересованность или враждебность являются основой для аргументации недоверия к показаниям свидетеля, так как прямо влияют на достоверность показаний свидетеля. Пристрастие не может быть косвенным, второстепенным фактом в вопросе допущения показаний, поэтому данные такого рода рассматриваются судом даже после того, как свидетель объявит об отсутствии у него пристрастия к какой-либо из сторон. Пристрастие или предубеждение к подсудимому выясняется с помощью вопросов о семейных узах свидетеля, о друзьях, увлечениях, производственных отношениях, финансовых связях, симпатиях, антипатиях, даже страхах.</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Пристрастие или предубеждение считаются установленными, если доказаны следующие обстоятельства: то, что свидетель является платным осведомителем; что свидетель является сообвиняемым; что свидетель получил привилегию; что данному свидетелю было обещано сокращение срока заключения при условии признания себя виновным.</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Большинство американских судов придерживаются той точки зрения, что прежде чем представлять суду внесудебные доказательства пристрастия свидетеля, процессуальный оппонент должен положить основание для этого во время перекрестного допроса этого свидетеля. Представитель противной стороны должен предоставить свидетелю возможность отрицать или объяснить свое пристрастие или предубеждение.</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Особые противоречия. Этот метод исходит из того, что если свидетель ошибается в отношении одного факта или обстоятельства, то его показания не заслуживают доверия и в отношении другого факта.</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Убедительность этого довода зависит от того, какая конкретная ошибка представлена вниманию присяжных. С этим методом связана одна опасность: противоречия свидетельских показаний, не связанных с установлением основных фактов, объяснение которых занимает массу времени, могут отвлечь внимание присяжных от основных вопросов дела. Поэтому судами выработано правило, что при данном методе нельзя использовать внесудебные доказательства. Исключения из этого правила в основном сводятся к проверке фактов, от которых зависит разрешение основного вопроса.</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Резюмируя изложенное, можно сделать вывод: цель процедуры выражения недоверия заключается в том, чтобы дискредитировать свидетеля противоположной стороны и его показания и в конечном итоге доказать необоснованность позиции процессуального противника или по крайней мере пошатнуть его доказательственную базу, тем самым укрепив свою позицию по делу в глазах присяжных заседателей.</w:t>
      </w:r>
    </w:p>
    <w:p w:rsidR="00E82BEB" w:rsidRDefault="00E82BEB">
      <w:pPr>
        <w:pStyle w:val="ConsPlusNormal"/>
        <w:widowControl/>
        <w:spacing w:line="360" w:lineRule="auto"/>
        <w:ind w:firstLine="540"/>
        <w:jc w:val="both"/>
        <w:rPr>
          <w:rFonts w:ascii="Courier New" w:hAnsi="Courier New" w:cs="Courier New"/>
          <w:sz w:val="28"/>
          <w:szCs w:val="28"/>
        </w:rPr>
      </w:pPr>
      <w:r>
        <w:rPr>
          <w:rFonts w:ascii="Courier New" w:hAnsi="Courier New" w:cs="Courier New"/>
          <w:sz w:val="28"/>
          <w:szCs w:val="28"/>
        </w:rPr>
        <w:t>В заключение заметим, что сторона, вызвавшая свидетеля, которого впоследствии противоположная сторона подвергла дискредитации, может "реабилитировать" свидетеля и его показания при повторном прямом допросе, а также до проведения перекрестного допроса на прямом допросе привести подтверждающие свидетельские показания данные.</w:t>
      </w:r>
    </w:p>
    <w:p w:rsidR="00E82BEB" w:rsidRDefault="00E82BEB">
      <w:pPr>
        <w:spacing w:line="360" w:lineRule="auto"/>
        <w:jc w:val="center"/>
        <w:rPr>
          <w:rFonts w:ascii="Courier New" w:hAnsi="Courier New" w:cs="Courier New"/>
          <w:b/>
          <w:bCs/>
          <w:sz w:val="28"/>
          <w:szCs w:val="28"/>
        </w:rPr>
      </w:pPr>
      <w:r>
        <w:rPr>
          <w:rFonts w:ascii="Courier New" w:hAnsi="Courier New" w:cs="Courier New"/>
          <w:b/>
          <w:bCs/>
          <w:sz w:val="28"/>
          <w:szCs w:val="28"/>
        </w:rPr>
        <w:t>Литература</w:t>
      </w:r>
    </w:p>
    <w:p w:rsidR="00E82BEB" w:rsidRDefault="00E82BEB">
      <w:pPr>
        <w:pStyle w:val="ConsPlusNormal"/>
        <w:widowControl/>
        <w:numPr>
          <w:ilvl w:val="0"/>
          <w:numId w:val="1"/>
        </w:numPr>
        <w:rPr>
          <w:rFonts w:ascii="Courier New" w:hAnsi="Courier New" w:cs="Courier New"/>
          <w:sz w:val="24"/>
          <w:szCs w:val="24"/>
        </w:rPr>
      </w:pPr>
      <w:r>
        <w:rPr>
          <w:rFonts w:ascii="Courier New" w:hAnsi="Courier New" w:cs="Courier New"/>
          <w:sz w:val="24"/>
          <w:szCs w:val="24"/>
        </w:rPr>
        <w:t>"К ВОПРОСУ О СВИДЕТЕЛЬСКИХ ПОКАЗАНИЯХ ДОЛЖНОСТНЫХ ЛИЦ, УЧАСТВУЮЩИХ В ПРОИЗВОДСТВЕ ПО УГОЛОВНОМУ ДЕЛУ"</w:t>
      </w:r>
      <w:r>
        <w:rPr>
          <w:rFonts w:ascii="Courier New" w:hAnsi="Courier New" w:cs="Courier New"/>
          <w:sz w:val="24"/>
          <w:szCs w:val="24"/>
        </w:rPr>
        <w:br/>
        <w:t>(Н.В. Сидорова)("Мировой судья", 2006, N 3)</w:t>
      </w:r>
      <w:r>
        <w:rPr>
          <w:rFonts w:ascii="Courier New" w:hAnsi="Courier New" w:cs="Courier New"/>
          <w:sz w:val="24"/>
          <w:szCs w:val="24"/>
        </w:rPr>
        <w:br/>
        <w:t xml:space="preserve"> </w:t>
      </w:r>
    </w:p>
    <w:p w:rsidR="00E82BEB" w:rsidRDefault="00E82BEB">
      <w:pPr>
        <w:pStyle w:val="ConsPlusNormal"/>
        <w:widowControl/>
        <w:numPr>
          <w:ilvl w:val="0"/>
          <w:numId w:val="1"/>
        </w:numPr>
        <w:rPr>
          <w:rFonts w:ascii="Courier New" w:hAnsi="Courier New" w:cs="Courier New"/>
          <w:sz w:val="24"/>
          <w:szCs w:val="24"/>
        </w:rPr>
      </w:pPr>
      <w:r>
        <w:rPr>
          <w:rFonts w:ascii="Courier New" w:hAnsi="Courier New" w:cs="Courier New"/>
          <w:sz w:val="24"/>
          <w:szCs w:val="24"/>
        </w:rPr>
        <w:t>"ОГЛАШЕНИЕ ПОКАЗАНИЙ НЕ ЯВИВШИХСЯ В СУД ПОТЕРПЕВШИХ И СВИДЕТЕЛЕЙ" (А. Клецкин) ("Законность", 2005, N 10)</w:t>
      </w:r>
    </w:p>
    <w:p w:rsidR="00E82BEB" w:rsidRDefault="00E82BEB">
      <w:pPr>
        <w:pStyle w:val="ConsPlusNormal"/>
        <w:widowControl/>
        <w:ind w:left="360" w:firstLine="0"/>
        <w:rPr>
          <w:rFonts w:ascii="Courier New" w:hAnsi="Courier New" w:cs="Courier New"/>
          <w:sz w:val="24"/>
          <w:szCs w:val="24"/>
        </w:rPr>
      </w:pPr>
    </w:p>
    <w:p w:rsidR="00E82BEB" w:rsidRDefault="00E82BEB">
      <w:pPr>
        <w:pStyle w:val="ConsPlusNormal"/>
        <w:widowControl/>
        <w:numPr>
          <w:ilvl w:val="0"/>
          <w:numId w:val="1"/>
        </w:numPr>
        <w:rPr>
          <w:rFonts w:ascii="Courier New" w:hAnsi="Courier New" w:cs="Courier New"/>
          <w:sz w:val="24"/>
          <w:szCs w:val="24"/>
        </w:rPr>
      </w:pPr>
      <w:r>
        <w:rPr>
          <w:rFonts w:ascii="Courier New" w:hAnsi="Courier New" w:cs="Courier New"/>
          <w:sz w:val="24"/>
          <w:szCs w:val="24"/>
        </w:rPr>
        <w:t>"ОСНОВНЫЕ ПРАВА АДВОКАТА СВИДЕТЕЛЯ (ЛИЦА, В ПОМЕЩЕНИИ КОТОРОГО ПРОИЗВОДИТСЯ ОБЫСК). КОММЕНТАРИЙ К Ч. 2 СТ. 53 УПК РФ" (А.П. Рыжаков) (Подготовлен для Системы КонсультантПлюс, 2005)</w:t>
      </w:r>
      <w:r>
        <w:rPr>
          <w:rFonts w:ascii="Courier New" w:hAnsi="Courier New" w:cs="Courier New"/>
          <w:sz w:val="24"/>
          <w:szCs w:val="24"/>
        </w:rPr>
        <w:br/>
        <w:t xml:space="preserve"> </w:t>
      </w:r>
    </w:p>
    <w:p w:rsidR="00E82BEB" w:rsidRDefault="00E82BEB">
      <w:pPr>
        <w:pStyle w:val="ConsPlusNormal"/>
        <w:widowControl/>
        <w:numPr>
          <w:ilvl w:val="0"/>
          <w:numId w:val="1"/>
        </w:numPr>
        <w:rPr>
          <w:rFonts w:ascii="Courier New" w:hAnsi="Courier New" w:cs="Courier New"/>
          <w:sz w:val="24"/>
          <w:szCs w:val="24"/>
        </w:rPr>
      </w:pPr>
      <w:r>
        <w:rPr>
          <w:rFonts w:ascii="Courier New" w:hAnsi="Courier New" w:cs="Courier New"/>
          <w:sz w:val="24"/>
          <w:szCs w:val="24"/>
        </w:rPr>
        <w:t>"ОСОБЕННОСТИ ПРОЦЕССУАЛЬНОГО ПОЛОЖЕНИЯ СВИДЕТЕЛЯ В УГОЛОВНОМ ПРОЦЕССЕ АНГЛИИ И США" (Т.А. Лоскутова)</w:t>
      </w:r>
      <w:r>
        <w:rPr>
          <w:rFonts w:ascii="Courier New" w:hAnsi="Courier New" w:cs="Courier New"/>
          <w:sz w:val="24"/>
          <w:szCs w:val="24"/>
        </w:rPr>
        <w:br/>
        <w:t>("Адвокатская практика", 2005, N 5)</w:t>
      </w:r>
      <w:r>
        <w:rPr>
          <w:rFonts w:ascii="Courier New" w:hAnsi="Courier New" w:cs="Courier New"/>
          <w:sz w:val="24"/>
          <w:szCs w:val="24"/>
        </w:rPr>
        <w:br/>
        <w:t xml:space="preserve"> </w:t>
      </w:r>
    </w:p>
    <w:p w:rsidR="00E82BEB" w:rsidRDefault="00E82BEB">
      <w:pPr>
        <w:pStyle w:val="ConsPlusNormal"/>
        <w:widowControl/>
        <w:numPr>
          <w:ilvl w:val="0"/>
          <w:numId w:val="1"/>
        </w:numPr>
        <w:rPr>
          <w:rFonts w:ascii="Courier New" w:hAnsi="Courier New" w:cs="Courier New"/>
          <w:sz w:val="24"/>
          <w:szCs w:val="24"/>
        </w:rPr>
      </w:pPr>
      <w:r>
        <w:rPr>
          <w:rFonts w:ascii="Courier New" w:hAnsi="Courier New" w:cs="Courier New"/>
          <w:sz w:val="24"/>
          <w:szCs w:val="24"/>
        </w:rPr>
        <w:t>"ОТВЕТСТВЕННОСТЬ ЗА ЗАВЕДОМО ЛОЖНЫЕ ПОКАЗАНИЯ СВИДЕТЕЛЕЙ"</w:t>
      </w:r>
      <w:r>
        <w:rPr>
          <w:rFonts w:ascii="Courier New" w:hAnsi="Courier New" w:cs="Courier New"/>
          <w:sz w:val="24"/>
          <w:szCs w:val="24"/>
        </w:rPr>
        <w:br/>
        <w:t>(В. Дометеев) ("Законность", 2006, N 6)</w:t>
      </w:r>
      <w:r>
        <w:rPr>
          <w:rFonts w:ascii="Courier New" w:hAnsi="Courier New" w:cs="Courier New"/>
          <w:sz w:val="24"/>
          <w:szCs w:val="24"/>
        </w:rPr>
        <w:br/>
        <w:t xml:space="preserve"> </w:t>
      </w:r>
    </w:p>
    <w:p w:rsidR="00E82BEB" w:rsidRDefault="00E82BEB">
      <w:pPr>
        <w:pStyle w:val="ConsPlusNormal"/>
        <w:widowControl/>
        <w:numPr>
          <w:ilvl w:val="0"/>
          <w:numId w:val="1"/>
        </w:numPr>
        <w:rPr>
          <w:rFonts w:ascii="Courier New" w:hAnsi="Courier New" w:cs="Courier New"/>
          <w:sz w:val="24"/>
          <w:szCs w:val="24"/>
        </w:rPr>
      </w:pPr>
      <w:r>
        <w:rPr>
          <w:rFonts w:ascii="Courier New" w:hAnsi="Courier New" w:cs="Courier New"/>
          <w:sz w:val="24"/>
          <w:szCs w:val="24"/>
        </w:rPr>
        <w:t>"ПРАВА И ОБЯЗАННОСТИ СВИДЕТЕЛЯ, ЭКСПЕРТА, СПЕЦИАЛИСТА, ПЕРЕВОДЧИКА, ЗАЩИТНИКА, ПРЕДСТАВИТЕЛЯ И ПОНЯТОГО КАК УЧАСТНИКОВ ПРОИЗВОДСТВА ПО ДЕЛАМ ОБ АДМИНИСТРАТИВНЫХ ПРАВОНАРУШЕНИЯХ" (А.В. Куракин, Д.В. Астахов, М.Г. Сальников, А.Н. Куракина) ("Право и политика", 2006, N 3)</w:t>
      </w:r>
      <w:r>
        <w:rPr>
          <w:rFonts w:ascii="Courier New" w:hAnsi="Courier New" w:cs="Courier New"/>
          <w:sz w:val="24"/>
          <w:szCs w:val="24"/>
        </w:rPr>
        <w:br/>
        <w:t xml:space="preserve"> </w:t>
      </w:r>
    </w:p>
    <w:p w:rsidR="00E82BEB" w:rsidRDefault="00E82BEB">
      <w:pPr>
        <w:pStyle w:val="ConsPlusNormal"/>
        <w:widowControl/>
        <w:numPr>
          <w:ilvl w:val="0"/>
          <w:numId w:val="1"/>
        </w:numPr>
        <w:rPr>
          <w:rFonts w:ascii="Courier New" w:hAnsi="Courier New" w:cs="Courier New"/>
          <w:sz w:val="24"/>
          <w:szCs w:val="24"/>
        </w:rPr>
      </w:pPr>
      <w:r>
        <w:rPr>
          <w:rFonts w:ascii="Courier New" w:hAnsi="Courier New" w:cs="Courier New"/>
          <w:sz w:val="24"/>
          <w:szCs w:val="24"/>
        </w:rPr>
        <w:t>"ПРИВИЛЕГИИ И ИММУНИТЕТ СВИДЕТЕЛЯ В УГОЛОВНОМ ПРОЦЕССЕ АНГЛИИ И США" (Т.А. Лоскутова) ("Адвокатская практика", 2005, N 6)</w:t>
      </w:r>
      <w:r>
        <w:rPr>
          <w:rFonts w:ascii="Courier New" w:hAnsi="Courier New" w:cs="Courier New"/>
          <w:sz w:val="24"/>
          <w:szCs w:val="24"/>
        </w:rPr>
        <w:br/>
        <w:t xml:space="preserve"> </w:t>
      </w:r>
    </w:p>
    <w:p w:rsidR="00E82BEB" w:rsidRDefault="00E82BEB">
      <w:pPr>
        <w:pStyle w:val="ConsPlusNormal"/>
        <w:widowControl/>
        <w:numPr>
          <w:ilvl w:val="0"/>
          <w:numId w:val="1"/>
        </w:numPr>
        <w:rPr>
          <w:rFonts w:ascii="Courier New" w:hAnsi="Courier New" w:cs="Courier New"/>
          <w:sz w:val="24"/>
          <w:szCs w:val="24"/>
        </w:rPr>
      </w:pPr>
      <w:r>
        <w:rPr>
          <w:rFonts w:ascii="Courier New" w:hAnsi="Courier New" w:cs="Courier New"/>
          <w:sz w:val="24"/>
          <w:szCs w:val="24"/>
        </w:rPr>
        <w:t>"ПРИВИЛЕГИИ И ИММУНИТЕТ СВИДЕТЕЛЯ В УГОЛОВНОМ ПРОЦЕССЕ АНГЛИИ И США" (Т.А. Лоскутова) ("Адвокатская практика", 2005, N 6)</w:t>
      </w:r>
      <w:r>
        <w:rPr>
          <w:rFonts w:ascii="Courier New" w:hAnsi="Courier New" w:cs="Courier New"/>
          <w:sz w:val="24"/>
          <w:szCs w:val="24"/>
        </w:rPr>
        <w:br/>
        <w:t xml:space="preserve"> </w:t>
      </w:r>
    </w:p>
    <w:p w:rsidR="00E82BEB" w:rsidRDefault="00E82BEB">
      <w:pPr>
        <w:pStyle w:val="ConsPlusNormal"/>
        <w:widowControl/>
        <w:numPr>
          <w:ilvl w:val="0"/>
          <w:numId w:val="1"/>
        </w:numPr>
        <w:rPr>
          <w:rFonts w:ascii="Courier New" w:hAnsi="Courier New" w:cs="Courier New"/>
          <w:sz w:val="24"/>
          <w:szCs w:val="24"/>
        </w:rPr>
      </w:pPr>
      <w:r>
        <w:rPr>
          <w:rFonts w:ascii="Courier New" w:hAnsi="Courier New" w:cs="Courier New"/>
          <w:sz w:val="24"/>
          <w:szCs w:val="24"/>
        </w:rPr>
        <w:t>"ПРОБЛЕМЫ ЗАКОНОДАТЕЛЬНОЙ РЕГЛАМЕНТАЦИИ НАСИЛЬСТВЕННЫХ ПОСЯГАТЕЛЬСТВ В ОТНОШЕНИИ СВИДЕТЕЛЕЙ И ПОТЕРПЕВШИХ"</w:t>
      </w:r>
      <w:r>
        <w:rPr>
          <w:rFonts w:ascii="Courier New" w:hAnsi="Courier New" w:cs="Courier New"/>
          <w:sz w:val="24"/>
          <w:szCs w:val="24"/>
        </w:rPr>
        <w:br/>
        <w:t>(И.А. Бобраков) ("Журнал российского права", 2006, N 1)</w:t>
      </w:r>
      <w:r>
        <w:rPr>
          <w:rFonts w:ascii="Courier New" w:hAnsi="Courier New" w:cs="Courier New"/>
          <w:sz w:val="24"/>
          <w:szCs w:val="24"/>
        </w:rPr>
        <w:br/>
        <w:t xml:space="preserve"> </w:t>
      </w:r>
    </w:p>
    <w:p w:rsidR="00E82BEB" w:rsidRDefault="00E82BEB">
      <w:pPr>
        <w:pStyle w:val="ConsPlusNormal"/>
        <w:widowControl/>
        <w:numPr>
          <w:ilvl w:val="0"/>
          <w:numId w:val="1"/>
        </w:numPr>
        <w:rPr>
          <w:rFonts w:ascii="Courier New" w:hAnsi="Courier New" w:cs="Courier New"/>
          <w:sz w:val="24"/>
          <w:szCs w:val="24"/>
        </w:rPr>
      </w:pPr>
      <w:r>
        <w:rPr>
          <w:rFonts w:ascii="Courier New" w:hAnsi="Courier New" w:cs="Courier New"/>
          <w:sz w:val="24"/>
          <w:szCs w:val="24"/>
        </w:rPr>
        <w:t>"ПРОЦЕССУАЛЬНО-ТАКТИЧЕСКИЕ ОСНОВЫ УЧАСТИЯ АДВОКАТА-ЗАЩИТНИКА В ДОПРОСЕ ПОТЕРПЕВШЕГО И СВИДЕТЕЛЯ В СУДЕ"</w:t>
      </w:r>
      <w:r>
        <w:rPr>
          <w:rFonts w:ascii="Courier New" w:hAnsi="Courier New" w:cs="Courier New"/>
          <w:sz w:val="24"/>
          <w:szCs w:val="24"/>
        </w:rPr>
        <w:br/>
        <w:t>(В.Л. Кудрявцев)</w:t>
      </w:r>
      <w:r>
        <w:rPr>
          <w:rFonts w:ascii="Courier New" w:hAnsi="Courier New" w:cs="Courier New"/>
          <w:sz w:val="24"/>
          <w:szCs w:val="24"/>
        </w:rPr>
        <w:br/>
        <w:t>("Адвокатская практика", 2006, N 2)</w:t>
      </w:r>
      <w:r>
        <w:rPr>
          <w:rFonts w:ascii="Courier New" w:hAnsi="Courier New" w:cs="Courier New"/>
          <w:sz w:val="24"/>
          <w:szCs w:val="24"/>
        </w:rPr>
        <w:br/>
        <w:t xml:space="preserve"> </w:t>
      </w:r>
    </w:p>
    <w:p w:rsidR="00E82BEB" w:rsidRDefault="00E82BEB">
      <w:pPr>
        <w:pStyle w:val="ConsPlusNormal"/>
        <w:widowControl/>
        <w:numPr>
          <w:ilvl w:val="0"/>
          <w:numId w:val="1"/>
        </w:numPr>
        <w:rPr>
          <w:rFonts w:ascii="Courier New" w:hAnsi="Courier New" w:cs="Courier New"/>
        </w:rPr>
      </w:pPr>
      <w:r>
        <w:rPr>
          <w:rFonts w:ascii="Courier New" w:hAnsi="Courier New" w:cs="Courier New"/>
          <w:sz w:val="24"/>
          <w:szCs w:val="24"/>
        </w:rPr>
        <w:t>"РЕЦЕНЗИЯ НА УЧЕБНО-ПРАКТИЧЕСКОЕ ПОСОБИЕ АЛЕКСАНДРОВА А.С. И ГРИШИНА С.П. "ПЕРЕКРЕСТНЫЙ ДОПРОС" (В.В. Мельник)</w:t>
      </w:r>
      <w:r>
        <w:rPr>
          <w:rFonts w:ascii="Courier New" w:hAnsi="Courier New" w:cs="Courier New"/>
          <w:sz w:val="24"/>
          <w:szCs w:val="24"/>
        </w:rPr>
        <w:br/>
        <w:t>("Российский судья", 2005, N 12)  "КОММЕНТАРИЙ К ФЕДЕРАЛЬНОМУ ЗАКОНУ ОТ 20 АВГУСТА 2004 Г. N 119-ФЗ "О ГОСУДАРСТВЕННОЙ ЗАЩИТЕ ПОТЕРПЕВШИХ, СВИДЕТЕЛЕЙ И ИНЫХ УЧАСТНИКОВ УГОЛОВНОГО СУДОПРОИЗВОДСТВА" (постатейный)</w:t>
      </w:r>
      <w:r>
        <w:rPr>
          <w:rFonts w:ascii="Courier New" w:hAnsi="Courier New" w:cs="Courier New"/>
          <w:sz w:val="24"/>
          <w:szCs w:val="24"/>
        </w:rPr>
        <w:br/>
        <w:t>(Т.С. Кобцова, П.В. Кобцов, А.Б. Смушкин) (Подготовлен для Системы КонсультантПлюс, 2006)</w:t>
      </w:r>
      <w:r>
        <w:rPr>
          <w:rFonts w:ascii="Courier New" w:hAnsi="Courier New" w:cs="Courier New"/>
          <w:sz w:val="24"/>
          <w:szCs w:val="24"/>
        </w:rPr>
        <w:br/>
      </w:r>
      <w:r>
        <w:rPr>
          <w:rFonts w:ascii="Courier New" w:hAnsi="Courier New" w:cs="Courier New"/>
        </w:rPr>
        <w:t xml:space="preserve"> </w:t>
      </w:r>
      <w:bookmarkStart w:id="0" w:name="_GoBack"/>
      <w:bookmarkEnd w:id="0"/>
    </w:p>
    <w:sectPr w:rsidR="00E82BEB">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2BEB" w:rsidRDefault="00E82BEB">
      <w:r>
        <w:separator/>
      </w:r>
    </w:p>
  </w:endnote>
  <w:endnote w:type="continuationSeparator" w:id="0">
    <w:p w:rsidR="00E82BEB" w:rsidRDefault="00E8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2BEB" w:rsidRDefault="003F70B2">
    <w:pPr>
      <w:pStyle w:val="a3"/>
      <w:framePr w:wrap="auto" w:vAnchor="text" w:hAnchor="margin" w:xAlign="right" w:y="1"/>
      <w:rPr>
        <w:rStyle w:val="a5"/>
      </w:rPr>
    </w:pPr>
    <w:r>
      <w:rPr>
        <w:rStyle w:val="a5"/>
        <w:noProof/>
      </w:rPr>
      <w:t>2</w:t>
    </w:r>
  </w:p>
  <w:p w:rsidR="00E82BEB" w:rsidRDefault="00E82BE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2BEB" w:rsidRDefault="00E82BEB">
      <w:r>
        <w:separator/>
      </w:r>
    </w:p>
  </w:footnote>
  <w:footnote w:type="continuationSeparator" w:id="0">
    <w:p w:rsidR="00E82BEB" w:rsidRDefault="00E82B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0219AE"/>
    <w:multiLevelType w:val="hybridMultilevel"/>
    <w:tmpl w:val="9F4C90D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70B2"/>
    <w:rsid w:val="002065EF"/>
    <w:rsid w:val="003F70B2"/>
    <w:rsid w:val="00986EAF"/>
    <w:rsid w:val="00E82B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57F0ADE-0AA9-4ED7-A805-B2070C0D2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ind w:firstLine="720"/>
    </w:pPr>
    <w:rPr>
      <w:rFonts w:ascii="Arial" w:hAnsi="Arial" w:cs="Arial"/>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Title">
    <w:name w:val="ConsPlusTitle"/>
    <w:uiPriority w:val="99"/>
    <w:pPr>
      <w:widowControl w:val="0"/>
      <w:autoSpaceDE w:val="0"/>
      <w:autoSpaceDN w:val="0"/>
      <w:adjustRightInd w:val="0"/>
    </w:pPr>
    <w:rPr>
      <w:rFonts w:ascii="Arial" w:hAnsi="Arial" w:cs="Arial"/>
      <w:b/>
      <w:bCs/>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rFonts w:ascii="Times New Roman" w:hAnsi="Times New Roman" w:cs="Times New Roman"/>
      <w:sz w:val="24"/>
      <w:szCs w:val="24"/>
    </w:rPr>
  </w:style>
  <w:style w:type="character" w:styleId="a5">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2855</Words>
  <Characters>16278</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ДИСКРЕДИТАЦИЯ СВИДЕТЕЛЯ КАК ЭЛЕМЕНТ ПЕРЕКРЕСТНОГО ДОПРОСА В УГОЛОВНОМ ПРОЦЕССЕ США</vt:lpstr>
    </vt:vector>
  </TitlesOfParts>
  <Company>ОАО "НЭК"</Company>
  <LinksUpToDate>false</LinksUpToDate>
  <CharactersWithSpaces>19095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ДИСКРЕДИТАЦИЯ СВИДЕТЕЛЯ КАК ЭЛЕМЕНТ ПЕРЕКРЕСТНОГО ДОПРОСА В УГОЛОВНОМ ПРОЦЕССЕ США</dc:title>
  <dc:subject/>
  <dc:creator>refersb</dc:creator>
  <cp:keywords/>
  <dc:description/>
  <cp:lastModifiedBy>admin</cp:lastModifiedBy>
  <cp:revision>2</cp:revision>
  <dcterms:created xsi:type="dcterms:W3CDTF">2014-03-06T01:44:00Z</dcterms:created>
  <dcterms:modified xsi:type="dcterms:W3CDTF">2014-03-06T01:44:00Z</dcterms:modified>
</cp:coreProperties>
</file>