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DFD" w:rsidRDefault="00E33DFD">
      <w:pPr>
        <w:spacing w:line="360" w:lineRule="auto"/>
        <w:rPr>
          <w:b/>
          <w:sz w:val="28"/>
        </w:rPr>
      </w:pPr>
      <w:r>
        <w:rPr>
          <w:b/>
          <w:sz w:val="28"/>
        </w:rPr>
        <w:t>Глава №1: Значение нефтяной промышленности в экономике страны.</w:t>
      </w:r>
    </w:p>
    <w:p w:rsidR="00E33DFD" w:rsidRDefault="00E33DFD">
      <w:pPr>
        <w:spacing w:line="360" w:lineRule="auto"/>
        <w:rPr>
          <w:b/>
          <w:sz w:val="28"/>
        </w:rPr>
      </w:pPr>
      <w:r>
        <w:rPr>
          <w:b/>
          <w:sz w:val="28"/>
        </w:rPr>
        <w:tab/>
      </w:r>
      <w:r>
        <w:rPr>
          <w:sz w:val="28"/>
        </w:rPr>
        <w:t xml:space="preserve">Нефтяная промышленность России в последние годы переживает глубокий спад. Добыча нефти и газового конденсата сократилась по сравнению с 1990 г. более чем на 40%. При этом отрасль продолжает обеспечивать как внутренние потребности страны, так и экспорт. Несмотря на современное кризисное состояние нефтяной промышленности Россия остается одним из крупнейших в мире производителей, потребителей и экспортеров нефти и продолжает сохранять важные позиции на мировом рынке, занимая третье место в мире по добыче нефти. </w:t>
      </w:r>
    </w:p>
    <w:p w:rsidR="00E33DFD" w:rsidRDefault="00E33DFD">
      <w:pPr>
        <w:spacing w:line="360" w:lineRule="auto"/>
        <w:rPr>
          <w:sz w:val="28"/>
        </w:rPr>
      </w:pPr>
      <w:r>
        <w:rPr>
          <w:sz w:val="28"/>
        </w:rPr>
        <w:tab/>
        <w:t xml:space="preserve">В настоящее время такой вид топлива, как нефть, имеет уникальное и огромное значение. Нефтяная промышленность — это крупный народнохозяйственный комплекс, который живет и развивается по своим закономерностям. Нефть — наше национальное богатство, источник могущества страны, фундамент ее экономики.  </w:t>
      </w:r>
    </w:p>
    <w:p w:rsidR="00E33DFD" w:rsidRDefault="00E33DFD">
      <w:pPr>
        <w:spacing w:line="360" w:lineRule="auto"/>
        <w:rPr>
          <w:sz w:val="28"/>
        </w:rPr>
      </w:pPr>
      <w:r>
        <w:rPr>
          <w:sz w:val="28"/>
        </w:rPr>
        <w:tab/>
        <w:t>Значение нефти в народном хозяйстве велико: это сырье для нефтехимии в производстве синтетического каучука, спиртов, полиэтилена, широкой гаммы различных пластмасс и готовых изделий из них, искусственных тканей; источник для выработки моторных топлив (бензина, керосина, дизельного и реактивных топлив), масел и смазок, а также котельного печного топлива (мазут), строительных</w:t>
      </w:r>
    </w:p>
    <w:p w:rsidR="00E33DFD" w:rsidRDefault="00E33DFD">
      <w:pPr>
        <w:spacing w:line="360" w:lineRule="auto"/>
        <w:rPr>
          <w:sz w:val="28"/>
        </w:rPr>
      </w:pPr>
      <w:r>
        <w:rPr>
          <w:sz w:val="28"/>
        </w:rPr>
        <w:t>материалов (битумы, гудрон, асфальт); сырье для получения ряда белковых препаратов, используемых  в качестве  добавок в корм скоту для стимуляции  его роста.</w:t>
      </w:r>
    </w:p>
    <w:p w:rsidR="00E33DFD" w:rsidRDefault="00E33DFD">
      <w:pPr>
        <w:spacing w:line="360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Россия — единственная среди крупных промышленно развитых  стран мира, которая не только полностью обеспечена нефтью, но и в значительной мере экспортирует топливо. Велика ее доля в мировом балансе топливно-энергетических ресурсов, например по разведанным запасам нефти — около 10%.</w:t>
      </w:r>
    </w:p>
    <w:p w:rsidR="00E33DFD" w:rsidRDefault="00E33DFD">
      <w:pPr>
        <w:spacing w:line="360" w:lineRule="auto"/>
        <w:rPr>
          <w:sz w:val="28"/>
        </w:rPr>
      </w:pPr>
      <w:r>
        <w:rPr>
          <w:sz w:val="28"/>
        </w:rPr>
        <w:tab/>
        <w:t>Для России, как и для большинства стран-экспортеров, нефть — один из важнейших источников валютных поступлений. Удельный вес экспорта нефти и нефтепродуктов в общей валютной выручке страны составляет приблизительно 27%. Роль нефтяного комплекса России как источника бюджетных поступлений постоянно растет. На экспорт поставляются 2/5 добываемой в стране нефти и 1/3 от производимых нефтепродуктов. На долю крупных нефтяных компаний приходится около 80% добычи нефти в стране, а доля экспорта в 1998 г. возросла до 34.1%. В 1998 г. по сравнению с 1997 г. доля экспорта совместных предприятий сократилась с 57.2 до 48.7%.</w:t>
      </w:r>
    </w:p>
    <w:p w:rsidR="00E33DFD" w:rsidRDefault="00E33DFD">
      <w:pPr>
        <w:spacing w:line="360" w:lineRule="auto"/>
        <w:rPr>
          <w:sz w:val="28"/>
        </w:rPr>
      </w:pPr>
      <w:r>
        <w:rPr>
          <w:sz w:val="28"/>
        </w:rPr>
        <w:tab/>
        <w:t>Если в 1994 г. Комплекс обеспечивал около 6% бюджетных поступлений, то в 1995 г. Бюджетная доля комплекса возросла до 13%, в 1996г. — до 16%, в 1997 — 1998гг. — до 22%. Нефтяная промышленность в 1997г. обеспечила 25% валютных поступлений страны. При этом добыча нефти , (с газовым конденсатом) соответственно составляла в 1994г. — 318 млн. т. , в 1996г. — 301 млн. т. , в 1997г. — 306 млн. т. . В 1998г. ожидается добыча нефти на уровне 290 — 296 млн. т. .</w:t>
      </w:r>
    </w:p>
    <w:p w:rsidR="00E33DFD" w:rsidRDefault="00E33DFD">
      <w:pPr>
        <w:spacing w:line="360" w:lineRule="auto"/>
        <w:rPr>
          <w:sz w:val="28"/>
        </w:rPr>
      </w:pPr>
      <w:r>
        <w:rPr>
          <w:sz w:val="28"/>
        </w:rPr>
        <w:tab/>
        <w:t>Таким образом бюджетный вклад нефтяного комплекса за  четыре года вырос в 3.5 раза, в то время как добыча нефти не только не увеличилась, но и сократилась более чем на 5% . Это значит, что последние пять лет характеризуются постоянным  существенным, даже многократным ростом налоговой нагрузки на нефтяной комплекс. Здесь важно сделать главный вывод — за пять лет из нефтяного комплекса выжито все , что можно, и больше, чем нужно.</w:t>
      </w:r>
    </w:p>
    <w:p w:rsidR="00E33DFD" w:rsidRDefault="00E33DFD">
      <w:pPr>
        <w:spacing w:line="360" w:lineRule="auto"/>
        <w:rPr>
          <w:b/>
          <w:sz w:val="28"/>
        </w:rPr>
      </w:pPr>
      <w:r>
        <w:rPr>
          <w:b/>
          <w:sz w:val="28"/>
        </w:rPr>
        <w:t>Глава №2:Особенности и факторы размещения нефтяной промышленности. Сырьевые базы некоторых экономических районов.</w:t>
      </w:r>
    </w:p>
    <w:p w:rsidR="00E33DFD" w:rsidRDefault="00E33DFD">
      <w:pPr>
        <w:spacing w:line="360" w:lineRule="auto"/>
        <w:rPr>
          <w:sz w:val="28"/>
        </w:rPr>
      </w:pPr>
      <w:r>
        <w:rPr>
          <w:sz w:val="28"/>
        </w:rPr>
        <w:tab/>
        <w:t>Россия относится к немногим странам мира, имеющим возможность в течение длительного времени развивать крупномасштабную нефтяную промышленность, полностью ориентируясь на собственные природные ресурсы . Хотя из ее недр уже извлечено свыше 14 млрд. т. нефти, Россия и сегодня находится в числе крупнейших производителей и экспортеров нефти. Нефтяной потенциал России реализован менее чем наполовину и сохраняются значительные резервы для обеспечения долгосрочных потребностей промышленности. В России в 1990 г. добыча нефти составила 516 млн. т., в 1996 г. — 301 млн. т.. (</w:t>
      </w:r>
      <w:r>
        <w:rPr>
          <w:b/>
          <w:sz w:val="28"/>
        </w:rPr>
        <w:t>См. Приложение №2)</w:t>
      </w:r>
      <w:r>
        <w:rPr>
          <w:sz w:val="28"/>
        </w:rPr>
        <w:t xml:space="preserve">  </w:t>
      </w:r>
    </w:p>
    <w:p w:rsidR="00E33DFD" w:rsidRDefault="00E33DFD">
      <w:pPr>
        <w:spacing w:line="360" w:lineRule="auto"/>
        <w:rPr>
          <w:sz w:val="28"/>
        </w:rPr>
      </w:pPr>
      <w:r>
        <w:rPr>
          <w:sz w:val="28"/>
        </w:rPr>
        <w:tab/>
        <w:t xml:space="preserve">Ниже кратко рассмотрим основные характеристики сырьевой базой нефтяной промышленности субъектов Российской Федерации.  В силу специфики геологических условий каждая из этих территорий имеет индивидуальную направленность геологоразведочных работ  и сопутствующие технико-экономические проблемы. </w:t>
      </w:r>
    </w:p>
    <w:p w:rsidR="00E33DFD" w:rsidRDefault="00E33DFD">
      <w:pPr>
        <w:spacing w:line="360" w:lineRule="auto"/>
        <w:rPr>
          <w:b/>
          <w:sz w:val="28"/>
        </w:rPr>
      </w:pPr>
      <w:r>
        <w:rPr>
          <w:sz w:val="28"/>
        </w:rPr>
        <w:tab/>
      </w:r>
      <w:r>
        <w:rPr>
          <w:b/>
          <w:sz w:val="28"/>
        </w:rPr>
        <w:t>А) Западная Сибирь:</w:t>
      </w:r>
    </w:p>
    <w:p w:rsidR="00E33DFD" w:rsidRDefault="00E33DFD">
      <w:pPr>
        <w:spacing w:line="360" w:lineRule="auto"/>
        <w:ind w:firstLine="720"/>
        <w:rPr>
          <w:sz w:val="28"/>
        </w:rPr>
      </w:pPr>
      <w:r>
        <w:rPr>
          <w:sz w:val="28"/>
        </w:rPr>
        <w:t>Крупнейший нефтеносный и нефтедобывающий район России включая территорию Тюменской, Томской, Новосибирской и Омской областей, Ханты-Мансийского и Ямало-Ненецкого автономных округов , а также прилегающий шельф Карского моря. Добыча нефти ведется с 1964 г., когда почти одновременно были введены в разработку Трехозерное, Мегионское и Усть-Балыкское месторождения.</w:t>
      </w:r>
    </w:p>
    <w:p w:rsidR="00E33DFD" w:rsidRDefault="00E33DFD">
      <w:pPr>
        <w:spacing w:line="360" w:lineRule="auto"/>
        <w:ind w:firstLine="720"/>
        <w:rPr>
          <w:sz w:val="28"/>
        </w:rPr>
      </w:pPr>
      <w:r>
        <w:rPr>
          <w:sz w:val="28"/>
        </w:rPr>
        <w:t>Важнейшая особенность сырьевой базы нефти Западной Сибири заключается в исключительно благоприятной структуре разведанных запасов. Главный фактор — высокая концентрация запасов в крупных и крупнейших месторождениях (Самотлорском, Федоровском и др.).</w:t>
      </w:r>
    </w:p>
    <w:p w:rsidR="00E33DFD" w:rsidRDefault="00E33DFD">
      <w:pPr>
        <w:spacing w:line="360" w:lineRule="auto"/>
        <w:ind w:firstLine="720"/>
        <w:rPr>
          <w:sz w:val="28"/>
        </w:rPr>
      </w:pPr>
      <w:r>
        <w:rPr>
          <w:sz w:val="28"/>
        </w:rPr>
        <w:t>Ханты-Мансийский автономный округ — богатейший нефтяной регион Западной Сибири и России в целом, он производит 2/3 добываемой в стране нефти и имеет развитую инфраструктуру. В его пределах открыто 273 месторождения нефти, из которых 120 введено в разработку. Важнейшую роль в сырьевой базе играют крупнейшие (9) и крупные (77) месторождения, в которых заключено 90% разведанных запасов нефти. В результате многолетней интенсивной обработки многие из этих месторождений, в том числе крупнейшее в стране Самотлорское , в значительной степени выработаны и обводнены на 80-90%.</w:t>
      </w:r>
    </w:p>
    <w:p w:rsidR="00E33DFD" w:rsidRDefault="00E33DFD">
      <w:pPr>
        <w:spacing w:line="360" w:lineRule="auto"/>
        <w:ind w:firstLine="720"/>
        <w:rPr>
          <w:sz w:val="28"/>
        </w:rPr>
      </w:pPr>
      <w:r>
        <w:rPr>
          <w:sz w:val="28"/>
        </w:rPr>
        <w:t>Ямало-Ненецкий автономный округ также характеризуется крупнейшими запасами и ресурсами нефти, но по сравнению с Ханты-Мансийским автономным округом структура последнего сложнее, так как преобладающую роль имеет нефть высокой плотности и вязкости (Русское, Северо-Комсомольское, Тазовское, Западно-Мессояховское месторождения).</w:t>
      </w:r>
    </w:p>
    <w:p w:rsidR="00E33DFD" w:rsidRDefault="00E33DFD">
      <w:pPr>
        <w:spacing w:line="360" w:lineRule="auto"/>
        <w:ind w:firstLine="720"/>
        <w:rPr>
          <w:sz w:val="28"/>
        </w:rPr>
      </w:pPr>
      <w:r>
        <w:rPr>
          <w:sz w:val="28"/>
        </w:rPr>
        <w:t>Томская область образует третий по значению центр нефтедобывающей промышленности Западной Сибири, обладающий развитой сырьевой базой и нефтяной инфраструктурой. В разработку вовлечено 18 из 84 нефтяных месторождений, в том числе все крупные (Советское, Первомайское, Лугинецкое, Игольско-Талое). Средняя выработанность начальных запасов открытых месторождений составляет 30%, а перечисленных крупных месторождений 17-58%. Неразведанные ресурсы нефти в Томской области превышают согласно геологическому прогнозу уже разведанные запасы в 1.8 раза, что создает возможность многолетней сырьевой обеспеченности нефтедобывающих предприятий.</w:t>
      </w:r>
    </w:p>
    <w:p w:rsidR="00E33DFD" w:rsidRDefault="00E33DFD">
      <w:pPr>
        <w:spacing w:line="360" w:lineRule="auto"/>
        <w:ind w:firstLine="720"/>
        <w:rPr>
          <w:sz w:val="28"/>
        </w:rPr>
      </w:pPr>
      <w:r>
        <w:rPr>
          <w:sz w:val="28"/>
        </w:rPr>
        <w:t>Остальные административно-территориальные субъекты Западной Сибири (юг Тюменской, а также Новосибирская и Омская области) играют незначительную роль в региональном балансе запасов и добычи нефти Западной Сибири. В трех областях открыто 16 небольших месторождений, из которых только три  — Кальчинское в Тюменской области, Прирахтовское в Омской и Малоичское в Новосибирской областях — находятся в промышленной или опытной разработке. Геологические перспективы развития сырьевой базы в целом незначительны.</w:t>
      </w:r>
    </w:p>
    <w:p w:rsidR="00E33DFD" w:rsidRDefault="00E33DFD">
      <w:pPr>
        <w:spacing w:line="360" w:lineRule="auto"/>
        <w:ind w:firstLine="720"/>
        <w:rPr>
          <w:b/>
          <w:sz w:val="28"/>
        </w:rPr>
      </w:pPr>
      <w:r>
        <w:rPr>
          <w:b/>
          <w:sz w:val="28"/>
        </w:rPr>
        <w:t>Б) Уральский и Поволжский районы:</w:t>
      </w:r>
    </w:p>
    <w:p w:rsidR="00E33DFD" w:rsidRDefault="00E33DFD">
      <w:pPr>
        <w:spacing w:line="360" w:lineRule="auto"/>
        <w:ind w:firstLine="720"/>
        <w:rPr>
          <w:sz w:val="28"/>
        </w:rPr>
      </w:pPr>
      <w:r>
        <w:rPr>
          <w:sz w:val="28"/>
        </w:rPr>
        <w:t>Эти районы, объединяющие ряд республик и областей Приуралья, Среднего и Нижнего Поволжья, составляют второй по значению (после Западной Сибири) крупнейший нефтедобывающий центр России, известный как Урало-Поволжье или второе Баку.</w:t>
      </w:r>
    </w:p>
    <w:p w:rsidR="00E33DFD" w:rsidRDefault="00E33DFD">
      <w:pPr>
        <w:spacing w:line="360" w:lineRule="auto"/>
        <w:ind w:firstLine="720"/>
        <w:rPr>
          <w:sz w:val="28"/>
        </w:rPr>
      </w:pPr>
      <w:r>
        <w:rPr>
          <w:sz w:val="28"/>
        </w:rPr>
        <w:t>Для Урало-Поволжья характерно наличие большой группы крупнейших нефтяных месторождений, включая Ромашкинское, Арланское, Туймазинское, Мухановское, Шкаповское, Кулешовское, Батырбайское и др.. В течение длительного времени, начиная с 40-50-х гг., они интенсивно отрабатываются с высокой эффективностью.</w:t>
      </w:r>
    </w:p>
    <w:p w:rsidR="00E33DFD" w:rsidRDefault="00E33DFD">
      <w:pPr>
        <w:spacing w:line="360" w:lineRule="auto"/>
        <w:ind w:firstLine="720"/>
        <w:rPr>
          <w:sz w:val="28"/>
        </w:rPr>
      </w:pPr>
      <w:r>
        <w:rPr>
          <w:sz w:val="28"/>
        </w:rPr>
        <w:t>Республики Татарстан и Башкортостан являются центрами нефтяной промышленности Урала-Поволжья, на долю которых приходится 65% добычи нефти. Для обеспечения республик характерны высокая степень освоения месторождений и общий остаточный характер сохраняющихся запасов и ресурсов.</w:t>
      </w:r>
    </w:p>
    <w:p w:rsidR="00E33DFD" w:rsidRDefault="00E33DFD">
      <w:pPr>
        <w:spacing w:line="360" w:lineRule="auto"/>
        <w:ind w:firstLine="720"/>
        <w:rPr>
          <w:sz w:val="28"/>
        </w:rPr>
      </w:pPr>
      <w:r>
        <w:rPr>
          <w:sz w:val="28"/>
        </w:rPr>
        <w:t>В Татарстане в разработку вовлечено 87% разведочных запасов при средней выработанности открытых месторождений на 67%, в том числе по крупнейшим: Ромашкинскому, Ново-Елховскому и Бавлинскому — на 73-85%. Уже длительное время подготовка запасов нефти осуществляется за счет мелких месторождений и нефти ухудшенного качества. Неразведанные ресурсы нефти в Татарстане оцениваются в 500 млн. т., некоторые перспективы связываются с малоизученными западными ее районами.</w:t>
      </w:r>
    </w:p>
    <w:p w:rsidR="00E33DFD" w:rsidRDefault="00E33DFD">
      <w:pPr>
        <w:spacing w:line="360" w:lineRule="auto"/>
        <w:ind w:firstLine="720"/>
        <w:rPr>
          <w:sz w:val="28"/>
        </w:rPr>
      </w:pPr>
      <w:r>
        <w:rPr>
          <w:sz w:val="28"/>
        </w:rPr>
        <w:t>В Башкортостане разрабатываются 146 из 158 открытых месторождений, включающих 98.4% разведанных запасов нефти. Средняя выработанность начальных запасов месторождений составляет 78%, в том числе по крупнейшим: Арланскому, Туймазинскому и Шкаповскому — 79-95%. Неразведанные запасы нефти в республике оцениваются в 385 млн. т..</w:t>
      </w:r>
    </w:p>
    <w:p w:rsidR="00E33DFD" w:rsidRDefault="00E33DFD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Самарская область — одна из наиболее забуренных глубокими скважинами частей Урало-Поволжья. К 1995 г. объем буровых работ здесь достиг 9.2 млн. т., что составляет в среднем 172 т/км перспективной территории. При такой изученности потенциал нефтеносности Самарской области реализован почти на 80%, сохраняя лишь перспективы небольших открытий. В разработку вовлечены 101 из 145 месторождений, в них заключено 92.7% разведанных запасов нефти. </w:t>
      </w:r>
    </w:p>
    <w:p w:rsidR="00E33DFD" w:rsidRDefault="00E33DFD">
      <w:pPr>
        <w:spacing w:line="360" w:lineRule="auto"/>
        <w:ind w:firstLine="720"/>
        <w:rPr>
          <w:sz w:val="28"/>
        </w:rPr>
      </w:pPr>
      <w:r>
        <w:rPr>
          <w:sz w:val="28"/>
        </w:rPr>
        <w:t>Пермская и Оренбургская области также относятся к «старым» нефтедобывающим районам Урало-Поволжья, но отличаются от рассмотренных выше более благоприятными показателями сырьевой базы. Прежде всего это относится к Оренбургской области, где запасы открытых месторождений превышают существующий уровень добычи нефти почти в 60 раз, а перспективные и прогнозные ресурсы нефти наиболее значительны в Урало-Поволжье.</w:t>
      </w:r>
    </w:p>
    <w:p w:rsidR="00E33DFD" w:rsidRDefault="00E33DFD">
      <w:pPr>
        <w:spacing w:line="360" w:lineRule="auto"/>
        <w:ind w:firstLine="720"/>
        <w:rPr>
          <w:sz w:val="28"/>
        </w:rPr>
      </w:pPr>
      <w:r>
        <w:rPr>
          <w:sz w:val="28"/>
        </w:rPr>
        <w:t>К настоящему времени в Оренбургской области открыто 178 нефтяных месторождений, из которых 82 разрабатываются; доля последних в объеме текущих запасов нефти 75%. Выработанность начальных запасов открытых месторождений составляет 37%, по отдельным месторождениям она достигает 73% (Бобровское) и 68% (Покровское). В то же время наиболее крупные в области залежи нефти нефтяной оторочке Оренбургского газоконденсатного месторождения (запасы 85 млн. т.) находится только в начальной стадии освоения, хотя имеет высокую конкурентоспособность по отношению к другим нефтяным месторождениям Оренбургской области.</w:t>
      </w:r>
    </w:p>
    <w:p w:rsidR="00E33DFD" w:rsidRDefault="00E33DFD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В Пермской области открыто 163 нефтяных месторождения, из которых 98 разрабатываются. Большая группа месторождений (4) находится в длительной консервации по экономическим причинам. В разрабатываемых месторождениях сосредоточено 92% разведанных запасов. Средняя по области выработанность запасов составляет 50%, в том числе по основным месторождениям: Ярино-Каменоложскому —90%, Павловскому — 37%, Батырбайскому —58%, Осинскому —52%.   </w:t>
      </w:r>
    </w:p>
    <w:p w:rsidR="00E33DFD" w:rsidRDefault="00E33DFD">
      <w:pPr>
        <w:spacing w:line="360" w:lineRule="auto"/>
        <w:ind w:firstLine="720"/>
        <w:rPr>
          <w:sz w:val="28"/>
        </w:rPr>
      </w:pPr>
      <w:r>
        <w:rPr>
          <w:sz w:val="28"/>
        </w:rPr>
        <w:t>Перечень основных нефтедобывающих центров Урало-Поволжья завершает Республика Удмуртия, которая стала осваиваться значительно позже всех рассмотренных выше, вследствие чего выработанность запасов открытых нефтяных месторождений является наименьшей (30%). Разрабатываются 23 из 67 месторождений, в том числе все крупные (Чутырско-Киенгопское, Мишкинское и Ельниковское). Относительно низкий темп освоения запасов нефти в республике во многом объясняется сложностью структуры запасов, где преобладает тяжелая нефть (83%).</w:t>
      </w:r>
    </w:p>
    <w:p w:rsidR="00E33DFD" w:rsidRDefault="00E33DFD">
      <w:pPr>
        <w:spacing w:line="360" w:lineRule="auto"/>
        <w:ind w:firstLine="720"/>
        <w:rPr>
          <w:sz w:val="28"/>
        </w:rPr>
      </w:pPr>
      <w:r>
        <w:rPr>
          <w:sz w:val="28"/>
        </w:rPr>
        <w:t>Остальные районы играют резко подчиненную роль в запасах (5%) и добыче (3%) нефти Урало-Поволжья, что связано с отсутствием крупных высококачественных месторождений. Так, в Ульяновской области открыто 41 нефтяное месторождение, но их общий запас составляют лишь 31 млн. т., причем они представлены тяжелой и высоковязкой нефтью.</w:t>
      </w:r>
    </w:p>
    <w:p w:rsidR="00E33DFD" w:rsidRDefault="00E33DFD">
      <w:pPr>
        <w:spacing w:line="360" w:lineRule="auto"/>
        <w:ind w:firstLine="720"/>
        <w:rPr>
          <w:sz w:val="28"/>
        </w:rPr>
      </w:pPr>
      <w:r>
        <w:rPr>
          <w:sz w:val="28"/>
        </w:rPr>
        <w:t>Для Саратовской и Волгоградской областей характерны трудности «старых» районов, обусловленные физическим исчерпанием основных запасов. В Саратовской области в разработку вовлечено 92% разведанных запасов, в Волгоградской области — 94%. Выработанность начальных запасов открытых месторождений составляет соответственно 62 и 78%, в том числе по наиболее крупным: Соколовогорскому, Коробковскому, Жирновскому и Бахметьевскому — от 90 до 97%.</w:t>
      </w:r>
    </w:p>
    <w:p w:rsidR="00E33DFD" w:rsidRDefault="00E33DFD">
      <w:pPr>
        <w:spacing w:line="360" w:lineRule="auto"/>
        <w:ind w:firstLine="720"/>
        <w:rPr>
          <w:sz w:val="28"/>
        </w:rPr>
      </w:pPr>
      <w:r>
        <w:rPr>
          <w:sz w:val="28"/>
        </w:rPr>
        <w:t>Обособленное положение в Поволжском районе занимает Республика Калмыкия, которая принадлежит нескольким нефтегазоносным провинциям: Волго-Уральской, Прикаспийской, Северокавказской, Днепровско-Припятской. За годы проведения геологоразведочных работ (с 1951 г.) в Республике открыто 28 и разрабатывается 20 нефтяных месторождений, но объемы подготовленных запасов и добычи нефти небольшие.</w:t>
      </w:r>
    </w:p>
    <w:p w:rsidR="00E33DFD" w:rsidRDefault="00E33DFD">
      <w:pPr>
        <w:spacing w:line="360" w:lineRule="auto"/>
        <w:ind w:firstLine="720"/>
        <w:rPr>
          <w:sz w:val="28"/>
        </w:rPr>
      </w:pPr>
      <w:r>
        <w:rPr>
          <w:b/>
          <w:sz w:val="28"/>
        </w:rPr>
        <w:t>В) Европейский Север:</w:t>
      </w:r>
    </w:p>
    <w:p w:rsidR="00E33DFD" w:rsidRDefault="00E33DFD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Включает территорию Республики Коми, Архангельской области и Ненецкого автономного округа, а также прилегающий шельф Баренцева моря. Площадь нефтегазоносной и перспективной территории составляет 331.8 тыс. км.. Пик добычи был достигнут в 1983 г. (19.2 млн. т.), в 1994 г. она составила 9.7млн. т.. </w:t>
      </w:r>
    </w:p>
    <w:p w:rsidR="00E33DFD" w:rsidRDefault="00E33DFD">
      <w:pPr>
        <w:spacing w:line="360" w:lineRule="auto"/>
        <w:ind w:firstLine="720"/>
        <w:rPr>
          <w:sz w:val="28"/>
        </w:rPr>
      </w:pPr>
      <w:r>
        <w:rPr>
          <w:sz w:val="28"/>
        </w:rPr>
        <w:t>Северный район в основном соответствует Тимано-Печорской нефтегазоносной провинции, которая представляет собой обширную область на северо-востоке Европейской части России. Ее площадь составляет около 350 тыс. км</w:t>
      </w:r>
      <w:r>
        <w:rPr>
          <w:sz w:val="28"/>
          <w:vertAlign w:val="superscript"/>
        </w:rPr>
        <w:t>2</w:t>
      </w:r>
      <w:r>
        <w:rPr>
          <w:sz w:val="28"/>
        </w:rPr>
        <w:t>. В географическом плане Тимано-Печорский бассейн имеет форму треугольника: на востоке его ограничивают горы Урала — Пай-Хоя, на юго-западе — Тиманская гряда, на севере он сочленяется с Южно-Баренцевской впадиной.</w:t>
      </w:r>
    </w:p>
    <w:p w:rsidR="00E33DFD" w:rsidRDefault="00E33DFD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Сухопутная часть Тимано-Печорской провинции расположена в Республике Коми и Ненецком автономном округе (НАО). Месторождения, находящиеся в Коми, достаточно разведаны, наиболее изученные из них разрабатываются АО «Коми ТЭК». Шельфовая зона Тимано-Печоры изучена в меньшей степени. На долю Ненецкого АО сегодня приходится 52.7% начальных суммарных ресурсов этой нефтяной провинции. Успешное развитие нефтегазопоисковых работ в данном районе вывело Тимано-Печору на третье место по запасам нефти в России после Западно-Сибирского и Волго-Уральского бассейнов.        </w:t>
      </w:r>
    </w:p>
    <w:p w:rsidR="00E33DFD" w:rsidRDefault="00E33DFD">
      <w:pPr>
        <w:spacing w:line="360" w:lineRule="auto"/>
        <w:ind w:firstLine="720"/>
        <w:rPr>
          <w:sz w:val="28"/>
        </w:rPr>
      </w:pPr>
      <w:r>
        <w:rPr>
          <w:sz w:val="28"/>
        </w:rPr>
        <w:t>Имеются значительные различия в состоянии сырьевой базы нефтяной промышленности Республики Коми, Архангельской области и Ненецкого автономного округа.</w:t>
      </w:r>
    </w:p>
    <w:p w:rsidR="00E33DFD" w:rsidRDefault="00E33DFD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Республика Коми характеризуется многолетней историей поисков, разведки и разработки нефтяных месторождений. К 1995 г. здесь открыты 82 нефтяных месторождения, из которых 31 разрабатывается. Открытые месторождения выработаны в среднем на 41%, в том числе крупнейшие (Устинское и Возейское) на 61% и 64% соответственно.  </w:t>
      </w:r>
    </w:p>
    <w:p w:rsidR="00E33DFD" w:rsidRDefault="00E33DFD">
      <w:pPr>
        <w:spacing w:line="360" w:lineRule="auto"/>
        <w:ind w:firstLine="720"/>
        <w:rPr>
          <w:sz w:val="28"/>
        </w:rPr>
      </w:pPr>
      <w:r>
        <w:rPr>
          <w:sz w:val="28"/>
        </w:rPr>
        <w:t>Наиболее «старый» нефтедобывающий район (Ухтинский) находится на юге Республики Коми. Основные месторождения (Ярегское, Западно-Тэбукское, Пашинское), первое из них является единственным в России, где применяется шахтный способ разработки тяжелой нефти.</w:t>
      </w:r>
    </w:p>
    <w:p w:rsidR="00E33DFD" w:rsidRDefault="00E33DFD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Главный на сегодня нефтедобывающий район сформировался на базе Усинского, Возейского и ряда смежных месторождений севера Республики Коми, которые отличаются наибольшим разнообразием геологического строения. </w:t>
      </w:r>
    </w:p>
    <w:p w:rsidR="00E33DFD" w:rsidRDefault="00E33DFD">
      <w:pPr>
        <w:spacing w:line="360" w:lineRule="auto"/>
        <w:ind w:firstLine="720"/>
        <w:rPr>
          <w:sz w:val="28"/>
        </w:rPr>
      </w:pPr>
      <w:r>
        <w:rPr>
          <w:sz w:val="28"/>
        </w:rPr>
        <w:t>В резерве нефтедобывающих предприятий Республики Коми находится ряд достаточно крупных нефтяных месторождений: Сандивейское (20.5 млн. т.), Среднемакринское (20.2 млн. т.), Южно-Лыжское (15 млн. т.) и др.</w:t>
      </w:r>
    </w:p>
    <w:p w:rsidR="00E33DFD" w:rsidRDefault="00E33DFD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  Ненецкий автономный округ характеризуется существенно меньшей степенью промышленного освоения. Из 73 нефтяных месторождений разрабатываются лишь два (Хярьягинское и Ардалинское) при 15 подготовленных к разработке и 55 разведываемых. За время разработки (с 1988 г.) из этих двух  месторождений добыто 9 млн. т..</w:t>
      </w:r>
    </w:p>
    <w:p w:rsidR="00E33DFD" w:rsidRDefault="00E33DFD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С сырьевой базой Европейского Севера тесно связаны проблемы разведки и освоения нефти в прибрежной части Баренцева моря. Здесь открыты крупное Приразломное и среднее по запасам Северо-Гуляевское месторождение, которые по положению в разрезе и структурным особенностям близки к месторождениям, открытым на суше.  </w:t>
      </w:r>
    </w:p>
    <w:p w:rsidR="00E33DFD" w:rsidRDefault="00E33DFD">
      <w:pPr>
        <w:spacing w:line="360" w:lineRule="auto"/>
        <w:ind w:firstLine="720"/>
        <w:rPr>
          <w:sz w:val="28"/>
        </w:rPr>
      </w:pPr>
    </w:p>
    <w:p w:rsidR="00E33DFD" w:rsidRDefault="00E33DFD">
      <w:pPr>
        <w:spacing w:line="360" w:lineRule="auto"/>
        <w:ind w:firstLine="720"/>
        <w:rPr>
          <w:sz w:val="28"/>
        </w:rPr>
      </w:pPr>
    </w:p>
    <w:p w:rsidR="00E33DFD" w:rsidRDefault="00E33DFD">
      <w:pPr>
        <w:spacing w:line="360" w:lineRule="auto"/>
        <w:ind w:firstLine="720"/>
        <w:rPr>
          <w:b/>
          <w:sz w:val="28"/>
        </w:rPr>
      </w:pPr>
      <w:r>
        <w:rPr>
          <w:b/>
          <w:sz w:val="28"/>
        </w:rPr>
        <w:t>Глава №3 : Переработка и транспортировка нефти в России.</w:t>
      </w:r>
    </w:p>
    <w:p w:rsidR="00E33DFD" w:rsidRDefault="00E33DFD">
      <w:pPr>
        <w:pStyle w:val="a3"/>
        <w:spacing w:line="360" w:lineRule="auto"/>
        <w:rPr>
          <w:sz w:val="28"/>
        </w:rPr>
      </w:pPr>
      <w:r>
        <w:rPr>
          <w:b/>
          <w:sz w:val="28"/>
        </w:rPr>
        <w:t>Нефтепереработка.</w:t>
      </w:r>
    </w:p>
    <w:p w:rsidR="00E33DFD" w:rsidRDefault="00E33DFD">
      <w:pPr>
        <w:pStyle w:val="a3"/>
        <w:spacing w:line="360" w:lineRule="auto"/>
        <w:rPr>
          <w:sz w:val="28"/>
        </w:rPr>
      </w:pPr>
      <w:r>
        <w:rPr>
          <w:sz w:val="28"/>
        </w:rPr>
        <w:t>Мировой энергетический баланс 20 века.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1731"/>
        <w:gridCol w:w="906"/>
        <w:gridCol w:w="906"/>
        <w:gridCol w:w="906"/>
      </w:tblGrid>
      <w:tr w:rsidR="00E33DFD">
        <w:tc>
          <w:tcPr>
            <w:tcW w:w="1731" w:type="dxa"/>
            <w:tcBorders>
              <w:top w:val="single" w:sz="12" w:space="0" w:color="808080"/>
              <w:bottom w:val="single" w:sz="6" w:space="0" w:color="808080"/>
            </w:tcBorders>
          </w:tcPr>
          <w:p w:rsidR="00E33DFD" w:rsidRDefault="00E33DFD">
            <w:pPr>
              <w:pStyle w:val="a3"/>
              <w:spacing w:line="360" w:lineRule="auto"/>
              <w:rPr>
                <w:sz w:val="28"/>
              </w:rPr>
            </w:pPr>
          </w:p>
        </w:tc>
        <w:tc>
          <w:tcPr>
            <w:tcW w:w="906" w:type="dxa"/>
            <w:tcBorders>
              <w:top w:val="single" w:sz="12" w:space="0" w:color="808080"/>
              <w:bottom w:val="single" w:sz="6" w:space="0" w:color="808080"/>
            </w:tcBorders>
          </w:tcPr>
          <w:p w:rsidR="00E33DFD" w:rsidRDefault="00E33DFD">
            <w:pPr>
              <w:pStyle w:val="a3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1900</w:t>
            </w:r>
          </w:p>
        </w:tc>
        <w:tc>
          <w:tcPr>
            <w:tcW w:w="906" w:type="dxa"/>
            <w:tcBorders>
              <w:top w:val="single" w:sz="12" w:space="0" w:color="808080"/>
              <w:bottom w:val="single" w:sz="6" w:space="0" w:color="808080"/>
            </w:tcBorders>
          </w:tcPr>
          <w:p w:rsidR="00E33DFD" w:rsidRDefault="00E33DFD">
            <w:pPr>
              <w:pStyle w:val="a3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1950</w:t>
            </w:r>
          </w:p>
        </w:tc>
        <w:tc>
          <w:tcPr>
            <w:tcW w:w="906" w:type="dxa"/>
            <w:tcBorders>
              <w:top w:val="single" w:sz="12" w:space="0" w:color="808080"/>
              <w:bottom w:val="single" w:sz="6" w:space="0" w:color="808080"/>
            </w:tcBorders>
          </w:tcPr>
          <w:p w:rsidR="00E33DFD" w:rsidRDefault="00E33DFD">
            <w:pPr>
              <w:pStyle w:val="a3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1996</w:t>
            </w:r>
          </w:p>
        </w:tc>
      </w:tr>
      <w:tr w:rsidR="00E33DFD">
        <w:tc>
          <w:tcPr>
            <w:tcW w:w="1731" w:type="dxa"/>
          </w:tcPr>
          <w:p w:rsidR="00E33DFD" w:rsidRDefault="00E33DFD">
            <w:pPr>
              <w:pStyle w:val="a3"/>
              <w:spacing w:line="360" w:lineRule="auto"/>
            </w:pPr>
            <w:r>
              <w:t>Гидроэнергия</w:t>
            </w:r>
          </w:p>
        </w:tc>
        <w:tc>
          <w:tcPr>
            <w:tcW w:w="906" w:type="dxa"/>
          </w:tcPr>
          <w:p w:rsidR="00E33DFD" w:rsidRDefault="00E33DFD">
            <w:pPr>
              <w:pStyle w:val="a3"/>
              <w:spacing w:line="360" w:lineRule="auto"/>
            </w:pPr>
            <w:r>
              <w:t>1.7%</w:t>
            </w:r>
          </w:p>
        </w:tc>
        <w:tc>
          <w:tcPr>
            <w:tcW w:w="906" w:type="dxa"/>
          </w:tcPr>
          <w:p w:rsidR="00E33DFD" w:rsidRDefault="00E33DFD">
            <w:pPr>
              <w:pStyle w:val="a3"/>
              <w:spacing w:line="360" w:lineRule="auto"/>
            </w:pPr>
            <w:r>
              <w:t>6.5%</w:t>
            </w:r>
          </w:p>
        </w:tc>
        <w:tc>
          <w:tcPr>
            <w:tcW w:w="906" w:type="dxa"/>
          </w:tcPr>
          <w:p w:rsidR="00E33DFD" w:rsidRDefault="00E33DFD">
            <w:pPr>
              <w:pStyle w:val="a3"/>
              <w:spacing w:line="360" w:lineRule="auto"/>
            </w:pPr>
            <w:r>
              <w:t>2.7%</w:t>
            </w:r>
          </w:p>
        </w:tc>
      </w:tr>
      <w:tr w:rsidR="00E33DFD">
        <w:tc>
          <w:tcPr>
            <w:tcW w:w="1731" w:type="dxa"/>
          </w:tcPr>
          <w:p w:rsidR="00E33DFD" w:rsidRDefault="00E33DFD">
            <w:pPr>
              <w:pStyle w:val="a3"/>
              <w:spacing w:line="360" w:lineRule="auto"/>
              <w:rPr>
                <w:b/>
              </w:rPr>
            </w:pPr>
            <w:r>
              <w:rPr>
                <w:b/>
              </w:rPr>
              <w:t>НЕФТЬ</w:t>
            </w:r>
          </w:p>
        </w:tc>
        <w:tc>
          <w:tcPr>
            <w:tcW w:w="906" w:type="dxa"/>
          </w:tcPr>
          <w:p w:rsidR="00E33DFD" w:rsidRDefault="00E33DFD">
            <w:pPr>
              <w:pStyle w:val="a3"/>
              <w:spacing w:line="360" w:lineRule="auto"/>
              <w:rPr>
                <w:b/>
              </w:rPr>
            </w:pPr>
            <w:r>
              <w:rPr>
                <w:b/>
              </w:rPr>
              <w:t>3.0%</w:t>
            </w:r>
          </w:p>
        </w:tc>
        <w:tc>
          <w:tcPr>
            <w:tcW w:w="906" w:type="dxa"/>
          </w:tcPr>
          <w:p w:rsidR="00E33DFD" w:rsidRDefault="00E33DFD">
            <w:pPr>
              <w:pStyle w:val="a3"/>
              <w:spacing w:line="360" w:lineRule="auto"/>
              <w:rPr>
                <w:b/>
              </w:rPr>
            </w:pPr>
            <w:r>
              <w:rPr>
                <w:b/>
              </w:rPr>
              <w:t>23.8%</w:t>
            </w:r>
          </w:p>
        </w:tc>
        <w:tc>
          <w:tcPr>
            <w:tcW w:w="906" w:type="dxa"/>
          </w:tcPr>
          <w:p w:rsidR="00E33DFD" w:rsidRDefault="00E33DFD">
            <w:pPr>
              <w:pStyle w:val="a3"/>
              <w:spacing w:line="360" w:lineRule="auto"/>
              <w:rPr>
                <w:b/>
              </w:rPr>
            </w:pPr>
            <w:r>
              <w:rPr>
                <w:b/>
              </w:rPr>
              <w:t>39.5%</w:t>
            </w:r>
          </w:p>
        </w:tc>
      </w:tr>
      <w:tr w:rsidR="00E33DFD">
        <w:tc>
          <w:tcPr>
            <w:tcW w:w="1731" w:type="dxa"/>
          </w:tcPr>
          <w:p w:rsidR="00E33DFD" w:rsidRDefault="00E33DFD">
            <w:pPr>
              <w:pStyle w:val="a3"/>
              <w:spacing w:line="360" w:lineRule="auto"/>
            </w:pPr>
            <w:r>
              <w:t>Газ</w:t>
            </w:r>
          </w:p>
        </w:tc>
        <w:tc>
          <w:tcPr>
            <w:tcW w:w="906" w:type="dxa"/>
          </w:tcPr>
          <w:p w:rsidR="00E33DFD" w:rsidRDefault="00E33DFD">
            <w:pPr>
              <w:pStyle w:val="a3"/>
              <w:spacing w:line="360" w:lineRule="auto"/>
            </w:pPr>
            <w:r>
              <w:t>0.9%</w:t>
            </w:r>
          </w:p>
        </w:tc>
        <w:tc>
          <w:tcPr>
            <w:tcW w:w="906" w:type="dxa"/>
          </w:tcPr>
          <w:p w:rsidR="00E33DFD" w:rsidRDefault="00E33DFD">
            <w:pPr>
              <w:pStyle w:val="a3"/>
              <w:spacing w:line="360" w:lineRule="auto"/>
            </w:pPr>
            <w:r>
              <w:t>9.0%</w:t>
            </w:r>
          </w:p>
        </w:tc>
        <w:tc>
          <w:tcPr>
            <w:tcW w:w="906" w:type="dxa"/>
          </w:tcPr>
          <w:p w:rsidR="00E33DFD" w:rsidRDefault="00E33DFD">
            <w:pPr>
              <w:pStyle w:val="a3"/>
              <w:spacing w:line="360" w:lineRule="auto"/>
            </w:pPr>
            <w:r>
              <w:t>22.8%</w:t>
            </w:r>
          </w:p>
        </w:tc>
      </w:tr>
      <w:tr w:rsidR="00E33DFD">
        <w:tc>
          <w:tcPr>
            <w:tcW w:w="1731" w:type="dxa"/>
          </w:tcPr>
          <w:p w:rsidR="00E33DFD" w:rsidRDefault="00E33DFD">
            <w:pPr>
              <w:pStyle w:val="a3"/>
              <w:spacing w:line="360" w:lineRule="auto"/>
            </w:pPr>
            <w:r>
              <w:t>Дрова</w:t>
            </w:r>
          </w:p>
        </w:tc>
        <w:tc>
          <w:tcPr>
            <w:tcW w:w="906" w:type="dxa"/>
          </w:tcPr>
          <w:p w:rsidR="00E33DFD" w:rsidRDefault="00E33DFD">
            <w:pPr>
              <w:pStyle w:val="a3"/>
              <w:spacing w:line="360" w:lineRule="auto"/>
            </w:pPr>
            <w:r>
              <w:t>17.6%</w:t>
            </w:r>
          </w:p>
        </w:tc>
        <w:tc>
          <w:tcPr>
            <w:tcW w:w="906" w:type="dxa"/>
          </w:tcPr>
          <w:p w:rsidR="00E33DFD" w:rsidRDefault="00E33DFD">
            <w:pPr>
              <w:pStyle w:val="a3"/>
              <w:spacing w:line="360" w:lineRule="auto"/>
            </w:pPr>
            <w:r>
              <w:t>5.9%</w:t>
            </w:r>
          </w:p>
        </w:tc>
        <w:tc>
          <w:tcPr>
            <w:tcW w:w="906" w:type="dxa"/>
          </w:tcPr>
          <w:p w:rsidR="00E33DFD" w:rsidRDefault="00E33DFD">
            <w:pPr>
              <w:pStyle w:val="a3"/>
              <w:spacing w:line="360" w:lineRule="auto"/>
            </w:pPr>
            <w:r>
              <w:t>--------</w:t>
            </w:r>
          </w:p>
        </w:tc>
      </w:tr>
      <w:tr w:rsidR="00E33DFD">
        <w:tc>
          <w:tcPr>
            <w:tcW w:w="1731" w:type="dxa"/>
          </w:tcPr>
          <w:p w:rsidR="00E33DFD" w:rsidRDefault="00E33DFD">
            <w:pPr>
              <w:pStyle w:val="a3"/>
              <w:spacing w:line="360" w:lineRule="auto"/>
            </w:pPr>
            <w:r>
              <w:t>Торф</w:t>
            </w:r>
          </w:p>
        </w:tc>
        <w:tc>
          <w:tcPr>
            <w:tcW w:w="906" w:type="dxa"/>
          </w:tcPr>
          <w:p w:rsidR="00E33DFD" w:rsidRDefault="00E33DFD">
            <w:pPr>
              <w:pStyle w:val="a3"/>
              <w:spacing w:line="360" w:lineRule="auto"/>
            </w:pPr>
            <w:r>
              <w:t>0.7%</w:t>
            </w:r>
          </w:p>
        </w:tc>
        <w:tc>
          <w:tcPr>
            <w:tcW w:w="906" w:type="dxa"/>
          </w:tcPr>
          <w:p w:rsidR="00E33DFD" w:rsidRDefault="00E33DFD">
            <w:pPr>
              <w:pStyle w:val="a3"/>
              <w:spacing w:line="360" w:lineRule="auto"/>
            </w:pPr>
            <w:r>
              <w:t>0.6%</w:t>
            </w:r>
          </w:p>
        </w:tc>
        <w:tc>
          <w:tcPr>
            <w:tcW w:w="906" w:type="dxa"/>
          </w:tcPr>
          <w:p w:rsidR="00E33DFD" w:rsidRDefault="00E33DFD">
            <w:pPr>
              <w:pStyle w:val="a3"/>
              <w:spacing w:line="360" w:lineRule="auto"/>
            </w:pPr>
            <w:r>
              <w:t>--------</w:t>
            </w:r>
          </w:p>
        </w:tc>
      </w:tr>
      <w:tr w:rsidR="00E33DFD">
        <w:tc>
          <w:tcPr>
            <w:tcW w:w="1731" w:type="dxa"/>
          </w:tcPr>
          <w:p w:rsidR="00E33DFD" w:rsidRDefault="00E33DFD">
            <w:pPr>
              <w:pStyle w:val="a3"/>
              <w:spacing w:line="360" w:lineRule="auto"/>
            </w:pPr>
            <w:r>
              <w:t>Уголь</w:t>
            </w:r>
          </w:p>
        </w:tc>
        <w:tc>
          <w:tcPr>
            <w:tcW w:w="906" w:type="dxa"/>
          </w:tcPr>
          <w:p w:rsidR="00E33DFD" w:rsidRDefault="00E33DFD">
            <w:pPr>
              <w:pStyle w:val="a3"/>
              <w:spacing w:line="360" w:lineRule="auto"/>
            </w:pPr>
            <w:r>
              <w:t>76.1%</w:t>
            </w:r>
          </w:p>
        </w:tc>
        <w:tc>
          <w:tcPr>
            <w:tcW w:w="906" w:type="dxa"/>
          </w:tcPr>
          <w:p w:rsidR="00E33DFD" w:rsidRDefault="00E33DFD">
            <w:pPr>
              <w:pStyle w:val="a3"/>
              <w:spacing w:line="360" w:lineRule="auto"/>
            </w:pPr>
            <w:r>
              <w:t>54.2%</w:t>
            </w:r>
          </w:p>
        </w:tc>
        <w:tc>
          <w:tcPr>
            <w:tcW w:w="906" w:type="dxa"/>
          </w:tcPr>
          <w:p w:rsidR="00E33DFD" w:rsidRDefault="00E33DFD">
            <w:pPr>
              <w:pStyle w:val="a3"/>
              <w:spacing w:line="360" w:lineRule="auto"/>
            </w:pPr>
            <w:r>
              <w:t>28.1%</w:t>
            </w:r>
          </w:p>
        </w:tc>
      </w:tr>
      <w:tr w:rsidR="00E33DFD">
        <w:tc>
          <w:tcPr>
            <w:tcW w:w="1731" w:type="dxa"/>
            <w:tcBorders>
              <w:bottom w:val="single" w:sz="12" w:space="0" w:color="808080"/>
            </w:tcBorders>
          </w:tcPr>
          <w:p w:rsidR="00E33DFD" w:rsidRDefault="00E33DFD">
            <w:pPr>
              <w:pStyle w:val="a3"/>
              <w:spacing w:line="360" w:lineRule="auto"/>
            </w:pPr>
            <w:r>
              <w:t>Ядерная энергия</w:t>
            </w:r>
          </w:p>
        </w:tc>
        <w:tc>
          <w:tcPr>
            <w:tcW w:w="906" w:type="dxa"/>
            <w:tcBorders>
              <w:bottom w:val="single" w:sz="12" w:space="0" w:color="808080"/>
            </w:tcBorders>
          </w:tcPr>
          <w:p w:rsidR="00E33DFD" w:rsidRDefault="00E33DFD">
            <w:pPr>
              <w:pStyle w:val="a3"/>
              <w:spacing w:line="360" w:lineRule="auto"/>
            </w:pPr>
            <w:r>
              <w:t>--------</w:t>
            </w:r>
          </w:p>
        </w:tc>
        <w:tc>
          <w:tcPr>
            <w:tcW w:w="906" w:type="dxa"/>
            <w:tcBorders>
              <w:bottom w:val="single" w:sz="12" w:space="0" w:color="808080"/>
            </w:tcBorders>
          </w:tcPr>
          <w:p w:rsidR="00E33DFD" w:rsidRDefault="00E33DFD">
            <w:pPr>
              <w:pStyle w:val="a3"/>
              <w:spacing w:line="360" w:lineRule="auto"/>
            </w:pPr>
            <w:r>
              <w:t>--------</w:t>
            </w:r>
          </w:p>
        </w:tc>
        <w:tc>
          <w:tcPr>
            <w:tcW w:w="906" w:type="dxa"/>
            <w:tcBorders>
              <w:bottom w:val="single" w:sz="12" w:space="0" w:color="808080"/>
            </w:tcBorders>
          </w:tcPr>
          <w:p w:rsidR="00E33DFD" w:rsidRDefault="00E33DFD">
            <w:pPr>
              <w:pStyle w:val="a3"/>
              <w:spacing w:line="360" w:lineRule="auto"/>
            </w:pPr>
            <w:r>
              <w:t>6.9%</w:t>
            </w:r>
          </w:p>
        </w:tc>
      </w:tr>
    </w:tbl>
    <w:p w:rsidR="00E33DFD" w:rsidRDefault="00E33DFD">
      <w:pPr>
        <w:pStyle w:val="a3"/>
        <w:spacing w:line="360" w:lineRule="auto"/>
        <w:rPr>
          <w:sz w:val="28"/>
        </w:rPr>
      </w:pPr>
      <w:r>
        <w:rPr>
          <w:sz w:val="28"/>
        </w:rPr>
        <w:t xml:space="preserve">     Размещение основных запасов нефти РФ не совпадает с размещением населения, производством и потреблением топлива и энергии. Около 9/10 запасов минерального топлива (в том числе нефти) и свыше 4/5 гидроэнергии находится в восточных районах, тогда как примерно 4/5 общего количества топлива и энергии потребляется в европейской части страны.</w:t>
      </w:r>
    </w:p>
    <w:p w:rsidR="00E33DFD" w:rsidRDefault="00E33DFD">
      <w:pPr>
        <w:pStyle w:val="a3"/>
        <w:spacing w:line="360" w:lineRule="auto"/>
        <w:rPr>
          <w:sz w:val="28"/>
        </w:rPr>
      </w:pPr>
      <w:r>
        <w:rPr>
          <w:sz w:val="28"/>
        </w:rPr>
        <w:t>Размещение нефтеперерабатывающей промышленности зависит от размеров потребления, техники переработки и транспортировки нефти, территориальных соотношений между ресурсами и объемами потребления жидкого топлива. В настоящее время переработка приблизилась к районам потребления. Она ведется вдоль трасс нефтепроводов, а также в пунктах с выгодным транспортно-географическим положением ( Хабаровск). НПЗ ориентированы на потребителя. НПЗ есть во всех экономических районах РФ, кроме Ц-ЧЭР. ЦЭР - Москва, Рязань, Ярославль; СЭР - Ухта ( Респ. Коми); С-ЗЭР - Кириши (Ленинградская обл.); ПЭР - Самара (м.д.), Новокуйбышевск (м.д.), Сызрань, Саратов, Волгоград, Нижнекамск ( Татария); В-ВЭР - Кстово (Нижегородская обл.), Нижний Новгород; С-КЭР - Грозный (м.д.), Туапсе, Краснодар; УЭР - Уфа (м.д.), Ишимбай (м.д.), Салават (м.д.), Пермь (м.д.), Краснокамск (м.д.), Орск ; З-СЭР - Омск; В-СЭР - Ачинск (н.ц.), Ангарск; ДВЭР - Хабаровск, Комсомольск-на-Амуре</w:t>
      </w:r>
      <w:r>
        <w:rPr>
          <w:rStyle w:val="a5"/>
          <w:sz w:val="28"/>
        </w:rPr>
        <w:footnoteReference w:id="1"/>
      </w:r>
      <w:r>
        <w:rPr>
          <w:sz w:val="28"/>
        </w:rPr>
        <w:t>. Размещение НПЗ иллюстрирует таблица.</w:t>
      </w:r>
    </w:p>
    <w:p w:rsidR="00E33DFD" w:rsidRDefault="00E33DFD">
      <w:pPr>
        <w:pStyle w:val="a3"/>
        <w:spacing w:line="360" w:lineRule="auto"/>
        <w:jc w:val="center"/>
        <w:rPr>
          <w:sz w:val="28"/>
        </w:rPr>
      </w:pPr>
      <w:r>
        <w:rPr>
          <w:sz w:val="28"/>
        </w:rPr>
        <w:t>Переработка нефти по некоторым регионам РФ в 1993г., млн.т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016"/>
        <w:gridCol w:w="726"/>
      </w:tblGrid>
      <w:tr w:rsidR="00E33DFD">
        <w:tc>
          <w:tcPr>
            <w:tcW w:w="2016" w:type="dxa"/>
            <w:tcBorders>
              <w:top w:val="single" w:sz="12" w:space="0" w:color="808080"/>
              <w:bottom w:val="single" w:sz="6" w:space="0" w:color="808080"/>
            </w:tcBorders>
          </w:tcPr>
          <w:p w:rsidR="00E33DFD" w:rsidRDefault="00E33DFD">
            <w:pPr>
              <w:pStyle w:val="a3"/>
              <w:spacing w:line="360" w:lineRule="auto"/>
            </w:pPr>
            <w:r>
              <w:t>РОССИЯ, всего</w:t>
            </w:r>
          </w:p>
        </w:tc>
        <w:tc>
          <w:tcPr>
            <w:tcW w:w="726" w:type="dxa"/>
            <w:tcBorders>
              <w:top w:val="single" w:sz="12" w:space="0" w:color="808080"/>
              <w:bottom w:val="single" w:sz="6" w:space="0" w:color="808080"/>
            </w:tcBorders>
          </w:tcPr>
          <w:p w:rsidR="00E33DFD" w:rsidRDefault="00E33DFD">
            <w:pPr>
              <w:pStyle w:val="a3"/>
              <w:spacing w:line="360" w:lineRule="auto"/>
            </w:pPr>
            <w:r>
              <w:t>217.7</w:t>
            </w:r>
          </w:p>
        </w:tc>
      </w:tr>
      <w:tr w:rsidR="00E33DFD">
        <w:tc>
          <w:tcPr>
            <w:tcW w:w="2016" w:type="dxa"/>
          </w:tcPr>
          <w:p w:rsidR="00E33DFD" w:rsidRDefault="00E33DFD">
            <w:pPr>
              <w:pStyle w:val="a3"/>
              <w:spacing w:line="360" w:lineRule="auto"/>
            </w:pPr>
            <w:r>
              <w:t>Башкирия</w:t>
            </w:r>
          </w:p>
        </w:tc>
        <w:tc>
          <w:tcPr>
            <w:tcW w:w="726" w:type="dxa"/>
          </w:tcPr>
          <w:p w:rsidR="00E33DFD" w:rsidRDefault="00E33DFD">
            <w:pPr>
              <w:pStyle w:val="a3"/>
              <w:spacing w:line="360" w:lineRule="auto"/>
            </w:pPr>
            <w:r>
              <w:t>30.1</w:t>
            </w:r>
          </w:p>
        </w:tc>
      </w:tr>
      <w:tr w:rsidR="00E33DFD">
        <w:tc>
          <w:tcPr>
            <w:tcW w:w="2016" w:type="dxa"/>
          </w:tcPr>
          <w:p w:rsidR="00E33DFD" w:rsidRDefault="00E33DFD">
            <w:pPr>
              <w:pStyle w:val="a3"/>
              <w:spacing w:line="360" w:lineRule="auto"/>
            </w:pPr>
            <w:r>
              <w:t>Самарская обл.</w:t>
            </w:r>
          </w:p>
        </w:tc>
        <w:tc>
          <w:tcPr>
            <w:tcW w:w="726" w:type="dxa"/>
          </w:tcPr>
          <w:p w:rsidR="00E33DFD" w:rsidRDefault="00E33DFD">
            <w:pPr>
              <w:pStyle w:val="a3"/>
              <w:spacing w:line="360" w:lineRule="auto"/>
            </w:pPr>
            <w:r>
              <w:t>21.0</w:t>
            </w:r>
          </w:p>
        </w:tc>
      </w:tr>
      <w:tr w:rsidR="00E33DFD">
        <w:tc>
          <w:tcPr>
            <w:tcW w:w="2016" w:type="dxa"/>
          </w:tcPr>
          <w:p w:rsidR="00E33DFD" w:rsidRDefault="00E33DFD">
            <w:pPr>
              <w:pStyle w:val="a3"/>
              <w:spacing w:line="360" w:lineRule="auto"/>
            </w:pPr>
            <w:r>
              <w:t>Нижегородская обл.</w:t>
            </w:r>
          </w:p>
        </w:tc>
        <w:tc>
          <w:tcPr>
            <w:tcW w:w="726" w:type="dxa"/>
          </w:tcPr>
          <w:p w:rsidR="00E33DFD" w:rsidRDefault="00E33DFD">
            <w:pPr>
              <w:pStyle w:val="a3"/>
              <w:spacing w:line="360" w:lineRule="auto"/>
            </w:pPr>
            <w:r>
              <w:t>19.4</w:t>
            </w:r>
          </w:p>
        </w:tc>
      </w:tr>
      <w:tr w:rsidR="00E33DFD">
        <w:tc>
          <w:tcPr>
            <w:tcW w:w="2016" w:type="dxa"/>
          </w:tcPr>
          <w:p w:rsidR="00E33DFD" w:rsidRDefault="00E33DFD">
            <w:pPr>
              <w:pStyle w:val="a3"/>
              <w:spacing w:line="360" w:lineRule="auto"/>
            </w:pPr>
            <w:r>
              <w:t>Омская обл.</w:t>
            </w:r>
          </w:p>
        </w:tc>
        <w:tc>
          <w:tcPr>
            <w:tcW w:w="726" w:type="dxa"/>
          </w:tcPr>
          <w:p w:rsidR="00E33DFD" w:rsidRDefault="00E33DFD">
            <w:pPr>
              <w:pStyle w:val="a3"/>
              <w:spacing w:line="360" w:lineRule="auto"/>
            </w:pPr>
            <w:r>
              <w:t>19.2</w:t>
            </w:r>
          </w:p>
        </w:tc>
      </w:tr>
      <w:tr w:rsidR="00E33DFD">
        <w:tc>
          <w:tcPr>
            <w:tcW w:w="2016" w:type="dxa"/>
          </w:tcPr>
          <w:p w:rsidR="00E33DFD" w:rsidRDefault="00E33DFD">
            <w:pPr>
              <w:pStyle w:val="a3"/>
              <w:spacing w:line="360" w:lineRule="auto"/>
            </w:pPr>
            <w:r>
              <w:t>Иркутская обл.</w:t>
            </w:r>
          </w:p>
        </w:tc>
        <w:tc>
          <w:tcPr>
            <w:tcW w:w="726" w:type="dxa"/>
          </w:tcPr>
          <w:p w:rsidR="00E33DFD" w:rsidRDefault="00E33DFD">
            <w:pPr>
              <w:pStyle w:val="a3"/>
              <w:spacing w:line="360" w:lineRule="auto"/>
            </w:pPr>
            <w:r>
              <w:t>17.5</w:t>
            </w:r>
          </w:p>
        </w:tc>
      </w:tr>
      <w:tr w:rsidR="00E33DFD">
        <w:tc>
          <w:tcPr>
            <w:tcW w:w="2016" w:type="dxa"/>
          </w:tcPr>
          <w:p w:rsidR="00E33DFD" w:rsidRDefault="00E33DFD">
            <w:pPr>
              <w:pStyle w:val="a3"/>
              <w:spacing w:line="360" w:lineRule="auto"/>
            </w:pPr>
            <w:r>
              <w:t>Ленинградская обл.</w:t>
            </w:r>
          </w:p>
        </w:tc>
        <w:tc>
          <w:tcPr>
            <w:tcW w:w="726" w:type="dxa"/>
          </w:tcPr>
          <w:p w:rsidR="00E33DFD" w:rsidRDefault="00E33DFD">
            <w:pPr>
              <w:pStyle w:val="a3"/>
              <w:spacing w:line="360" w:lineRule="auto"/>
            </w:pPr>
            <w:r>
              <w:t>15.0</w:t>
            </w:r>
          </w:p>
        </w:tc>
      </w:tr>
      <w:tr w:rsidR="00E33DFD">
        <w:tc>
          <w:tcPr>
            <w:tcW w:w="2016" w:type="dxa"/>
          </w:tcPr>
          <w:p w:rsidR="00E33DFD" w:rsidRDefault="00E33DFD">
            <w:pPr>
              <w:pStyle w:val="a3"/>
              <w:spacing w:line="360" w:lineRule="auto"/>
            </w:pPr>
            <w:r>
              <w:t>Рязанская обл.</w:t>
            </w:r>
          </w:p>
        </w:tc>
        <w:tc>
          <w:tcPr>
            <w:tcW w:w="726" w:type="dxa"/>
          </w:tcPr>
          <w:p w:rsidR="00E33DFD" w:rsidRDefault="00E33DFD">
            <w:pPr>
              <w:pStyle w:val="a3"/>
              <w:spacing w:line="360" w:lineRule="auto"/>
            </w:pPr>
            <w:r>
              <w:t>13.2</w:t>
            </w:r>
          </w:p>
        </w:tc>
      </w:tr>
      <w:tr w:rsidR="00E33DFD">
        <w:tc>
          <w:tcPr>
            <w:tcW w:w="2016" w:type="dxa"/>
          </w:tcPr>
          <w:p w:rsidR="00E33DFD" w:rsidRDefault="00E33DFD">
            <w:pPr>
              <w:pStyle w:val="a3"/>
              <w:spacing w:line="360" w:lineRule="auto"/>
            </w:pPr>
            <w:r>
              <w:t>Ярославская обл.</w:t>
            </w:r>
          </w:p>
        </w:tc>
        <w:tc>
          <w:tcPr>
            <w:tcW w:w="726" w:type="dxa"/>
          </w:tcPr>
          <w:p w:rsidR="00E33DFD" w:rsidRDefault="00E33DFD">
            <w:pPr>
              <w:pStyle w:val="a3"/>
              <w:spacing w:line="360" w:lineRule="auto"/>
            </w:pPr>
            <w:r>
              <w:t>12.1</w:t>
            </w:r>
          </w:p>
        </w:tc>
      </w:tr>
      <w:tr w:rsidR="00E33DFD">
        <w:tc>
          <w:tcPr>
            <w:tcW w:w="2016" w:type="dxa"/>
          </w:tcPr>
          <w:p w:rsidR="00E33DFD" w:rsidRDefault="00E33DFD">
            <w:pPr>
              <w:pStyle w:val="a3"/>
              <w:spacing w:line="360" w:lineRule="auto"/>
            </w:pPr>
            <w:r>
              <w:t>Москва</w:t>
            </w:r>
          </w:p>
        </w:tc>
        <w:tc>
          <w:tcPr>
            <w:tcW w:w="726" w:type="dxa"/>
          </w:tcPr>
          <w:p w:rsidR="00E33DFD" w:rsidRDefault="00E33DFD">
            <w:pPr>
              <w:pStyle w:val="a3"/>
              <w:spacing w:line="360" w:lineRule="auto"/>
            </w:pPr>
            <w:r>
              <w:t>9.0</w:t>
            </w:r>
          </w:p>
        </w:tc>
      </w:tr>
      <w:tr w:rsidR="00E33DFD">
        <w:tc>
          <w:tcPr>
            <w:tcW w:w="2016" w:type="dxa"/>
            <w:tcBorders>
              <w:bottom w:val="single" w:sz="12" w:space="0" w:color="808080"/>
            </w:tcBorders>
          </w:tcPr>
          <w:p w:rsidR="00E33DFD" w:rsidRDefault="00E33DFD">
            <w:pPr>
              <w:pStyle w:val="a3"/>
              <w:spacing w:line="360" w:lineRule="auto"/>
            </w:pPr>
            <w:r>
              <w:t>Хабаровский край</w:t>
            </w:r>
          </w:p>
        </w:tc>
        <w:tc>
          <w:tcPr>
            <w:tcW w:w="726" w:type="dxa"/>
            <w:tcBorders>
              <w:bottom w:val="single" w:sz="12" w:space="0" w:color="808080"/>
            </w:tcBorders>
          </w:tcPr>
          <w:p w:rsidR="00E33DFD" w:rsidRDefault="00E33DFD">
            <w:pPr>
              <w:pStyle w:val="a3"/>
              <w:spacing w:line="360" w:lineRule="auto"/>
            </w:pPr>
            <w:r>
              <w:t>7.7</w:t>
            </w:r>
          </w:p>
        </w:tc>
      </w:tr>
    </w:tbl>
    <w:p w:rsidR="00E33DFD" w:rsidRDefault="00E33DFD">
      <w:pPr>
        <w:pStyle w:val="a3"/>
        <w:spacing w:line="360" w:lineRule="auto"/>
        <w:rPr>
          <w:sz w:val="28"/>
        </w:rPr>
      </w:pPr>
      <w:r>
        <w:rPr>
          <w:sz w:val="28"/>
        </w:rPr>
        <w:t>Экономически более выгодно приближение нефтеперерабатывающей промышленности к местам потребления:</w:t>
      </w:r>
    </w:p>
    <w:p w:rsidR="00E33DFD" w:rsidRDefault="00E33DFD">
      <w:pPr>
        <w:spacing w:line="360" w:lineRule="auto"/>
        <w:ind w:left="283" w:hanging="283"/>
        <w:rPr>
          <w:b/>
          <w:sz w:val="28"/>
        </w:rPr>
      </w:pPr>
      <w:r>
        <w:rPr>
          <w:sz w:val="28"/>
        </w:rPr>
        <w:t>сокращаются перевозки мазута, масел и других вязких нефтепродуктов</w:t>
      </w:r>
    </w:p>
    <w:p w:rsidR="00E33DFD" w:rsidRDefault="00E33DFD">
      <w:pPr>
        <w:pStyle w:val="a3"/>
        <w:spacing w:line="360" w:lineRule="auto"/>
        <w:ind w:left="283" w:hanging="283"/>
        <w:rPr>
          <w:sz w:val="28"/>
        </w:rPr>
      </w:pPr>
      <w:r>
        <w:rPr>
          <w:sz w:val="28"/>
        </w:rPr>
        <w:t>транспортировка сырой нефти экономичнее, чем транспортировка ее производных;</w:t>
      </w:r>
    </w:p>
    <w:p w:rsidR="00E33DFD" w:rsidRDefault="00E33DFD">
      <w:pPr>
        <w:pStyle w:val="a3"/>
        <w:spacing w:line="360" w:lineRule="auto"/>
        <w:ind w:left="283" w:hanging="283"/>
        <w:rPr>
          <w:sz w:val="28"/>
        </w:rPr>
      </w:pPr>
      <w:r>
        <w:rPr>
          <w:sz w:val="28"/>
        </w:rPr>
        <w:t xml:space="preserve">размещение нефтеперерабатывающих производств становится повсеместным. </w:t>
      </w:r>
    </w:p>
    <w:p w:rsidR="00E33DFD" w:rsidRDefault="00E33DFD">
      <w:pPr>
        <w:pStyle w:val="a3"/>
        <w:spacing w:line="360" w:lineRule="auto"/>
        <w:rPr>
          <w:sz w:val="28"/>
        </w:rPr>
      </w:pPr>
      <w:r>
        <w:rPr>
          <w:sz w:val="28"/>
        </w:rPr>
        <w:t>Развитие нефтяной, а также нефтеперерабатывающей промышленности обусловливается целесообразностью использования нефти в основном для производства моторных топлив и химического сырья. Как энергетическое сырье более эффективным является природный газ, так как эквивалентное количество его вдвое дешевле нефти.</w:t>
      </w:r>
    </w:p>
    <w:p w:rsidR="00E33DFD" w:rsidRDefault="00E33DFD">
      <w:pPr>
        <w:pStyle w:val="a3"/>
        <w:spacing w:line="360" w:lineRule="auto"/>
        <w:rPr>
          <w:sz w:val="28"/>
        </w:rPr>
      </w:pPr>
      <w:r>
        <w:rPr>
          <w:sz w:val="28"/>
        </w:rPr>
        <w:t>Размещение отраслей и производств нефтехимической промышленности находится под совокупным влиянием различных факторов, среди которых наибольшую роль играют сырьевой, топливно- энергетический и потребительский.</w:t>
      </w:r>
    </w:p>
    <w:p w:rsidR="00E33DFD" w:rsidRDefault="00E33DFD">
      <w:pPr>
        <w:pStyle w:val="a3"/>
        <w:spacing w:line="360" w:lineRule="auto"/>
        <w:rPr>
          <w:b/>
          <w:sz w:val="28"/>
        </w:rPr>
      </w:pPr>
      <w:r>
        <w:rPr>
          <w:b/>
          <w:sz w:val="28"/>
        </w:rPr>
        <w:t xml:space="preserve">Промышленность полимерных материалов. </w:t>
      </w:r>
    </w:p>
    <w:p w:rsidR="00E33DFD" w:rsidRDefault="00E33DFD">
      <w:pPr>
        <w:pStyle w:val="a3"/>
        <w:spacing w:line="360" w:lineRule="auto"/>
        <w:rPr>
          <w:sz w:val="28"/>
        </w:rPr>
      </w:pPr>
      <w:r>
        <w:rPr>
          <w:b/>
          <w:sz w:val="28"/>
        </w:rPr>
        <w:t>Органический синтез</w:t>
      </w:r>
      <w:r>
        <w:rPr>
          <w:sz w:val="28"/>
        </w:rPr>
        <w:t xml:space="preserve"> опирается на мощную и распространенную сырьевую базу, что позволяет развивать производство практически в любом экономическом районе. На первый план вышло нефтегазовое сырье, из которого производится почти весь синтетический каучук, преобладающая часть пластических масс и значительное количество волокон. Ресурсы этого сырья представлены: попутными нефтяными газами, природными газами и углеводородами нефтепереработки. Сфера производства синтетических материалов территориально заметно расширилась, охватив не только места добычи нефти и газа ( Волго-Уральский, Северо-Кавказский, Бакинский районы), но и районы, получившие связь с источниками сырья в результате создания сети нефтепроводов (Центральный, Донецко-Приднепровский и др.)</w:t>
      </w:r>
    </w:p>
    <w:p w:rsidR="00E33DFD" w:rsidRDefault="00E33DFD">
      <w:pPr>
        <w:pStyle w:val="a3"/>
        <w:spacing w:line="360" w:lineRule="auto"/>
        <w:rPr>
          <w:sz w:val="28"/>
        </w:rPr>
      </w:pPr>
      <w:r>
        <w:rPr>
          <w:b/>
          <w:sz w:val="28"/>
        </w:rPr>
        <w:t>Промышленность синтетических смол и пластических масс</w:t>
      </w:r>
      <w:r>
        <w:rPr>
          <w:sz w:val="28"/>
        </w:rPr>
        <w:t xml:space="preserve"> основана на попутных нефтяных газах и углеводородах нефтепереработки. Изначально эта отрасль базировалась на угле и возникла в  ЦЭР. В настоящее время производство развито в Поволжье (Новокуйбышевск, Казань, Волгоград), Донецко-Приднепровском районе (Лисичанск, Горловка), на Урале, в З-СЭР, Закавказье (Рустави), Белоруссии, В-ВЭР и С-ЗЭР. Производство синтетических смол и пластмасс на 4/5 сосредоточено в европейской части.</w:t>
      </w:r>
    </w:p>
    <w:p w:rsidR="00E33DFD" w:rsidRDefault="00E33DFD">
      <w:pPr>
        <w:pStyle w:val="a3"/>
        <w:spacing w:line="360" w:lineRule="auto"/>
        <w:rPr>
          <w:sz w:val="28"/>
        </w:rPr>
      </w:pPr>
      <w:r>
        <w:rPr>
          <w:b/>
          <w:sz w:val="28"/>
        </w:rPr>
        <w:t>Промышленность синтетического каучука (</w:t>
      </w:r>
      <w:r>
        <w:rPr>
          <w:sz w:val="28"/>
        </w:rPr>
        <w:t>Поволжье, Урал, Закавказье, Западная Сибирь).</w:t>
      </w:r>
    </w:p>
    <w:p w:rsidR="00E33DFD" w:rsidRDefault="00E33DFD">
      <w:pPr>
        <w:pStyle w:val="a3"/>
        <w:spacing w:line="360" w:lineRule="auto"/>
        <w:rPr>
          <w:sz w:val="28"/>
        </w:rPr>
      </w:pPr>
      <w:r>
        <w:rPr>
          <w:sz w:val="28"/>
        </w:rPr>
        <w:t>Разнообразие сырья обусловливает несколько вариантов размещения производства. Попутные газы с их низкой транспортабельностью должны перерабатываться вблизи места добычи. Использование углеводородов нефтепереработки еще больше связывает производство с источниками сырья, но в то же время и расширяет ареал его размещения, так как переработка нефти отличается подвижностью. В развитии производства синтетического каучука определилась тенденция к созданию комплексов предприятий: нефтепереработка - синтетический каучук - сажевое и кордное производство -- шинное производство (Омск, Ярославль, Сумгаит).</w:t>
      </w:r>
    </w:p>
    <w:p w:rsidR="00E33DFD" w:rsidRDefault="00E33DFD">
      <w:pPr>
        <w:pStyle w:val="a3"/>
        <w:spacing w:line="360" w:lineRule="auto"/>
        <w:rPr>
          <w:b/>
          <w:sz w:val="28"/>
        </w:rPr>
      </w:pPr>
      <w:r>
        <w:rPr>
          <w:sz w:val="28"/>
        </w:rPr>
        <w:t xml:space="preserve">Крупнейшие районы производства - Поволжский, Уральский, Центральный, Центрально-Черноземный. В перспективе возрастает значение восточных районов, особенно Западной Сибири. В России находится 28 НПЗ. Они могут перерабатывать более 310 млн. т. нефти в год. Наибольшие мощности по переработке нефти сосредоточены в Уральском экономическом районе, где находятся 7 НПЗ: в Уфе (3), Салавате, Ишимбае, Орске, Перми, способные переработать 75 млн. т. нефти в год. Поволжский район имеет мощности по переработке 58 млн. т. нефти в год на НПЗ, расположенных в Самаре, Новокуйбышевске, Сызрани, Саратове, Волгограде, Нижнекамске. В Центральном районе имеются 4 НПЗ: в Москве, Рязани, Ярославле, Тутаево — общей мощностью 45 млн. т. в год; в Восточно-Сибирском  районе находятся 2 НПЗ (Ангарск, Ачинск) мощностью 30 млн. т.; 2 НПЗ общей мощностью 26 млн. т. — находятся в Северном и Северо-западном  районах (Ухта и Кириши); такой же объем перерабатывает Омский НПЗ в Западно-Сибирском районе. Остальные НПЗ расположены в следующих экономических районах: Волго-Вятском — Кстовский (мощностью 21 млн. т.), Северо-Кавказском — в Грозном (2 НПЗ): Краснодаре, Туапсе (общая мощность 22 млн. т.), Дальневосточном — в Хабаровске, Комсомольске (общая мощность 10 млн. т.). </w:t>
      </w:r>
      <w:r>
        <w:rPr>
          <w:b/>
          <w:sz w:val="28"/>
        </w:rPr>
        <w:t>См. Приложение№1.</w:t>
      </w:r>
    </w:p>
    <w:p w:rsidR="00E33DFD" w:rsidRDefault="00E33DFD">
      <w:pPr>
        <w:pStyle w:val="a3"/>
        <w:spacing w:line="360" w:lineRule="auto"/>
        <w:ind w:firstLine="720"/>
        <w:rPr>
          <w:sz w:val="28"/>
        </w:rPr>
      </w:pPr>
      <w:r>
        <w:rPr>
          <w:sz w:val="28"/>
        </w:rPr>
        <w:t xml:space="preserve"> </w:t>
      </w:r>
      <w:r>
        <w:rPr>
          <w:b/>
          <w:sz w:val="28"/>
        </w:rPr>
        <w:t>Экспорт нефти</w:t>
      </w:r>
      <w:r>
        <w:rPr>
          <w:sz w:val="28"/>
        </w:rPr>
        <w:t xml:space="preserve"> играет важнейшую роль в развитии экономики России, а в недалеком прошлом во многом определял возможности экономического развития бывшего Советского Союза. Экспорт топлива способствует формированию единого энергетического пространства на европейском континенте. Проблема энергообеспечения приобрела глобальный характер, и эффективное ее решение невозможно без широкого международного сотрудничества, без усиления интеграционных процессов в Европе и мировом сообществе в целом. Общеевропейское сотрудничество в энергетике позволит радикально ускорить переход всей российской экономики к рынку. </w:t>
      </w:r>
    </w:p>
    <w:p w:rsidR="00E33DFD" w:rsidRDefault="00E33DFD">
      <w:pPr>
        <w:pStyle w:val="a3"/>
        <w:spacing w:line="360" w:lineRule="auto"/>
        <w:ind w:firstLine="720"/>
        <w:rPr>
          <w:sz w:val="28"/>
        </w:rPr>
      </w:pPr>
      <w:r>
        <w:rPr>
          <w:sz w:val="28"/>
        </w:rPr>
        <w:t xml:space="preserve">В Южную Европу западносибирская нефть поставляется через Средиземноморские порты танкерами из Новороссийска, Туапсе, Одессы, куда приходит по трубопроводам из Западной Сибири (в том числе в Одессу транзитом через Украину). В Центральную Европу западносибирская нефть поставляется по нефтепроводу “Дружба” через Украину. В Северо-Западную Европу - танкерами через порты государств Балтии (Вентспилс, Клайпеда), куда она поставляется по нефтепроводам. В ближайшие несколько лет география поставок российской нефти претерпит изменения. Так как наряду с Западной Сибирью появятся новые, ориентированные на экспорт районы добычи нефти на Дальнем Востоке (экспорт в Юго-Восточную Азию), на севере европейской части страны (Тимано-Печорская нефтегазоносная провинция).   </w:t>
      </w:r>
    </w:p>
    <w:p w:rsidR="00E33DFD" w:rsidRDefault="00E33DFD">
      <w:pPr>
        <w:pStyle w:val="a3"/>
        <w:spacing w:line="360" w:lineRule="auto"/>
        <w:ind w:firstLine="720"/>
        <w:rPr>
          <w:sz w:val="28"/>
        </w:rPr>
      </w:pPr>
      <w:r>
        <w:rPr>
          <w:sz w:val="28"/>
        </w:rPr>
        <w:t xml:space="preserve">Экспорт нефти и нефтепродуктов, </w:t>
      </w:r>
      <w:r>
        <w:t>млн. т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3246"/>
        <w:gridCol w:w="726"/>
        <w:gridCol w:w="681"/>
        <w:gridCol w:w="681"/>
        <w:gridCol w:w="726"/>
        <w:gridCol w:w="726"/>
      </w:tblGrid>
      <w:tr w:rsidR="00E33DFD">
        <w:tc>
          <w:tcPr>
            <w:tcW w:w="3246" w:type="dxa"/>
            <w:tcBorders>
              <w:top w:val="single" w:sz="12" w:space="0" w:color="808080"/>
              <w:bottom w:val="single" w:sz="6" w:space="0" w:color="808080"/>
            </w:tcBorders>
          </w:tcPr>
          <w:p w:rsidR="00E33DFD" w:rsidRDefault="00E33DFD">
            <w:pPr>
              <w:pStyle w:val="a3"/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726" w:type="dxa"/>
            <w:tcBorders>
              <w:top w:val="single" w:sz="12" w:space="0" w:color="808080"/>
              <w:bottom w:val="single" w:sz="6" w:space="0" w:color="808080"/>
            </w:tcBorders>
          </w:tcPr>
          <w:p w:rsidR="00E33DFD" w:rsidRDefault="00E33DFD">
            <w:pPr>
              <w:pStyle w:val="a3"/>
              <w:spacing w:line="360" w:lineRule="auto"/>
              <w:jc w:val="center"/>
            </w:pPr>
            <w:r>
              <w:t>1990</w:t>
            </w:r>
          </w:p>
        </w:tc>
        <w:tc>
          <w:tcPr>
            <w:tcW w:w="681" w:type="dxa"/>
            <w:tcBorders>
              <w:top w:val="single" w:sz="12" w:space="0" w:color="808080"/>
              <w:bottom w:val="single" w:sz="6" w:space="0" w:color="808080"/>
            </w:tcBorders>
          </w:tcPr>
          <w:p w:rsidR="00E33DFD" w:rsidRDefault="00E33DFD">
            <w:pPr>
              <w:pStyle w:val="a3"/>
              <w:spacing w:line="360" w:lineRule="auto"/>
              <w:jc w:val="center"/>
            </w:pPr>
            <w:r>
              <w:t>1993</w:t>
            </w:r>
          </w:p>
        </w:tc>
        <w:tc>
          <w:tcPr>
            <w:tcW w:w="681" w:type="dxa"/>
            <w:tcBorders>
              <w:top w:val="single" w:sz="12" w:space="0" w:color="808080"/>
              <w:bottom w:val="single" w:sz="6" w:space="0" w:color="808080"/>
            </w:tcBorders>
          </w:tcPr>
          <w:p w:rsidR="00E33DFD" w:rsidRDefault="00E33DFD">
            <w:pPr>
              <w:pStyle w:val="a3"/>
              <w:spacing w:line="360" w:lineRule="auto"/>
              <w:jc w:val="center"/>
            </w:pPr>
            <w:r>
              <w:t>1995</w:t>
            </w:r>
          </w:p>
        </w:tc>
        <w:tc>
          <w:tcPr>
            <w:tcW w:w="726" w:type="dxa"/>
            <w:tcBorders>
              <w:top w:val="single" w:sz="12" w:space="0" w:color="808080"/>
              <w:bottom w:val="single" w:sz="6" w:space="0" w:color="808080"/>
            </w:tcBorders>
          </w:tcPr>
          <w:p w:rsidR="00E33DFD" w:rsidRDefault="00E33DFD">
            <w:pPr>
              <w:pStyle w:val="a3"/>
              <w:spacing w:line="360" w:lineRule="auto"/>
              <w:jc w:val="center"/>
            </w:pPr>
            <w:r>
              <w:t>1996</w:t>
            </w:r>
          </w:p>
        </w:tc>
        <w:tc>
          <w:tcPr>
            <w:tcW w:w="726" w:type="dxa"/>
            <w:tcBorders>
              <w:top w:val="single" w:sz="12" w:space="0" w:color="808080"/>
              <w:bottom w:val="single" w:sz="6" w:space="0" w:color="808080"/>
            </w:tcBorders>
          </w:tcPr>
          <w:p w:rsidR="00E33DFD" w:rsidRDefault="00E33DFD">
            <w:pPr>
              <w:pStyle w:val="a3"/>
              <w:spacing w:line="360" w:lineRule="auto"/>
              <w:jc w:val="center"/>
            </w:pPr>
            <w:r>
              <w:t>1997</w:t>
            </w:r>
          </w:p>
        </w:tc>
      </w:tr>
      <w:tr w:rsidR="00E33DFD">
        <w:tc>
          <w:tcPr>
            <w:tcW w:w="3246" w:type="dxa"/>
          </w:tcPr>
          <w:p w:rsidR="00E33DFD" w:rsidRDefault="00E33DFD">
            <w:pPr>
              <w:pStyle w:val="a3"/>
              <w:spacing w:line="360" w:lineRule="auto"/>
            </w:pPr>
            <w:r>
              <w:t>Сырой нефти в страны вне СНГ</w:t>
            </w:r>
          </w:p>
        </w:tc>
        <w:tc>
          <w:tcPr>
            <w:tcW w:w="726" w:type="dxa"/>
          </w:tcPr>
          <w:p w:rsidR="00E33DFD" w:rsidRDefault="00E33DFD">
            <w:pPr>
              <w:pStyle w:val="a3"/>
              <w:spacing w:line="360" w:lineRule="auto"/>
              <w:jc w:val="center"/>
            </w:pPr>
            <w:r>
              <w:t>109.0</w:t>
            </w:r>
          </w:p>
        </w:tc>
        <w:tc>
          <w:tcPr>
            <w:tcW w:w="681" w:type="dxa"/>
          </w:tcPr>
          <w:p w:rsidR="00E33DFD" w:rsidRDefault="00E33DFD">
            <w:pPr>
              <w:pStyle w:val="a3"/>
              <w:spacing w:line="360" w:lineRule="auto"/>
              <w:jc w:val="center"/>
            </w:pPr>
            <w:r>
              <w:t>47.8</w:t>
            </w:r>
          </w:p>
        </w:tc>
        <w:tc>
          <w:tcPr>
            <w:tcW w:w="681" w:type="dxa"/>
          </w:tcPr>
          <w:p w:rsidR="00E33DFD" w:rsidRDefault="00E33DFD">
            <w:pPr>
              <w:pStyle w:val="a3"/>
              <w:spacing w:line="360" w:lineRule="auto"/>
              <w:jc w:val="center"/>
            </w:pPr>
            <w:r>
              <w:t>96.2</w:t>
            </w:r>
          </w:p>
        </w:tc>
        <w:tc>
          <w:tcPr>
            <w:tcW w:w="726" w:type="dxa"/>
          </w:tcPr>
          <w:p w:rsidR="00E33DFD" w:rsidRDefault="00E33DFD">
            <w:pPr>
              <w:pStyle w:val="a3"/>
              <w:spacing w:line="360" w:lineRule="auto"/>
              <w:jc w:val="center"/>
            </w:pPr>
            <w:r>
              <w:t>105.4</w:t>
            </w:r>
          </w:p>
        </w:tc>
        <w:tc>
          <w:tcPr>
            <w:tcW w:w="726" w:type="dxa"/>
          </w:tcPr>
          <w:p w:rsidR="00E33DFD" w:rsidRDefault="00E33DFD">
            <w:pPr>
              <w:pStyle w:val="a3"/>
              <w:spacing w:line="360" w:lineRule="auto"/>
              <w:jc w:val="center"/>
            </w:pPr>
            <w:r>
              <w:t>110.1</w:t>
            </w:r>
          </w:p>
        </w:tc>
      </w:tr>
      <w:tr w:rsidR="00E33DFD">
        <w:tc>
          <w:tcPr>
            <w:tcW w:w="3246" w:type="dxa"/>
          </w:tcPr>
          <w:p w:rsidR="00E33DFD" w:rsidRDefault="00E33DFD">
            <w:pPr>
              <w:pStyle w:val="a3"/>
              <w:spacing w:line="360" w:lineRule="auto"/>
            </w:pPr>
            <w:r>
              <w:t>Нефтепродуктов в страны вне СНГ</w:t>
            </w:r>
          </w:p>
        </w:tc>
        <w:tc>
          <w:tcPr>
            <w:tcW w:w="726" w:type="dxa"/>
          </w:tcPr>
          <w:p w:rsidR="00E33DFD" w:rsidRDefault="00E33DFD">
            <w:pPr>
              <w:pStyle w:val="a3"/>
              <w:spacing w:line="360" w:lineRule="auto"/>
              <w:jc w:val="center"/>
            </w:pPr>
          </w:p>
        </w:tc>
        <w:tc>
          <w:tcPr>
            <w:tcW w:w="681" w:type="dxa"/>
          </w:tcPr>
          <w:p w:rsidR="00E33DFD" w:rsidRDefault="00E33DFD">
            <w:pPr>
              <w:pStyle w:val="a3"/>
              <w:spacing w:line="360" w:lineRule="auto"/>
              <w:jc w:val="center"/>
            </w:pPr>
          </w:p>
        </w:tc>
        <w:tc>
          <w:tcPr>
            <w:tcW w:w="681" w:type="dxa"/>
          </w:tcPr>
          <w:p w:rsidR="00E33DFD" w:rsidRDefault="00E33DFD">
            <w:pPr>
              <w:pStyle w:val="a3"/>
              <w:spacing w:line="360" w:lineRule="auto"/>
              <w:jc w:val="center"/>
            </w:pPr>
            <w:r>
              <w:t>43.5</w:t>
            </w:r>
          </w:p>
        </w:tc>
        <w:tc>
          <w:tcPr>
            <w:tcW w:w="726" w:type="dxa"/>
          </w:tcPr>
          <w:p w:rsidR="00E33DFD" w:rsidRDefault="00E33DFD">
            <w:pPr>
              <w:pStyle w:val="a3"/>
              <w:spacing w:line="360" w:lineRule="auto"/>
              <w:jc w:val="center"/>
            </w:pPr>
            <w:r>
              <w:t>53.3</w:t>
            </w:r>
          </w:p>
        </w:tc>
        <w:tc>
          <w:tcPr>
            <w:tcW w:w="726" w:type="dxa"/>
          </w:tcPr>
          <w:p w:rsidR="00E33DFD" w:rsidRDefault="00E33DFD">
            <w:pPr>
              <w:pStyle w:val="a3"/>
              <w:spacing w:line="360" w:lineRule="auto"/>
              <w:jc w:val="center"/>
            </w:pPr>
            <w:r>
              <w:t>58.6</w:t>
            </w:r>
          </w:p>
        </w:tc>
      </w:tr>
      <w:tr w:rsidR="00E33DFD">
        <w:tc>
          <w:tcPr>
            <w:tcW w:w="3246" w:type="dxa"/>
          </w:tcPr>
          <w:p w:rsidR="00E33DFD" w:rsidRDefault="00E33DFD">
            <w:pPr>
              <w:pStyle w:val="a3"/>
              <w:spacing w:line="360" w:lineRule="auto"/>
            </w:pPr>
            <w:r>
              <w:t>Сырой нефти в страны СНГ</w:t>
            </w:r>
          </w:p>
        </w:tc>
        <w:tc>
          <w:tcPr>
            <w:tcW w:w="726" w:type="dxa"/>
          </w:tcPr>
          <w:p w:rsidR="00E33DFD" w:rsidRDefault="00E33DFD">
            <w:pPr>
              <w:pStyle w:val="a3"/>
              <w:spacing w:line="360" w:lineRule="auto"/>
              <w:jc w:val="center"/>
            </w:pPr>
            <w:r>
              <w:t>123.0</w:t>
            </w:r>
          </w:p>
        </w:tc>
        <w:tc>
          <w:tcPr>
            <w:tcW w:w="681" w:type="dxa"/>
          </w:tcPr>
          <w:p w:rsidR="00E33DFD" w:rsidRDefault="00E33DFD">
            <w:pPr>
              <w:pStyle w:val="a3"/>
              <w:spacing w:line="360" w:lineRule="auto"/>
              <w:jc w:val="center"/>
            </w:pPr>
            <w:r>
              <w:t>79.7</w:t>
            </w:r>
          </w:p>
        </w:tc>
        <w:tc>
          <w:tcPr>
            <w:tcW w:w="681" w:type="dxa"/>
          </w:tcPr>
          <w:p w:rsidR="00E33DFD" w:rsidRDefault="00E33DFD">
            <w:pPr>
              <w:pStyle w:val="a3"/>
              <w:spacing w:line="360" w:lineRule="auto"/>
              <w:jc w:val="center"/>
            </w:pPr>
            <w:r>
              <w:t>26.1</w:t>
            </w:r>
          </w:p>
        </w:tc>
        <w:tc>
          <w:tcPr>
            <w:tcW w:w="726" w:type="dxa"/>
          </w:tcPr>
          <w:p w:rsidR="00E33DFD" w:rsidRDefault="00E33DFD">
            <w:pPr>
              <w:pStyle w:val="a3"/>
              <w:spacing w:line="360" w:lineRule="auto"/>
              <w:jc w:val="center"/>
            </w:pPr>
            <w:r>
              <w:t>20.6</w:t>
            </w:r>
          </w:p>
        </w:tc>
        <w:tc>
          <w:tcPr>
            <w:tcW w:w="726" w:type="dxa"/>
          </w:tcPr>
          <w:p w:rsidR="00E33DFD" w:rsidRDefault="00E33DFD">
            <w:pPr>
              <w:pStyle w:val="a3"/>
              <w:spacing w:line="360" w:lineRule="auto"/>
              <w:jc w:val="center"/>
            </w:pPr>
            <w:r>
              <w:t>17.6</w:t>
            </w:r>
          </w:p>
        </w:tc>
      </w:tr>
      <w:tr w:rsidR="00E33DFD">
        <w:tc>
          <w:tcPr>
            <w:tcW w:w="3246" w:type="dxa"/>
            <w:tcBorders>
              <w:bottom w:val="single" w:sz="12" w:space="0" w:color="808080"/>
            </w:tcBorders>
          </w:tcPr>
          <w:p w:rsidR="00E33DFD" w:rsidRDefault="00E33DFD">
            <w:pPr>
              <w:pStyle w:val="a3"/>
              <w:spacing w:line="360" w:lineRule="auto"/>
            </w:pPr>
            <w:r>
              <w:t>Нефтепродуктов в страны СНГ</w:t>
            </w:r>
          </w:p>
        </w:tc>
        <w:tc>
          <w:tcPr>
            <w:tcW w:w="726" w:type="dxa"/>
            <w:tcBorders>
              <w:bottom w:val="single" w:sz="12" w:space="0" w:color="808080"/>
            </w:tcBorders>
          </w:tcPr>
          <w:p w:rsidR="00E33DFD" w:rsidRDefault="00E33DFD">
            <w:pPr>
              <w:pStyle w:val="a3"/>
              <w:spacing w:line="360" w:lineRule="auto"/>
              <w:jc w:val="center"/>
            </w:pPr>
          </w:p>
        </w:tc>
        <w:tc>
          <w:tcPr>
            <w:tcW w:w="681" w:type="dxa"/>
            <w:tcBorders>
              <w:bottom w:val="single" w:sz="12" w:space="0" w:color="808080"/>
            </w:tcBorders>
          </w:tcPr>
          <w:p w:rsidR="00E33DFD" w:rsidRDefault="00E33DFD">
            <w:pPr>
              <w:pStyle w:val="a3"/>
              <w:spacing w:line="360" w:lineRule="auto"/>
              <w:jc w:val="center"/>
            </w:pPr>
          </w:p>
        </w:tc>
        <w:tc>
          <w:tcPr>
            <w:tcW w:w="681" w:type="dxa"/>
            <w:tcBorders>
              <w:bottom w:val="single" w:sz="12" w:space="0" w:color="808080"/>
            </w:tcBorders>
          </w:tcPr>
          <w:p w:rsidR="00E33DFD" w:rsidRDefault="00E33DFD">
            <w:pPr>
              <w:pStyle w:val="a3"/>
              <w:spacing w:line="360" w:lineRule="auto"/>
              <w:jc w:val="center"/>
            </w:pPr>
            <w:r>
              <w:t>3.5</w:t>
            </w:r>
          </w:p>
        </w:tc>
        <w:tc>
          <w:tcPr>
            <w:tcW w:w="726" w:type="dxa"/>
            <w:tcBorders>
              <w:bottom w:val="single" w:sz="12" w:space="0" w:color="808080"/>
            </w:tcBorders>
          </w:tcPr>
          <w:p w:rsidR="00E33DFD" w:rsidRDefault="00E33DFD">
            <w:pPr>
              <w:pStyle w:val="a3"/>
              <w:spacing w:line="360" w:lineRule="auto"/>
              <w:jc w:val="center"/>
            </w:pPr>
            <w:r>
              <w:t>1.9</w:t>
            </w:r>
          </w:p>
        </w:tc>
        <w:tc>
          <w:tcPr>
            <w:tcW w:w="726" w:type="dxa"/>
            <w:tcBorders>
              <w:bottom w:val="single" w:sz="12" w:space="0" w:color="808080"/>
            </w:tcBorders>
          </w:tcPr>
          <w:p w:rsidR="00E33DFD" w:rsidRDefault="00E33DFD">
            <w:pPr>
              <w:pStyle w:val="a3"/>
              <w:spacing w:line="360" w:lineRule="auto"/>
              <w:jc w:val="center"/>
            </w:pPr>
            <w:r>
              <w:t>2.0</w:t>
            </w:r>
          </w:p>
        </w:tc>
      </w:tr>
    </w:tbl>
    <w:p w:rsidR="00E33DFD" w:rsidRDefault="00E33DFD">
      <w:pPr>
        <w:pStyle w:val="a3"/>
        <w:spacing w:line="360" w:lineRule="auto"/>
        <w:ind w:firstLine="720"/>
        <w:rPr>
          <w:sz w:val="28"/>
        </w:rPr>
      </w:pPr>
      <w:r>
        <w:rPr>
          <w:sz w:val="28"/>
        </w:rPr>
        <w:t>При этом около 1</w:t>
      </w:r>
      <w:r>
        <w:rPr>
          <w:sz w:val="28"/>
          <w:lang w:val="en-US"/>
        </w:rPr>
        <w:t>/3</w:t>
      </w:r>
      <w:r>
        <w:rPr>
          <w:sz w:val="28"/>
        </w:rPr>
        <w:t xml:space="preserve"> нефти поставляется в </w:t>
      </w:r>
      <w:r>
        <w:rPr>
          <w:b/>
          <w:sz w:val="28"/>
        </w:rPr>
        <w:t>Белоруссию</w:t>
      </w:r>
      <w:r>
        <w:rPr>
          <w:sz w:val="28"/>
        </w:rPr>
        <w:t>, где она перерабатывается на 2-х НПЗ, расположенных в Новополоцке и Мозыре. В 1997 году в Белоруссии было добыто 1.821 млн. т нефти, это на  2.3 % меньше чем в 1996г. В 1997г. удалось замедлить темпы сокращения нефтедобычи. В Белоруссии рассчитывают, что в 1998 году уровень добычи углеводородного сырья стабилизируется за счет “</w:t>
      </w:r>
      <w:r>
        <w:rPr>
          <w:sz w:val="28"/>
          <w:lang w:val="en-US"/>
        </w:rPr>
        <w:t xml:space="preserve">max </w:t>
      </w:r>
      <w:r>
        <w:rPr>
          <w:sz w:val="28"/>
        </w:rPr>
        <w:t>компенсации извлекаемых объемов нефти новыми запасами и интенсивной нефтедобычей”. Белорусские предприятия по транспортировке нефти “Дружба” в 1997 году транспортировали 76.625 млн. т нефти, что на 3.3% больше, чем в 1996 году ( в том числе на экспорт 64.855 млн. тонн (104.3% к 1996 г.)).</w:t>
      </w:r>
    </w:p>
    <w:p w:rsidR="00E33DFD" w:rsidRDefault="00E33DFD">
      <w:pPr>
        <w:pStyle w:val="a3"/>
        <w:spacing w:line="360" w:lineRule="auto"/>
        <w:ind w:firstLine="720"/>
        <w:rPr>
          <w:sz w:val="28"/>
        </w:rPr>
      </w:pPr>
      <w:r>
        <w:rPr>
          <w:sz w:val="28"/>
        </w:rPr>
        <w:t>1</w:t>
      </w:r>
      <w:r>
        <w:rPr>
          <w:sz w:val="28"/>
          <w:lang w:val="en-US"/>
        </w:rPr>
        <w:t>/3</w:t>
      </w:r>
      <w:r>
        <w:rPr>
          <w:sz w:val="28"/>
        </w:rPr>
        <w:t xml:space="preserve"> нефти, экспортируемой в страны СНГ, поставляется в </w:t>
      </w:r>
      <w:r>
        <w:rPr>
          <w:b/>
          <w:sz w:val="28"/>
        </w:rPr>
        <w:t>Украину</w:t>
      </w:r>
      <w:r>
        <w:rPr>
          <w:sz w:val="28"/>
        </w:rPr>
        <w:t>. Потребность Украины в нефтепродуктах по разным оценкам 24-28 млн. т в год. За счет импорта она удовлетворяет потребность в нефти (нефтепродуктах) на 80-90%. К 2000 году планируется довести годовую добычу до 5 млн.т в год. В Херсоне, Лисичанске, Кременчуге и Одессе на привозной нефти работают НПЗ ( + НПЗ в Дрогобыче).</w:t>
      </w:r>
    </w:p>
    <w:p w:rsidR="00E33DFD" w:rsidRDefault="00E33DFD">
      <w:pPr>
        <w:pStyle w:val="a3"/>
        <w:spacing w:line="360" w:lineRule="auto"/>
        <w:ind w:firstLine="720"/>
        <w:rPr>
          <w:sz w:val="28"/>
        </w:rPr>
      </w:pPr>
      <w:r>
        <w:rPr>
          <w:sz w:val="28"/>
        </w:rPr>
        <w:t xml:space="preserve">Около 3 млн. т нефти экспортируется в </w:t>
      </w:r>
      <w:r>
        <w:rPr>
          <w:b/>
          <w:sz w:val="28"/>
        </w:rPr>
        <w:t>Казахстан</w:t>
      </w:r>
      <w:r>
        <w:rPr>
          <w:sz w:val="28"/>
        </w:rPr>
        <w:t xml:space="preserve">. При этом по нефтепроводу Узень - Гурьев - Самара в РФ поставляется примерно такое же количество нефти. Казахстан начал добывать нефть на полуострове Бузачи, где невысокая глубина залегания, но высокая вязкость требует применения специальной технологии с закачиванием в скважины горячего пара. Продолжается добыча в старом нефтеперерабатывающем районе - Эмбенском. Местные нефти перерабатываются на Гурьевском НПЗ. Поставки нефтепродуктов восточным и южным областям осуществляются с Павлодарского и Чимкентского НПЗ, работающих на западносибирской нефти, поступающей из Омска.  </w:t>
      </w:r>
    </w:p>
    <w:p w:rsidR="00E33DFD" w:rsidRDefault="00E33DFD">
      <w:pPr>
        <w:pStyle w:val="a3"/>
        <w:spacing w:line="360" w:lineRule="auto"/>
        <w:rPr>
          <w:sz w:val="28"/>
        </w:rPr>
      </w:pPr>
      <w:r>
        <w:rPr>
          <w:sz w:val="28"/>
        </w:rPr>
        <w:t>Как можно заметить, объем экспортируемой нефти резко сократился после распада СССР. Поставки на мировой рынок к 1997 году достигли уровня 1990 года, тогда как поставки в страны ближнего зарубежья продолжают сокращаться. Скорее всего это связано с тем, что России выгоднее продавать нефть на мировых рынках, а так как уровень добычи падает, а спрос за рубежом на российскую нефть есть, для поставок в страны СНГ просто не хватает ресурсов.</w:t>
      </w:r>
    </w:p>
    <w:p w:rsidR="00E33DFD" w:rsidRDefault="00E33DFD">
      <w:pPr>
        <w:pStyle w:val="a3"/>
        <w:spacing w:line="360" w:lineRule="auto"/>
        <w:rPr>
          <w:sz w:val="28"/>
        </w:rPr>
      </w:pPr>
      <w:r>
        <w:rPr>
          <w:sz w:val="28"/>
        </w:rPr>
        <w:t xml:space="preserve">     </w:t>
      </w:r>
    </w:p>
    <w:p w:rsidR="00E33DFD" w:rsidRDefault="00E33DFD">
      <w:pPr>
        <w:spacing w:line="360" w:lineRule="auto"/>
        <w:ind w:firstLine="720"/>
        <w:rPr>
          <w:b/>
          <w:sz w:val="28"/>
        </w:rPr>
      </w:pPr>
    </w:p>
    <w:p w:rsidR="00E33DFD" w:rsidRDefault="00E33DFD">
      <w:pPr>
        <w:spacing w:line="360" w:lineRule="auto"/>
        <w:ind w:firstLine="720"/>
        <w:rPr>
          <w:sz w:val="28"/>
        </w:rPr>
      </w:pPr>
    </w:p>
    <w:p w:rsidR="00E33DFD" w:rsidRDefault="00E33DFD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   </w:t>
      </w:r>
    </w:p>
    <w:p w:rsidR="00E33DFD" w:rsidRDefault="00E33DFD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        </w:t>
      </w:r>
    </w:p>
    <w:p w:rsidR="00E33DFD" w:rsidRDefault="00E33DFD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  </w:t>
      </w:r>
    </w:p>
    <w:p w:rsidR="00E33DFD" w:rsidRDefault="00E33DFD">
      <w:pPr>
        <w:pStyle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</w:t>
      </w:r>
    </w:p>
    <w:p w:rsidR="00E33DFD" w:rsidRDefault="00E33DFD">
      <w:pPr>
        <w:spacing w:line="360" w:lineRule="auto"/>
        <w:rPr>
          <w:sz w:val="28"/>
        </w:rPr>
      </w:pPr>
      <w:r>
        <w:rPr>
          <w:sz w:val="28"/>
        </w:rPr>
        <w:t xml:space="preserve"> </w:t>
      </w:r>
    </w:p>
    <w:p w:rsidR="00E33DFD" w:rsidRDefault="00E33DFD">
      <w:pPr>
        <w:spacing w:line="360" w:lineRule="auto"/>
        <w:rPr>
          <w:sz w:val="28"/>
        </w:rPr>
      </w:pPr>
      <w:r>
        <w:rPr>
          <w:sz w:val="28"/>
        </w:rPr>
        <w:t xml:space="preserve"> </w:t>
      </w:r>
    </w:p>
    <w:p w:rsidR="00E33DFD" w:rsidRDefault="00E33DFD">
      <w:pPr>
        <w:spacing w:line="480" w:lineRule="auto"/>
        <w:rPr>
          <w:sz w:val="28"/>
        </w:rPr>
      </w:pPr>
    </w:p>
    <w:p w:rsidR="00E33DFD" w:rsidRDefault="00E33DFD">
      <w:pPr>
        <w:rPr>
          <w:sz w:val="28"/>
        </w:rPr>
      </w:pPr>
    </w:p>
    <w:p w:rsidR="00E33DFD" w:rsidRDefault="00E33DFD">
      <w:pPr>
        <w:rPr>
          <w:sz w:val="28"/>
        </w:rPr>
      </w:pPr>
      <w:bookmarkStart w:id="0" w:name="_GoBack"/>
      <w:bookmarkEnd w:id="0"/>
    </w:p>
    <w:sectPr w:rsidR="00E33DFD">
      <w:pgSz w:w="11907" w:h="16840" w:code="9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DFD" w:rsidRDefault="00E33DFD">
      <w:r>
        <w:separator/>
      </w:r>
    </w:p>
  </w:endnote>
  <w:endnote w:type="continuationSeparator" w:id="0">
    <w:p w:rsidR="00E33DFD" w:rsidRDefault="00E33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DFD" w:rsidRDefault="00E33DFD">
      <w:r>
        <w:separator/>
      </w:r>
    </w:p>
  </w:footnote>
  <w:footnote w:type="continuationSeparator" w:id="0">
    <w:p w:rsidR="00E33DFD" w:rsidRDefault="00E33DFD">
      <w:r>
        <w:continuationSeparator/>
      </w:r>
    </w:p>
  </w:footnote>
  <w:footnote w:id="1">
    <w:p w:rsidR="00E33DFD" w:rsidRDefault="00E33DFD">
      <w:pPr>
        <w:pStyle w:val="a4"/>
      </w:pPr>
      <w:r>
        <w:rPr>
          <w:rStyle w:val="a5"/>
        </w:rPr>
        <w:footnoteRef/>
      </w:r>
      <w:r>
        <w:t xml:space="preserve"> Обозначения в скобках: м.д. - нефть перерабатывается в </w:t>
      </w:r>
      <w:r>
        <w:rPr>
          <w:b/>
        </w:rPr>
        <w:t>м</w:t>
      </w:r>
      <w:r>
        <w:t xml:space="preserve">естах </w:t>
      </w:r>
      <w:r>
        <w:rPr>
          <w:b/>
        </w:rPr>
        <w:t>д</w:t>
      </w:r>
      <w:r>
        <w:t xml:space="preserve">обычи; н.ц. - </w:t>
      </w:r>
      <w:r>
        <w:rPr>
          <w:b/>
        </w:rPr>
        <w:t>н</w:t>
      </w:r>
      <w:r>
        <w:t xml:space="preserve">овый нефтеперерабатывающий </w:t>
      </w:r>
      <w:r>
        <w:rPr>
          <w:b/>
        </w:rPr>
        <w:t>ц</w:t>
      </w:r>
      <w:r>
        <w:t>ентр. В случае отсутствия м.д. нефть перерабатывается вблизи нефтепроводов.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0C61"/>
    <w:rsid w:val="004114D6"/>
    <w:rsid w:val="00690C61"/>
    <w:rsid w:val="00A30A5C"/>
    <w:rsid w:val="00E3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9105C1-FF5C-4FAA-88ED-0E8BCA46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footnote text"/>
    <w:basedOn w:val="a"/>
    <w:semiHidden/>
  </w:style>
  <w:style w:type="character" w:styleId="a5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3729</Words>
  <Characters>21257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№1: Значение нефтяной промышленности в экономике страны</vt:lpstr>
    </vt:vector>
  </TitlesOfParts>
  <Company>Elcom Ltd</Company>
  <LinksUpToDate>false</LinksUpToDate>
  <CharactersWithSpaces>24937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№1: Значение нефтяной промышленности в экономике страны</dc:title>
  <dc:subject/>
  <dc:creator>Alexandre Katalov</dc:creator>
  <cp:keywords/>
  <dc:description/>
  <cp:lastModifiedBy>Irina</cp:lastModifiedBy>
  <cp:revision>2</cp:revision>
  <cp:lastPrinted>1899-12-31T21:00:00Z</cp:lastPrinted>
  <dcterms:created xsi:type="dcterms:W3CDTF">2014-08-06T18:48:00Z</dcterms:created>
  <dcterms:modified xsi:type="dcterms:W3CDTF">2014-08-06T18:48:00Z</dcterms:modified>
</cp:coreProperties>
</file>