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FAF" w:rsidRDefault="00473AFD">
      <w:pPr>
        <w:pStyle w:val="1"/>
        <w:jc w:val="center"/>
      </w:pPr>
      <w:r>
        <w:t>Оценка состояния и развития агропромышленного комплекса региона</w:t>
      </w:r>
    </w:p>
    <w:p w:rsidR="00F66FAF" w:rsidRPr="00473AFD" w:rsidRDefault="00473AFD">
      <w:pPr>
        <w:pStyle w:val="a3"/>
      </w:pPr>
      <w:r>
        <w:t>А.О.Аюшеева, канд. техн. наук, доцент, Восточно-Сибирский государственный университет технологий и управления</w:t>
      </w:r>
    </w:p>
    <w:p w:rsidR="00F66FAF" w:rsidRDefault="00473AFD">
      <w:pPr>
        <w:pStyle w:val="a3"/>
      </w:pPr>
      <w:r>
        <w:t>Республика Бурятия является одним из крупнейших сельскохозяйственных районов Сибирского Федерального округа, с развитой перерабатывающей промышленностью. Объем валовой продукции сельского хозяйства по данным 2009 года составил 13,6 млрд. рублей, индекс сельскохозяйственного производства - 104,4%. По данному показателю Бурятия занимает 3 место в Сибирском федеральном округе. Агропромышленный комплекс (АПК) Республики Бурятия является приоритетным направлением развития экономики региона.</w:t>
      </w:r>
    </w:p>
    <w:p w:rsidR="00F66FAF" w:rsidRDefault="00473AFD">
      <w:pPr>
        <w:pStyle w:val="a3"/>
      </w:pPr>
      <w:r>
        <w:t>К приоритетным отраслям сельского хозяйства республики относятся животноводство и растениеводство. Имеющаяся кормовая база и потенциал озер и рек позволяют эффективно производить экологически чистые продукты.</w:t>
      </w:r>
    </w:p>
    <w:p w:rsidR="00F66FAF" w:rsidRDefault="00473AFD">
      <w:pPr>
        <w:pStyle w:val="a3"/>
      </w:pPr>
      <w:r>
        <w:t>АПК Республики располагает значительным потенциалом роста, в т.ч. по мясной продукции - 47% рынка, по молочной продукции - 66% рынка, по овощам - 31% рынка, по мясу птицы - 99% рынка, по продукции рыбной отрасли - 57% рынка.</w:t>
      </w:r>
    </w:p>
    <w:p w:rsidR="00F66FAF" w:rsidRDefault="00473AFD">
      <w:pPr>
        <w:pStyle w:val="a3"/>
      </w:pPr>
      <w:r>
        <w:t>По состоянию на 1 января 2011 г. в Республике Бурятия функционирует 205 коллективных сельскохозяйственных организаций, 2551 крестьянских (фермерских) хозяйств, 149,4 тыс. личных подсобных хозяйств. АПК Республики Бурятия формирует около 10% валового регионального продукта. В хозяйствах населения находится 4% сельскохозяйственных угодий, 82% поголовья крупного рогатого скота, 57% свиней, 50% овец и коз и производится более 80% валовой продукции сельского хозяйства.</w:t>
      </w:r>
    </w:p>
    <w:p w:rsidR="00F66FAF" w:rsidRDefault="00473AFD">
      <w:pPr>
        <w:pStyle w:val="a3"/>
      </w:pPr>
      <w:r>
        <w:t>Земельный фонд Бурятии превышает 35 млн. га и 56% всей площади отводится под сельскохозяйственные угодья. В земледелии наибольшее развитие получило растениеводство, представленное посевами зерновых, кормовых, овощных культур и картофеля. Из 320,7 тыс. га всей посевной площади 212,6 тыс. га занимают зерновые культуры, главным образом, яровая пшеница, овес и ячмень. Приоритетной отраслью сельского хозяйства республики с учетом природноклиматических и экономических условий признано животноводство. Его основные направления: молочное и мясное скотоводство, овцеводство, свиноводство, птицеводство.</w:t>
      </w:r>
    </w:p>
    <w:p w:rsidR="00F66FAF" w:rsidRDefault="00473AFD">
      <w:pPr>
        <w:pStyle w:val="a3"/>
      </w:pPr>
      <w:r>
        <w:t>Развитию отраслей животноводства способствуют наличие обширных луговых и пастбищных угодий и богатейший опыт местного населения в ведении их. Наибольшее поголовье скота сосредоточено в Джидинском, Мухоршибирском, Еравнинском, Кяхтинском, Хоринском, Бичурском, Селенгинском и Закаменском районах. В республике в основных зонах разведения мясного скота (Баунтовский, Еравнинский, Закаменский и Окинский районы) площадь естественных сенокосов и пастбищ составляет свыше 390 тыс. га. Исторически основными районами разведения овец были Селенгинский, Джидинский и Хоринский районы. В настоящее время, кроме перечисленных районов, большое количество овец сосредоточено в Мухоршибирском, Ерав- нинском и Курумканском районах. Табунное коневодство развито в хозяйствах Закаменского, Еравнинского, Баунтов- ского, Баргузинского и Окинского районов. Основные посевные площади сосредоточены в центральных и южных районах, а также в районах пригородной зоны г. Улан-Удэ.</w:t>
      </w:r>
    </w:p>
    <w:p w:rsidR="00F66FAF" w:rsidRDefault="00473AFD">
      <w:pPr>
        <w:pStyle w:val="a3"/>
      </w:pPr>
      <w:r>
        <w:t>АПК Республики Бурятия обеспечивает значительную часть занятости в Республике Бурятия и имеет перспективы для развития. Ключевое положение занимают несколько направлений: производство мясной, кондитерской, макаронной, рыбной, молочной, алкогольной и безалкогольной продукции. По каждому из этих направлений имеются лидирующие предприятия. Природно-климатические условия Республики Бурятия позволяют полностью обеспечить Республику за счет собственного производства мясными и молочными продуктами, картофелем, овощами, рыбной продукцией. Достаточно сильным элементом Республики является развитая система профессиональной подготовки кадров с высшим и средним специальным образованием, а также благоприятная бизнес-среда для развития агропромышленного комплекса.</w:t>
      </w:r>
    </w:p>
    <w:p w:rsidR="00F66FAF" w:rsidRDefault="00473AFD">
      <w:pPr>
        <w:pStyle w:val="a3"/>
      </w:pPr>
      <w:r>
        <w:t>Республика Бурятия располагает достаточным объемом земель сельскохозяйственного назначения, включая сель- хозугодия. Площадь земель сельскохозяйственного назначения составляет 2,1 млн. га, в том числе:</w:t>
      </w:r>
    </w:p>
    <w:p w:rsidR="00F66FAF" w:rsidRDefault="00473AFD">
      <w:pPr>
        <w:pStyle w:val="a3"/>
      </w:pPr>
      <w:r>
        <w:t>пастбища - 1,1 млн. га (52%);</w:t>
      </w:r>
    </w:p>
    <w:p w:rsidR="00F66FAF" w:rsidRDefault="00473AFD">
      <w:pPr>
        <w:pStyle w:val="a3"/>
      </w:pPr>
      <w:r>
        <w:t>пашни - 0,7 млн. га (33%);</w:t>
      </w:r>
    </w:p>
    <w:p w:rsidR="00F66FAF" w:rsidRDefault="00473AFD">
      <w:pPr>
        <w:pStyle w:val="a3"/>
      </w:pPr>
      <w:r>
        <w:t>сенокосы - 0,3 млн. га (13%);</w:t>
      </w:r>
    </w:p>
    <w:p w:rsidR="00F66FAF" w:rsidRDefault="00473AFD">
      <w:pPr>
        <w:pStyle w:val="a3"/>
      </w:pPr>
      <w:r>
        <w:t>многолетние насаждения и залежь менее 0,05 млн. га (2,5%). На каждого жителя республики приходится 35,1 га земель. Наибольшее производственное значение имеют каштановые, серые лесные и черноземные почвы, занимающие 56,4% площади всех сельскохозяйственных угодий и 76,5% площади пахотных земель. По форме собственности, более 38 тыс. га в настоящее время находятся в фонде распределения.</w:t>
      </w:r>
    </w:p>
    <w:p w:rsidR="00F66FAF" w:rsidRDefault="00473AFD">
      <w:pPr>
        <w:pStyle w:val="a3"/>
      </w:pPr>
      <w:r>
        <w:t>Из общего объема земель сельскохозяйственного назначения - 1656 тыс. га используется сельхозтоваропроизводителями республики, и соответственно 486 тыс. га не используется. По форме собственности, более 38 тыс. га в настоящее время находятся в фонде распределения.</w:t>
      </w:r>
    </w:p>
    <w:p w:rsidR="00F66FAF" w:rsidRDefault="00473AFD">
      <w:pPr>
        <w:pStyle w:val="a3"/>
      </w:pPr>
      <w:r>
        <w:t>Таблица 1</w:t>
      </w:r>
    </w:p>
    <w:p w:rsidR="00F66FAF" w:rsidRDefault="00473AFD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</w:tblGrid>
      <w:tr w:rsidR="00F66FAF">
        <w:trPr>
          <w:trHeight w:val="330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Категория земель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Тыс. га</w:t>
            </w:r>
          </w:p>
        </w:tc>
      </w:tr>
      <w:tr w:rsidR="00F66FAF">
        <w:trPr>
          <w:trHeight w:val="330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Земли с/х назначения в т.ч.: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3709,7</w:t>
            </w:r>
          </w:p>
        </w:tc>
      </w:tr>
      <w:tr w:rsidR="00F66FAF">
        <w:trPr>
          <w:trHeight w:val="330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Сельхоз угодия, в т.ч.: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2142,2</w:t>
            </w:r>
          </w:p>
        </w:tc>
      </w:tr>
      <w:tr w:rsidR="00F66FAF">
        <w:trPr>
          <w:trHeight w:val="330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Пашни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698,6</w:t>
            </w:r>
          </w:p>
        </w:tc>
      </w:tr>
      <w:tr w:rsidR="00F66FAF">
        <w:trPr>
          <w:trHeight w:val="330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Сенокосы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278,9</w:t>
            </w:r>
          </w:p>
        </w:tc>
      </w:tr>
      <w:tr w:rsidR="00F66FAF">
        <w:trPr>
          <w:trHeight w:val="330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Пастбища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1113,4</w:t>
            </w:r>
          </w:p>
        </w:tc>
      </w:tr>
      <w:tr w:rsidR="00F66FAF">
        <w:trPr>
          <w:trHeight w:val="330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Многолетние насаждения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6,4</w:t>
            </w:r>
          </w:p>
        </w:tc>
      </w:tr>
      <w:tr w:rsidR="00F66FAF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Залежь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44,0</w:t>
            </w:r>
          </w:p>
        </w:tc>
      </w:tr>
    </w:tbl>
    <w:p w:rsidR="00F66FAF" w:rsidRPr="00473AFD" w:rsidRDefault="00473AFD">
      <w:pPr>
        <w:pStyle w:val="a3"/>
      </w:pPr>
      <w:r>
        <w:t>В сельской местности проживает</w:t>
      </w:r>
    </w:p>
    <w:p w:rsidR="00F66FAF" w:rsidRDefault="00473AFD">
      <w:pPr>
        <w:pStyle w:val="a3"/>
      </w:pPr>
      <w:r>
        <w:t>тыс. человек, что составляет более 40% населения Республики Бурятия. В АПК Республики Бурятия занято 22,9% работающих. Среднесписочная численность работников сельского хозяйства составляет 15,55 тыс. человек [1].</w:t>
      </w:r>
    </w:p>
    <w:p w:rsidR="00F66FAF" w:rsidRDefault="00473AFD">
      <w:pPr>
        <w:pStyle w:val="a3"/>
      </w:pPr>
      <w:r>
        <w:t>Направления развития АПК, предусмотренные Программой социальноэкономического развития Республики Бурятия до 2015 года следующие:</w:t>
      </w:r>
    </w:p>
    <w:p w:rsidR="00F66FAF" w:rsidRDefault="00473AFD">
      <w:pPr>
        <w:pStyle w:val="a3"/>
      </w:pPr>
      <w:r>
        <w:t>создание крупных интегрированных агропромышленных компаний;</w:t>
      </w:r>
    </w:p>
    <w:p w:rsidR="00F66FAF" w:rsidRDefault="00473AFD">
      <w:pPr>
        <w:pStyle w:val="a3"/>
      </w:pPr>
      <w:r>
        <w:t>развитие федерального и республиканского лизинга;</w:t>
      </w:r>
    </w:p>
    <w:p w:rsidR="00F66FAF" w:rsidRDefault="00473AFD">
      <w:pPr>
        <w:pStyle w:val="a3"/>
      </w:pPr>
      <w:r>
        <w:t>-формирование конкурентных и эффективных рынков сельхозпродукции сырья продовольствия;</w:t>
      </w:r>
    </w:p>
    <w:p w:rsidR="00F66FAF" w:rsidRDefault="00473AFD">
      <w:pPr>
        <w:pStyle w:val="a3"/>
      </w:pPr>
      <w:r>
        <w:t>Таблица 2</w:t>
      </w:r>
    </w:p>
    <w:p w:rsidR="00F66FAF" w:rsidRDefault="00473AFD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96"/>
        <w:gridCol w:w="96"/>
        <w:gridCol w:w="96"/>
        <w:gridCol w:w="96"/>
        <w:gridCol w:w="96"/>
      </w:tblGrid>
      <w:tr w:rsidR="00F66FA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66FAF" w:rsidRDefault="00473AFD">
            <w:r>
              <w:t>С реднегодовой темп роста производства за 2007-2011 гг.</w:t>
            </w:r>
          </w:p>
        </w:tc>
      </w:tr>
      <w:tr w:rsidR="00F66FAF">
        <w:trPr>
          <w:trHeight w:val="28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F66FAF" w:rsidRDefault="00473AFD">
            <w:r>
              <w:t>Среднегодовой темп роста производства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2007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2008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2009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2010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2011</w:t>
            </w:r>
          </w:p>
        </w:tc>
      </w:tr>
      <w:tr w:rsidR="00F66FAF">
        <w:trPr>
          <w:trHeight w:val="55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66FAF" w:rsidRDefault="00F66FAF"/>
        </w:tc>
        <w:tc>
          <w:tcPr>
            <w:tcW w:w="0" w:type="auto"/>
            <w:vAlign w:val="center"/>
            <w:hideMark/>
          </w:tcPr>
          <w:p w:rsidR="00F66FAF" w:rsidRDefault="00473AFD">
            <w:r>
              <w:t>102,2 %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103,7 %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101,3 %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102,0 %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102,2 %</w:t>
            </w:r>
          </w:p>
        </w:tc>
      </w:tr>
    </w:tbl>
    <w:p w:rsidR="00F66FAF" w:rsidRPr="00473AFD" w:rsidRDefault="00473AFD">
      <w:pPr>
        <w:pStyle w:val="a3"/>
      </w:pPr>
      <w:r>
        <w:t>Таблица 3</w:t>
      </w:r>
    </w:p>
    <w:p w:rsidR="00F66FAF" w:rsidRDefault="00473AFD">
      <w:pPr>
        <w:pStyle w:val="a3"/>
      </w:pPr>
      <w:r>
        <w:t>Производство сельхозпродукции за 2007-2011 гг.</w:t>
      </w:r>
    </w:p>
    <w:p w:rsidR="00F66FAF" w:rsidRDefault="00473AFD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</w:tblGrid>
      <w:tr w:rsidR="00F66FA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Производство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2007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2008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2009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2010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2011</w:t>
            </w:r>
          </w:p>
        </w:tc>
      </w:tr>
      <w:tr w:rsidR="00F66FAF">
        <w:trPr>
          <w:trHeight w:val="840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Скота и птицы в живом весе, тыс.тонн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50,1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52,0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47,8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47,9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51,8</w:t>
            </w:r>
          </w:p>
        </w:tc>
      </w:tr>
      <w:tr w:rsidR="00F66FAF">
        <w:trPr>
          <w:trHeight w:val="570"/>
          <w:tblCellSpacing w:w="0" w:type="dxa"/>
        </w:trPr>
        <w:tc>
          <w:tcPr>
            <w:tcW w:w="0" w:type="auto"/>
            <w:vAlign w:val="center"/>
            <w:hideMark/>
          </w:tcPr>
          <w:p w:rsidR="00F66FAF" w:rsidRPr="00473AFD" w:rsidRDefault="00473AFD">
            <w:pPr>
              <w:pStyle w:val="a3"/>
            </w:pPr>
            <w:r w:rsidRPr="00473AFD">
              <w:t>Молока,</w:t>
            </w:r>
          </w:p>
          <w:p w:rsidR="00F66FAF" w:rsidRPr="00473AFD" w:rsidRDefault="00473AFD">
            <w:pPr>
              <w:pStyle w:val="a3"/>
            </w:pPr>
            <w:r w:rsidRPr="00473AFD">
              <w:t>тыс.тонн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225,7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225,39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233,0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238,1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240,3</w:t>
            </w:r>
          </w:p>
        </w:tc>
      </w:tr>
      <w:tr w:rsidR="00F66FA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Яиц, млн. штук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62,4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62,7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61,2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63,4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63,9</w:t>
            </w:r>
          </w:p>
        </w:tc>
      </w:tr>
    </w:tbl>
    <w:p w:rsidR="00F66FAF" w:rsidRPr="00473AFD" w:rsidRDefault="00473AFD">
      <w:pPr>
        <w:pStyle w:val="a3"/>
      </w:pPr>
      <w:r>
        <w:t> удовлетворение потребностей туристического комплекса [2].</w:t>
      </w:r>
    </w:p>
    <w:p w:rsidR="00F66FAF" w:rsidRDefault="00473AFD">
      <w:pPr>
        <w:pStyle w:val="a3"/>
      </w:pPr>
      <w:r>
        <w:t>Среднегодовой темп роста производства АПК за период 2007-2011 гг. наглядно представлен в таблице 2.</w:t>
      </w:r>
    </w:p>
    <w:p w:rsidR="00F66FAF" w:rsidRDefault="00473AFD">
      <w:pPr>
        <w:pStyle w:val="a3"/>
      </w:pPr>
      <w:r>
        <w:t>АПК РБ формирует около 10% валового регионального продукта. Сельскохозяйственным производством в республике занимается 215 сельскохозяйственных организаций. Функционирует 2551 крестьянское (фермерское) хозяйство с общей земельной площадью 136,3 тыс. га или в среднем по 53 га на одно хозяйство. 80% валовой продукции сельского хозяйства производится в личных подсобных хозяйствах, которых в республике насчитывается 149,4 тысяч. В личном подворье Республики находятся: 4% сельхозугодий, 82% поголовья крупного рогатого скота, 57% свиней, 50% овец и коз. Производство сельхозпродукции за период 2007-2011 гг. отражено в таблице 3.</w:t>
      </w:r>
    </w:p>
    <w:p w:rsidR="00F66FAF" w:rsidRDefault="00473AFD">
      <w:pPr>
        <w:pStyle w:val="a3"/>
      </w:pPr>
      <w:r>
        <w:t>По состоянию на 01.01.2010 года во всех категориях хозяйств поголовье крупного рогатого скота составляет тыс. голов, в том числе коров тыс. голов, свиней 78,3 тыс. голов, овец и коз 231,5 тыс. голов, что соответственно выше уровня 2009 года по КРС на 0,7% в т.ч. коров на 3,0%, свиней на 2,7%, овец и коз на 1,7%. Произведено, во всех категориях хозяйств, скота и птицы на убой в живом весе всего 47,9 тыс. тонн, что выше уровня 2009 года на 0,5%. Произведено молока 238,1 тыс. тонн, что выше уровня прошлого года на 2,2%. Получено яиц 63,4 млн.штук, или 103,7% к прошлогоднему уровню. В рамках реализации приоритетного национального проекта «Развитие АПК» из-за пределов республики завезено крупного рогатого скота в количестве 1306 гол., в т.ч. молочного направления - 372 гол., свиней - 130 гол., лошадей 129 гол.</w:t>
      </w:r>
    </w:p>
    <w:p w:rsidR="00F66FAF" w:rsidRDefault="00473AFD">
      <w:pPr>
        <w:pStyle w:val="a3"/>
      </w:pPr>
      <w:r>
        <w:t>Таблица 4</w:t>
      </w:r>
    </w:p>
    <w:p w:rsidR="00F66FAF" w:rsidRDefault="00473AFD">
      <w:pPr>
        <w:pStyle w:val="a3"/>
      </w:pPr>
      <w:r>
        <w:t>Доля продукции местных товаропроизводителей, %</w:t>
      </w:r>
    </w:p>
    <w:p w:rsidR="00F66FAF" w:rsidRDefault="00473AFD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40"/>
        <w:gridCol w:w="240"/>
        <w:gridCol w:w="480"/>
      </w:tblGrid>
      <w:tr w:rsidR="00F66FAF">
        <w:trPr>
          <w:trHeight w:val="28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F66FAF" w:rsidRDefault="00473AFD">
            <w:r>
              <w:t>Предприятия-товаропроизводители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66FAF" w:rsidRDefault="00473AFD">
            <w:r>
              <w:t>Год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66FAF" w:rsidRDefault="00473AFD">
            <w:r>
              <w:t>Темп прироста 2011- 2010 гг.</w:t>
            </w:r>
          </w:p>
        </w:tc>
      </w:tr>
      <w:tr w:rsidR="00F66FAF">
        <w:trPr>
          <w:trHeight w:val="27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66FAF" w:rsidRDefault="00F66FAF"/>
        </w:tc>
        <w:tc>
          <w:tcPr>
            <w:tcW w:w="0" w:type="auto"/>
            <w:vAlign w:val="center"/>
            <w:hideMark/>
          </w:tcPr>
          <w:p w:rsidR="00F66FAF" w:rsidRDefault="00473AFD">
            <w:r>
              <w:t>2010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2011</w:t>
            </w:r>
          </w:p>
        </w:tc>
        <w:tc>
          <w:tcPr>
            <w:tcW w:w="0" w:type="auto"/>
            <w:vMerge/>
            <w:vAlign w:val="center"/>
            <w:hideMark/>
          </w:tcPr>
          <w:p w:rsidR="00F66FAF" w:rsidRDefault="00F66FAF"/>
        </w:tc>
      </w:tr>
      <w:tr w:rsidR="00F66FAF">
        <w:trPr>
          <w:trHeight w:val="525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Мясные полуфабрикаты (доминирующее место занимает ООО «Пиката», удельный вес в емкости рынка - 28,2%)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95,9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99,2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103,4 %</w:t>
            </w:r>
          </w:p>
        </w:tc>
      </w:tr>
      <w:tr w:rsidR="00F66FAF">
        <w:trPr>
          <w:trHeight w:val="780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Колбасные изделия (доминирующее место занимает ООО «Бурятская мясоперерабатывающая компания», удельный вес в емкости рынка - 52,1%)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51,3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69,2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134,9 %</w:t>
            </w:r>
          </w:p>
        </w:tc>
      </w:tr>
      <w:tr w:rsidR="00F66FAF">
        <w:trPr>
          <w:trHeight w:val="540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Минеральная вода, в т.ч. питьевая (доминирующее место занимает ООО «Основа», удельный вес в емкости рынка - 5,2%)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27,1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30,3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1 1 1 , 8 %</w:t>
            </w:r>
          </w:p>
        </w:tc>
      </w:tr>
    </w:tbl>
    <w:p w:rsidR="00F66FAF" w:rsidRPr="00473AFD" w:rsidRDefault="00473AFD">
      <w:pPr>
        <w:pStyle w:val="a3"/>
      </w:pPr>
      <w:r>
        <w:t>В пищевой и перерабатывающей промышленности насчитывается свыше 350 организаций различных форм собственности, из них 35 крупных и средних, в которых работают около 5 тыс. человек и формируется до 6% доходной части бюджета. Отрасль представлена предприятиями по производству мяса и мясопродуктов, алкогольной продукции, переработке и консервированию рыбы, фруктов и овощей, производству растительных и животных масел и жиров, молочных продуктов, продуктов мукомольно-крупяной промышленности, комбикормов, напитков, хлебобулочных, макаронных и кондитерских изделий. Наиболее крупные производства в мясной отрасли, производстве алкогольной продукции и макаронных изделий. Продукция пищевой и перерабатывающей промышленности составляет 9,4% в объеме обрабатывающих производств.</w:t>
      </w:r>
    </w:p>
    <w:p w:rsidR="00F66FAF" w:rsidRDefault="00473AFD">
      <w:pPr>
        <w:pStyle w:val="a3"/>
      </w:pPr>
      <w:r>
        <w:t>Территория Республики Бурятия относится к областям распространения минеральных вод. Богатый потенциал с разнообразием минеральных источников и лечебных озер, особенно бассейна о. Байкал, может быть использован для розлива столовых, лечебно-столовых и питьевых вод с различным содержанием химических элементов и газов. Уникальность байкальской воды, запасы которой неограниченны, предоставляет большие возможности для организации ее розлива и развития прямых связей с другими регионами России, а также выхода на внешний рынок.</w:t>
      </w:r>
    </w:p>
    <w:p w:rsidR="00F66FAF" w:rsidRDefault="00473AFD">
      <w:pPr>
        <w:pStyle w:val="a3"/>
      </w:pPr>
      <w:r>
        <w:t>Доля в объеме потребляемой продукции агропромышленного комплекса продукции, произведенной в Республике Бурятия, ежегодно увеличивается, что отражено в таблице 4.</w:t>
      </w:r>
    </w:p>
    <w:p w:rsidR="00F66FAF" w:rsidRDefault="00473AFD">
      <w:pPr>
        <w:pStyle w:val="a3"/>
      </w:pPr>
      <w:r>
        <w:t>Целью и задачей территориального развития АПК Республики Бурятия является создание сбалансированной пространственно-экономической структуры АПК республики, направленной на обеспечение собственными продуктами питания населения республики в целом, районов и поселений в отдельности, развитие системы закупа и сбыта на селе.</w:t>
      </w:r>
    </w:p>
    <w:p w:rsidR="00F66FAF" w:rsidRDefault="00473AFD">
      <w:pPr>
        <w:pStyle w:val="a3"/>
      </w:pPr>
      <w:r>
        <w:t>Это создает хорошие условия для развития агропищевого кластера, предусмотренного в Программе СЭР РБ до 2017 года. Республика Бурятия располагает крупным научно-исследовательским и производственным потенциалом, разветвленной инфраструктурой и транспортными коммуникациями. Через регион проходят основные железнодорожные, автомобильные и авиационные пути России.</w:t>
      </w:r>
    </w:p>
    <w:p w:rsidR="00F66FAF" w:rsidRDefault="00473AFD">
      <w:pPr>
        <w:pStyle w:val="a3"/>
      </w:pPr>
      <w:r>
        <w:t>Удобное географическое положение позволяет организовать транспортировку продукции по Восточно-Сибирской железной дороге на запад и восток Российской Федерации, а также за ее пределы. Республика Бурятия имеет ряд преимуществ по сравнению с другими сибирскими регионами в развитии конкурентоспособного сельскохозяйственного производства - что обусловлено следующим: - развивающимся транспортнологистическим центром;</w:t>
      </w:r>
    </w:p>
    <w:p w:rsidR="00F66FAF" w:rsidRDefault="00473AFD">
      <w:pPr>
        <w:pStyle w:val="a3"/>
      </w:pPr>
      <w:r>
        <w:t>-условиями для повышения кадрового потенциала агропромышленного комплекса;</w:t>
      </w:r>
    </w:p>
    <w:p w:rsidR="00F66FAF" w:rsidRDefault="00473AFD">
      <w:pPr>
        <w:pStyle w:val="a3"/>
      </w:pPr>
      <w:r>
        <w:t>-возможностями для производства экологически безопасной продукции высокого качества;</w:t>
      </w:r>
    </w:p>
    <w:p w:rsidR="00F66FAF" w:rsidRDefault="00473AFD">
      <w:pPr>
        <w:pStyle w:val="a3"/>
      </w:pPr>
      <w:r>
        <w:t>-возможностями развития туристического бизнеса, роста занятости сельского населения;</w:t>
      </w:r>
    </w:p>
    <w:p w:rsidR="00F66FAF" w:rsidRDefault="00473AFD">
      <w:pPr>
        <w:pStyle w:val="a3"/>
      </w:pPr>
      <w:r>
        <w:t>-неиспользуемыми земельными уго- диями и другими природными ресурсами (водоемы, лесные угодья).</w:t>
      </w:r>
    </w:p>
    <w:p w:rsidR="00F66FAF" w:rsidRDefault="00473AFD">
      <w:pPr>
        <w:pStyle w:val="a3"/>
      </w:pPr>
      <w:r>
        <w:t>Таблица 5</w:t>
      </w:r>
    </w:p>
    <w:p w:rsidR="00F66FAF" w:rsidRDefault="00473AFD">
      <w:pPr>
        <w:pStyle w:val="a3"/>
      </w:pPr>
      <w:r>
        <w:t>Структура текущего потребления, производства в республике и ввоза продукции сельского хозяйства</w:t>
      </w:r>
    </w:p>
    <w:p w:rsidR="00F66FAF" w:rsidRDefault="00473AFD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</w:tblGrid>
      <w:tr w:rsidR="00F66FAF">
        <w:trPr>
          <w:trHeight w:val="840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Вид продукции сельского хозяйства</w:t>
            </w:r>
          </w:p>
        </w:tc>
        <w:tc>
          <w:tcPr>
            <w:tcW w:w="0" w:type="auto"/>
            <w:vAlign w:val="center"/>
            <w:hideMark/>
          </w:tcPr>
          <w:p w:rsidR="00F66FAF" w:rsidRPr="00473AFD" w:rsidRDefault="00473AFD">
            <w:pPr>
              <w:pStyle w:val="a3"/>
            </w:pPr>
            <w:r w:rsidRPr="00473AFD">
              <w:t>Текущее</w:t>
            </w:r>
          </w:p>
          <w:p w:rsidR="00F66FAF" w:rsidRPr="00473AFD" w:rsidRDefault="00473AFD">
            <w:pPr>
              <w:pStyle w:val="a3"/>
            </w:pPr>
            <w:r w:rsidRPr="00473AFD">
              <w:t>потребление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Производится на территории РБ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Ввозится в РБ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Потенциал роста (без учета потока туристов)</w:t>
            </w:r>
          </w:p>
        </w:tc>
      </w:tr>
      <w:tr w:rsidR="00F66FAF">
        <w:trPr>
          <w:trHeight w:val="555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Мясо и мясопродукты в убойной массе, тыс. тонн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62,0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33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29,0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47,0 %</w:t>
            </w:r>
          </w:p>
        </w:tc>
      </w:tr>
      <w:tr w:rsidR="00F66FAF">
        <w:trPr>
          <w:trHeight w:val="555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Молоко и молочные продукты, тыс. тонн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105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36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69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66,0 %</w:t>
            </w:r>
          </w:p>
        </w:tc>
      </w:tr>
      <w:tr w:rsidR="00F66FA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Овощи, тыс. тонн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62,4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42,6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19,8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31,0 %</w:t>
            </w:r>
          </w:p>
        </w:tc>
      </w:tr>
      <w:tr w:rsidR="00F66FA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Мясо птицы, тыс. тонн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10,5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0,08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10,4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99,0 %</w:t>
            </w:r>
          </w:p>
        </w:tc>
      </w:tr>
      <w:tr w:rsidR="00F66FAF">
        <w:trPr>
          <w:trHeight w:val="570"/>
          <w:tblCellSpacing w:w="0" w:type="dxa"/>
        </w:trPr>
        <w:tc>
          <w:tcPr>
            <w:tcW w:w="0" w:type="auto"/>
            <w:vAlign w:val="center"/>
            <w:hideMark/>
          </w:tcPr>
          <w:p w:rsidR="00F66FAF" w:rsidRDefault="00473AFD">
            <w:r>
              <w:t>Рыба и рыбная продукция, тыс. тонн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8,6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3,7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4,9</w:t>
            </w:r>
          </w:p>
        </w:tc>
        <w:tc>
          <w:tcPr>
            <w:tcW w:w="0" w:type="auto"/>
            <w:vAlign w:val="center"/>
            <w:hideMark/>
          </w:tcPr>
          <w:p w:rsidR="00F66FAF" w:rsidRDefault="00473AFD">
            <w:r>
              <w:t>57,0 %</w:t>
            </w:r>
          </w:p>
        </w:tc>
      </w:tr>
    </w:tbl>
    <w:p w:rsidR="00F66FAF" w:rsidRPr="00473AFD" w:rsidRDefault="00473AFD">
      <w:pPr>
        <w:pStyle w:val="a3"/>
      </w:pPr>
      <w:r>
        <w:t>В настоящее время в республике создаются все условия для наиболее полного использования потенциала долгосрочного экономического роста в потребительском секторе экономики. Строятся крупные туристические базы, сетевые супермаркеты, торгово-развлекательные комплексы. Активизации инвестиционной деятельности способствует наличие развитой финансовой инфраструктуры. Структура текущего потребления, производства и ввоза в республике сельхозпродукции представлена в таблице 5.</w:t>
      </w:r>
    </w:p>
    <w:p w:rsidR="00F66FAF" w:rsidRDefault="00473AFD">
      <w:pPr>
        <w:pStyle w:val="a3"/>
      </w:pPr>
      <w:r>
        <w:t>Перечисленные факторы являются хорошими предпосылками для развития государственно-частного партнерства, привлечения инвестиций в агропромышленный комплекс Республики Бурятия, создания и дальнейшего развития агрохолдингов по добыче и переработке рыбы, мяса птицы, молока, холдингов по производству и переработке зерна.</w:t>
      </w:r>
    </w:p>
    <w:p w:rsidR="00F66FAF" w:rsidRDefault="00473AFD">
      <w:pPr>
        <w:pStyle w:val="a3"/>
      </w:pPr>
      <w:r>
        <w:t>Из анализа деятельности агропромышленного комплекса региона следуют выводы:</w:t>
      </w:r>
    </w:p>
    <w:p w:rsidR="00F66FAF" w:rsidRDefault="00473AFD">
      <w:pPr>
        <w:pStyle w:val="a3"/>
      </w:pPr>
      <w:r>
        <w:t>- Региональный АПК относится к крупнейшему сектору экономики страны и представляет собой сложную экономическую систему, в которую интегрированы предприятия сельского хозяйства с предприятиями промышленности занятых производством средств производства, а также с отраслями, обеспечивающими заготовку сельскохозяйственной продукции и сырья, их транспортировку, хранение, переработку.</w:t>
      </w:r>
    </w:p>
    <w:p w:rsidR="00F66FAF" w:rsidRDefault="00473AFD">
      <w:pPr>
        <w:pStyle w:val="a3"/>
      </w:pPr>
      <w:r>
        <w:t>-Специфика развития системы АПК в регионе обусловлена его социальноэкономическими характеристиками, природно-климатическими особенностями и традиционными видами ведения сельскохозяйственного производства на основе организационно-технологических укладов в исторического развития сельского хозяйства региона.</w:t>
      </w:r>
    </w:p>
    <w:p w:rsidR="00F66FAF" w:rsidRDefault="00473AFD">
      <w:pPr>
        <w:pStyle w:val="a3"/>
      </w:pPr>
      <w:r>
        <w:t>- Развитие агропромышленного развития Республики Бурятия в контексте стратегии развития АПК Сибирского Федерального округа предполагает создание сбалансированной пространственно-экономической структуры АПК республики, направленной на обеспечение собственными продуктами питания населения республики.</w:t>
      </w:r>
    </w:p>
    <w:p w:rsidR="00F66FAF" w:rsidRDefault="00473AFD">
      <w:pPr>
        <w:pStyle w:val="a3"/>
      </w:pPr>
      <w:r>
        <w:t>Список литературы</w:t>
      </w:r>
    </w:p>
    <w:p w:rsidR="00F66FAF" w:rsidRDefault="00473AFD">
      <w:pPr>
        <w:pStyle w:val="a3"/>
      </w:pPr>
      <w:r>
        <w:t>Постановление «О стратегии социально-экономического развития Республики Бурятия до 2025 г.» от 15 декабря 2007 г. N 410. // [Электрон.ресурс] http: // egov-buryatia.ru</w:t>
      </w:r>
    </w:p>
    <w:p w:rsidR="00F66FAF" w:rsidRDefault="00473AFD">
      <w:pPr>
        <w:pStyle w:val="a3"/>
      </w:pPr>
      <w:r>
        <w:t>Закон Республики Бурятия «О Программе социально-экономического развития Республики Бурятия на 20112015 годы» от 14 марта 2011 г. N 1907-IV. [Электрон.ресурс]. http://egov-buryatia.ru</w:t>
      </w:r>
      <w:bookmarkStart w:id="0" w:name="_GoBack"/>
      <w:bookmarkEnd w:id="0"/>
    </w:p>
    <w:sectPr w:rsidR="00F66F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3AFD"/>
    <w:rsid w:val="00473AFD"/>
    <w:rsid w:val="00D81AED"/>
    <w:rsid w:val="00F6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8E509-ABB2-48B9-BDFA-ACF8A4AD8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2060</Words>
  <Characters>11748</Characters>
  <Application>Microsoft Office Word</Application>
  <DocSecurity>0</DocSecurity>
  <Lines>97</Lines>
  <Paragraphs>27</Paragraphs>
  <ScaleCrop>false</ScaleCrop>
  <Company>diakov.net</Company>
  <LinksUpToDate>false</LinksUpToDate>
  <CharactersWithSpaces>13781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состояния и развития агропромышленного комплекса региона</dc:title>
  <dc:subject/>
  <dc:creator>Irina</dc:creator>
  <cp:keywords/>
  <dc:description/>
  <cp:lastModifiedBy>Irina</cp:lastModifiedBy>
  <cp:revision>2</cp:revision>
  <dcterms:created xsi:type="dcterms:W3CDTF">2014-08-02T19:15:00Z</dcterms:created>
  <dcterms:modified xsi:type="dcterms:W3CDTF">2014-08-02T19:15:00Z</dcterms:modified>
</cp:coreProperties>
</file>