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A7A" w:rsidRDefault="00160DDC">
      <w:pPr>
        <w:pStyle w:val="1"/>
        <w:jc w:val="center"/>
      </w:pPr>
      <w:r>
        <w:t>Роль инфраструктуры в развитии экономики региона</w:t>
      </w:r>
    </w:p>
    <w:p w:rsidR="00CD3A7A" w:rsidRPr="00160DDC" w:rsidRDefault="00160DDC">
      <w:pPr>
        <w:pStyle w:val="a3"/>
      </w:pPr>
      <w:r>
        <w:t> Далисова Н.А., Терешонок В.П.</w:t>
      </w:r>
    </w:p>
    <w:p w:rsidR="00CD3A7A" w:rsidRDefault="00160DDC">
      <w:pPr>
        <w:pStyle w:val="a3"/>
      </w:pPr>
      <w:r>
        <w:t>Эффективное функционирование и реализация динамизма и гибкости современной экономики обеспечивается состоянием ее инфраструктуры. Выделяют два методологических подхода к определению сущности и содержания инфраструктуры: отраслевой (определяется как совокупность отраслей хозяйствования, обеспечивающих общие условия воспроизводства) и функциональный (определяется как особая совокупность организационных, производственных и социальных функций). Учитывая эти два подхода можно согласиться со следующим определением: «Инфраструктура - это объективно сложившаяся в результате общественного разделения труда система общих условий обеспечения общественного воспроизводства в рамках народного хозяйства и каждого его звена, представляющая совокупность рациональных технологических, организационно-экономических, информационных, социальных и др. взаимосвязей по эффективному обслуживанию функционирования структурообразующих отраслей и жизнеобеспечения населения».</w:t>
      </w:r>
    </w:p>
    <w:p w:rsidR="00CD3A7A" w:rsidRDefault="00160DDC">
      <w:pPr>
        <w:pStyle w:val="a3"/>
      </w:pPr>
      <w:r>
        <w:t>В свою очередь степень полноты и комплексности инфраструктуры влияет на характер и на особенности отраслевой и территориальной организации общественного производства, на условия жизни и деятельности населения регионов. Под воздействием инфраструктуры формируется экономический, социальный, демографический и рассе- ленческий облик территории. Низкий уровень инфраструктурного обеспечения сдерживает процесс размещения и развития производительных сил, вызывает дополнительные затраты на создание первоначальной производственно-технической базы. Поэтому ряд целевых программ регионального развития экономики и социальной сферы требуют учета сложившегося инфраструктурного потенциала территории.</w:t>
      </w:r>
    </w:p>
    <w:p w:rsidR="00CD3A7A" w:rsidRDefault="00160DDC">
      <w:pPr>
        <w:pStyle w:val="a3"/>
      </w:pPr>
      <w:r>
        <w:t>Территориальная инфраструктура локального масштаба, адекватная местным условиям формируется в административных районах, в средних и мелких населенных пунктах. Все низовые структуры связаны с АПК и обуславливают его эффективное развитие. Для локальных территорий характерен свой состав инфраструктурных элементов, который отличается большим разнообразием предлагаемых услуг для конкретного потребителя.</w:t>
      </w:r>
    </w:p>
    <w:p w:rsidR="00CD3A7A" w:rsidRDefault="00160DDC">
      <w:pPr>
        <w:pStyle w:val="a3"/>
      </w:pPr>
      <w:r>
        <w:t>Совокупность факторов, определяющих социально-экономические и пространственные особенности функционирования инфраструктуры, составляет потенциал ее развития. Потенциалом количественно характеризуется способность территориальной системы обслуживания выполнять ее целевую функцию - удовлетворять различные потребности населения территории и производства в услугах, поэтому необходимо учитывать величину инфраструктурного потенциала территории.</w:t>
      </w:r>
    </w:p>
    <w:p w:rsidR="00CD3A7A" w:rsidRDefault="00FF37F6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95.25pt;height:26.25pt">
            <v:imagedata r:id="rId4" o:title=""/>
          </v:shape>
        </w:pict>
      </w:r>
    </w:p>
    <w:p w:rsidR="00CD3A7A" w:rsidRDefault="00160DDC">
      <w:pPr>
        <w:pStyle w:val="a3"/>
      </w:pPr>
      <w:r>
        <w:t>Исследование социально - экономического потенциала целесообразно проводить на основе факторного анализа. Сводным показателем при факторном подходе к оценке социально-экономического потенциала инфраструктуры может выступить сумма множества средневзвешенных оценок по всем факторам [4]</w:t>
      </w:r>
    </w:p>
    <w:p w:rsidR="00CD3A7A" w:rsidRDefault="00160DDC">
      <w:pPr>
        <w:pStyle w:val="a3"/>
      </w:pPr>
      <w:r>
        <w:t>2 = 1 .</w:t>
      </w:r>
    </w:p>
    <w:p w:rsidR="00CD3A7A" w:rsidRDefault="00160DDC">
      <w:pPr>
        <w:pStyle w:val="a3"/>
      </w:pPr>
      <w:r>
        <w:t>где Q- суммарная взвешенная оценка потенциала инфраструктуры (региона или отрасли);</w:t>
      </w:r>
    </w:p>
    <w:p w:rsidR="00CD3A7A" w:rsidRDefault="00160DDC">
      <w:pPr>
        <w:pStyle w:val="a3"/>
      </w:pPr>
      <w:r>
        <w:t>xj - средняя балльная оценка j-го фактора для региона, отрасли;</w:t>
      </w:r>
    </w:p>
    <w:p w:rsidR="00CD3A7A" w:rsidRDefault="00160DDC">
      <w:pPr>
        <w:pStyle w:val="a3"/>
      </w:pPr>
      <w:r>
        <w:t>PJ - вес j -го фактора.</w:t>
      </w:r>
    </w:p>
    <w:p w:rsidR="00CD3A7A" w:rsidRDefault="00160DDC">
      <w:pPr>
        <w:pStyle w:val="a3"/>
      </w:pPr>
      <w:r>
        <w:t>Потенциал территории представляет собой совокупность материальных объектов по обслуживанию производства, населения и общества в целом, способных удовлетворить в процессе функционирования различные потребности в материальных и нематериальных благах и услугах в границах (пределах) данной территориальной общности людей. Этим потенциалом количественно характеризуется способность территориальной системы обслуживания выполнять ее целевую функцию - удовлетворять различные потребности населения территории и производства в услугах. Поэтому, одной из важнейших задач - становится определение величины инфраструктурного потенциала территории. Так, для сравнительного анализа уровня экономической освоенности территорий предлагается использовать индекс хозяйственного развития, который позволяет оценить экономический потенциал различных регионов с учетом их площади и населения [3].</w:t>
      </w:r>
    </w:p>
    <w:p w:rsidR="00CD3A7A" w:rsidRDefault="00FF37F6">
      <w:pPr>
        <w:pStyle w:val="a3"/>
      </w:pPr>
      <w:r>
        <w:rPr>
          <w:noProof/>
        </w:rPr>
        <w:pict>
          <v:shape id="_x0000_i1032" type="#_x0000_t75" style="width:74.25pt;height:36.75pt">
            <v:imagedata r:id="rId5" o:title=""/>
          </v:shape>
        </w:pict>
      </w:r>
    </w:p>
    <w:p w:rsidR="00CD3A7A" w:rsidRDefault="00160DDC">
      <w:pPr>
        <w:pStyle w:val="a3"/>
      </w:pPr>
      <w:r>
        <w:t>где V - суммарная добавленная стоимость или иной показатель, характеризующий объем хозяйственной деятельности (руб.);</w:t>
      </w:r>
    </w:p>
    <w:p w:rsidR="00CD3A7A" w:rsidRDefault="00160DDC">
      <w:pPr>
        <w:pStyle w:val="a3"/>
      </w:pPr>
      <w:r>
        <w:t>N - численность населения (тыс. человек);</w:t>
      </w:r>
    </w:p>
    <w:p w:rsidR="00CD3A7A" w:rsidRDefault="00160DDC">
      <w:pPr>
        <w:pStyle w:val="a3"/>
      </w:pPr>
      <w:r>
        <w:t>S - площадь территории (тыс. кв. м.).</w:t>
      </w:r>
    </w:p>
    <w:p w:rsidR="00CD3A7A" w:rsidRDefault="00160DDC">
      <w:pPr>
        <w:pStyle w:val="a3"/>
      </w:pPr>
      <w:r>
        <w:t>Пример расчета экономического потенциала районов Южной зоны Красноярского края представлен в таблице 1. Минусинский район занимает третью позицию в рейтинге по уровню экономической освоенности территории среди районов южной зоны края с учетом их площади и населения.</w:t>
      </w:r>
    </w:p>
    <w:p w:rsidR="00CD3A7A" w:rsidRDefault="00160DDC">
      <w:pPr>
        <w:pStyle w:val="a3"/>
      </w:pPr>
      <w:r>
        <w:t>Таблица 1. Экономический потенциал территории районов южной зоны с учетом площади и численности населения</w:t>
      </w:r>
    </w:p>
    <w:p w:rsidR="00CD3A7A" w:rsidRDefault="00160DDC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</w:tblGrid>
      <w:tr w:rsidR="00CD3A7A">
        <w:trPr>
          <w:trHeight w:val="84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районы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показатель, характеризующий объем хозяйственной деятельности, млн. руб.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численность населения, тыс. чел.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площадь территории, тыс. кв. км.</w:t>
            </w:r>
          </w:p>
        </w:tc>
        <w:tc>
          <w:tcPr>
            <w:tcW w:w="0" w:type="auto"/>
            <w:vAlign w:val="center"/>
            <w:hideMark/>
          </w:tcPr>
          <w:p w:rsidR="00CD3A7A" w:rsidRPr="00160DDC" w:rsidRDefault="00160DDC">
            <w:pPr>
              <w:pStyle w:val="a3"/>
            </w:pPr>
            <w:r w:rsidRPr="00160DDC">
              <w:t>индекс</w:t>
            </w:r>
          </w:p>
          <w:p w:rsidR="00CD3A7A" w:rsidRPr="00160DDC" w:rsidRDefault="00160DDC">
            <w:pPr>
              <w:pStyle w:val="a3"/>
            </w:pPr>
            <w:r w:rsidRPr="00160DDC">
              <w:t>хозяйственного</w:t>
            </w:r>
          </w:p>
          <w:p w:rsidR="00CD3A7A" w:rsidRPr="00160DDC" w:rsidRDefault="00160DDC">
            <w:pPr>
              <w:pStyle w:val="a3"/>
            </w:pPr>
            <w:r w:rsidRPr="00160DDC">
              <w:t>развития,</w:t>
            </w:r>
          </w:p>
          <w:p w:rsidR="00CD3A7A" w:rsidRPr="00160DDC" w:rsidRDefault="00160DDC">
            <w:pPr>
              <w:pStyle w:val="a3"/>
            </w:pPr>
            <w:r w:rsidRPr="00160DDC">
              <w:t>Iz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ранг</w:t>
            </w:r>
          </w:p>
        </w:tc>
      </w:tr>
      <w:tr w:rsidR="00CD3A7A">
        <w:trPr>
          <w:trHeight w:val="49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Ермаковский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109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22,1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17,7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5,503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8</w:t>
            </w:r>
          </w:p>
        </w:tc>
      </w:tr>
      <w:tr w:rsidR="00CD3A7A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Идринский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124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14,9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6,1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13,049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6</w:t>
            </w:r>
          </w:p>
        </w:tc>
      </w:tr>
      <w:tr w:rsidR="00CD3A7A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Каратузский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90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17,7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10,2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6,608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7</w:t>
            </w:r>
          </w:p>
        </w:tc>
      </w:tr>
      <w:tr w:rsidR="00CD3A7A">
        <w:trPr>
          <w:trHeight w:val="49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Краснотуранский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373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16,9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3,5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48,726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</w:t>
            </w:r>
          </w:p>
        </w:tc>
      </w:tr>
      <w:tr w:rsidR="00CD3A7A">
        <w:trPr>
          <w:trHeight w:val="49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Курагинский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961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51,8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24,1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27,206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</w:t>
            </w:r>
          </w:p>
        </w:tc>
      </w:tr>
      <w:tr w:rsidR="00CD3A7A">
        <w:trPr>
          <w:trHeight w:val="49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Минусинский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376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25,7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3,2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41,57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</w:t>
            </w:r>
          </w:p>
        </w:tc>
      </w:tr>
      <w:tr w:rsidR="00CD3A7A">
        <w:trPr>
          <w:trHeight w:val="49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Новоселовский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434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3,9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55,133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</w:t>
            </w:r>
          </w:p>
        </w:tc>
      </w:tr>
      <w:tr w:rsidR="00CD3A7A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Шушенский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495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35,8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10,1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26,001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</w:t>
            </w:r>
          </w:p>
        </w:tc>
      </w:tr>
    </w:tbl>
    <w:p w:rsidR="00CD3A7A" w:rsidRPr="00160DDC" w:rsidRDefault="00160DDC">
      <w:pPr>
        <w:pStyle w:val="a3"/>
      </w:pPr>
      <w:r>
        <w:t> </w:t>
      </w:r>
    </w:p>
    <w:p w:rsidR="00CD3A7A" w:rsidRDefault="00FF37F6">
      <w:pPr>
        <w:pStyle w:val="a3"/>
      </w:pPr>
      <w:r>
        <w:rPr>
          <w:noProof/>
        </w:rPr>
        <w:pict>
          <v:shape id="_x0000_i1035" type="#_x0000_t75" style="width:155.25pt;height:33pt">
            <v:imagedata r:id="rId6" o:title=""/>
          </v:shape>
        </w:pict>
      </w:r>
    </w:p>
    <w:p w:rsidR="00CD3A7A" w:rsidRDefault="00160DDC">
      <w:pPr>
        <w:pStyle w:val="a3"/>
      </w:pPr>
      <w:r>
        <w:t>Для более полной оценки уровня инфраструктурного и хозяйственного развития территории и сравнения со средним предлагаем использовать следующий показатель:</w:t>
      </w:r>
    </w:p>
    <w:p w:rsidR="00CD3A7A" w:rsidRDefault="00160DDC">
      <w:pPr>
        <w:pStyle w:val="a3"/>
      </w:pPr>
      <w:r>
        <w:t>Y - индекс уровня инфраструктурного и хозяйственного развития территории (района);</w:t>
      </w:r>
    </w:p>
    <w:p w:rsidR="00CD3A7A" w:rsidRDefault="00160DDC">
      <w:pPr>
        <w:pStyle w:val="a3"/>
      </w:pPr>
      <w:r>
        <w:t>nij - значение i-го показателя уровня инфраструктурного или хозяйственного развития j-й территории (района);</w:t>
      </w:r>
    </w:p>
    <w:p w:rsidR="00CD3A7A" w:rsidRDefault="00160DDC">
      <w:pPr>
        <w:pStyle w:val="a3"/>
      </w:pPr>
      <w:r>
        <w:t>Шбаз - эталонное (лучшее) значение i-го показателя уровня инфраструктурного или хозяйственного развития территории (района) в исследуемой группе;</w:t>
      </w:r>
    </w:p>
    <w:p w:rsidR="00CD3A7A" w:rsidRDefault="00160DDC">
      <w:pPr>
        <w:pStyle w:val="a3"/>
      </w:pPr>
      <w:r>
        <w:t>n - количество показателей уровня инфраструктурного или хозяйственного развития территории (района);</w:t>
      </w:r>
    </w:p>
    <w:p w:rsidR="00CD3A7A" w:rsidRDefault="00160DDC">
      <w:pPr>
        <w:pStyle w:val="a3"/>
      </w:pPr>
      <w:r>
        <w:t>m -количество территорий (районов) в исследуемой группе.</w:t>
      </w:r>
    </w:p>
    <w:p w:rsidR="00CD3A7A" w:rsidRDefault="00160DDC">
      <w:pPr>
        <w:pStyle w:val="a3"/>
      </w:pPr>
      <w:r>
        <w:t>В качестве базового следует выбирать наилучший показатель среди районов исследуемой группы.</w:t>
      </w:r>
    </w:p>
    <w:p w:rsidR="00CD3A7A" w:rsidRDefault="00160DDC">
      <w:pPr>
        <w:pStyle w:val="a3"/>
      </w:pPr>
      <w:r>
        <w:t>С учетом этого индекса по общему уровню развития территории Минусинский район занимает четвертую позицию в южной зоне края.</w:t>
      </w:r>
    </w:p>
    <w:p w:rsidR="00CD3A7A" w:rsidRDefault="00160DDC">
      <w:pPr>
        <w:pStyle w:val="a3"/>
      </w:pPr>
      <w:r>
        <w:t>Талица 2. Уровень инфраструктурного и хозяйственного развития территории</w:t>
      </w:r>
    </w:p>
    <w:p w:rsidR="00CD3A7A" w:rsidRDefault="00160DDC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CD3A7A">
        <w:trPr>
          <w:trHeight w:val="100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район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общее хозяйственное развитие территории, ранг</w:t>
            </w:r>
          </w:p>
        </w:tc>
        <w:tc>
          <w:tcPr>
            <w:tcW w:w="0" w:type="auto"/>
            <w:vAlign w:val="center"/>
            <w:hideMark/>
          </w:tcPr>
          <w:p w:rsidR="00CD3A7A" w:rsidRPr="00160DDC" w:rsidRDefault="00160DDC">
            <w:pPr>
              <w:pStyle w:val="a3"/>
            </w:pPr>
            <w:r w:rsidRPr="00160DDC">
              <w:t>развитие</w:t>
            </w:r>
          </w:p>
          <w:p w:rsidR="00CD3A7A" w:rsidRPr="00160DDC" w:rsidRDefault="00160DDC">
            <w:pPr>
              <w:pStyle w:val="a3"/>
            </w:pPr>
            <w:r w:rsidRPr="00160DDC">
              <w:t>сельского</w:t>
            </w:r>
          </w:p>
          <w:p w:rsidR="00CD3A7A" w:rsidRPr="00160DDC" w:rsidRDefault="00160DDC">
            <w:pPr>
              <w:pStyle w:val="a3"/>
            </w:pPr>
            <w:r w:rsidRPr="00160DDC">
              <w:t>хозяйства,</w:t>
            </w:r>
          </w:p>
          <w:p w:rsidR="00CD3A7A" w:rsidRPr="00160DDC" w:rsidRDefault="00160DDC">
            <w:pPr>
              <w:pStyle w:val="a3"/>
            </w:pPr>
            <w:r w:rsidRPr="00160DDC">
              <w:t>ранг</w:t>
            </w:r>
          </w:p>
        </w:tc>
        <w:tc>
          <w:tcPr>
            <w:tcW w:w="0" w:type="auto"/>
            <w:vAlign w:val="center"/>
            <w:hideMark/>
          </w:tcPr>
          <w:p w:rsidR="00CD3A7A" w:rsidRPr="00160DDC" w:rsidRDefault="00160DDC">
            <w:pPr>
              <w:pStyle w:val="a3"/>
            </w:pPr>
            <w:r w:rsidRPr="00160DDC">
              <w:t>развитие</w:t>
            </w:r>
          </w:p>
          <w:p w:rsidR="00CD3A7A" w:rsidRPr="00160DDC" w:rsidRDefault="00160DDC">
            <w:pPr>
              <w:pStyle w:val="a3"/>
            </w:pPr>
            <w:r w:rsidRPr="00160DDC">
              <w:t>социальной</w:t>
            </w:r>
          </w:p>
          <w:p w:rsidR="00CD3A7A" w:rsidRPr="00160DDC" w:rsidRDefault="00160DDC">
            <w:pPr>
              <w:pStyle w:val="a3"/>
            </w:pPr>
            <w:r w:rsidRPr="00160DDC">
              <w:t>инфраструктуры,</w:t>
            </w:r>
          </w:p>
          <w:p w:rsidR="00CD3A7A" w:rsidRPr="00160DDC" w:rsidRDefault="00160DDC">
            <w:pPr>
              <w:pStyle w:val="a3"/>
            </w:pPr>
            <w:r w:rsidRPr="00160DDC">
              <w:t>ранг</w:t>
            </w:r>
          </w:p>
        </w:tc>
        <w:tc>
          <w:tcPr>
            <w:tcW w:w="0" w:type="auto"/>
            <w:vAlign w:val="center"/>
            <w:hideMark/>
          </w:tcPr>
          <w:p w:rsidR="00CD3A7A" w:rsidRPr="00160DDC" w:rsidRDefault="00160DDC">
            <w:pPr>
              <w:pStyle w:val="a3"/>
            </w:pPr>
            <w:r w:rsidRPr="00160DDC">
              <w:t>развитие</w:t>
            </w:r>
          </w:p>
          <w:p w:rsidR="00CD3A7A" w:rsidRPr="00160DDC" w:rsidRDefault="00160DDC">
            <w:pPr>
              <w:pStyle w:val="a3"/>
            </w:pPr>
            <w:r w:rsidRPr="00160DDC">
              <w:t>производственной</w:t>
            </w:r>
          </w:p>
          <w:p w:rsidR="00CD3A7A" w:rsidRPr="00160DDC" w:rsidRDefault="00160DDC">
            <w:pPr>
              <w:pStyle w:val="a3"/>
            </w:pPr>
            <w:r w:rsidRPr="00160DDC">
              <w:t>инфраструктуры,</w:t>
            </w:r>
          </w:p>
          <w:p w:rsidR="00CD3A7A" w:rsidRPr="00160DDC" w:rsidRDefault="00160DDC">
            <w:pPr>
              <w:pStyle w:val="a3"/>
            </w:pPr>
            <w:r w:rsidRPr="00160DDC">
              <w:t>ранг</w:t>
            </w:r>
          </w:p>
        </w:tc>
      </w:tr>
      <w:tr w:rsidR="00CD3A7A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Ермаковский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7</w:t>
            </w:r>
          </w:p>
        </w:tc>
      </w:tr>
      <w:tr w:rsidR="00CD3A7A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Идринский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8</w:t>
            </w:r>
          </w:p>
        </w:tc>
      </w:tr>
      <w:tr w:rsidR="00CD3A7A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Каратузский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6</w:t>
            </w:r>
          </w:p>
        </w:tc>
      </w:tr>
      <w:tr w:rsidR="00CD3A7A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Краснотуранский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</w:t>
            </w:r>
          </w:p>
        </w:tc>
      </w:tr>
      <w:tr w:rsidR="00CD3A7A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Курагинский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</w:t>
            </w:r>
          </w:p>
        </w:tc>
      </w:tr>
      <w:tr w:rsidR="00CD3A7A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Минусинский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</w:t>
            </w:r>
          </w:p>
        </w:tc>
      </w:tr>
      <w:tr w:rsidR="00CD3A7A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Новоселовский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</w:t>
            </w:r>
          </w:p>
        </w:tc>
      </w:tr>
      <w:tr w:rsidR="00CD3A7A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CD3A7A" w:rsidRDefault="00160DDC">
            <w:r>
              <w:t>Шушенский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CD3A7A" w:rsidRDefault="00160DDC">
            <w:r>
              <w:t>2</w:t>
            </w:r>
          </w:p>
        </w:tc>
      </w:tr>
    </w:tbl>
    <w:p w:rsidR="00CD3A7A" w:rsidRPr="00160DDC" w:rsidRDefault="00160DDC">
      <w:pPr>
        <w:pStyle w:val="a3"/>
      </w:pPr>
      <w:r>
        <w:t>Эффективность использования ресурсного потенциала инфраструктуры не ограничивается экономическими рамками, она включает в себя и социальные аспекты, поскольку важным ее критерием выступает степень удовлетворения социально значимых потребностей.</w:t>
      </w:r>
    </w:p>
    <w:p w:rsidR="00CD3A7A" w:rsidRDefault="00160DDC">
      <w:pPr>
        <w:pStyle w:val="a3"/>
      </w:pPr>
      <w:r>
        <w:t>Таким образом, развитие инфраструктуры на локальном уровне находится в компетенции местных органов. Она становится важным объектом региональной политики, в рамках которой решаются вопросы комплексного использования всех ресурсов, оптимального сочетания рыночных и административных методов, развития сельских территорий, а также расширения межрегиональных связей.</w:t>
      </w:r>
    </w:p>
    <w:p w:rsidR="00CD3A7A" w:rsidRDefault="00160DDC">
      <w:pPr>
        <w:pStyle w:val="a3"/>
      </w:pPr>
      <w:r>
        <w:t>Список литературы</w:t>
      </w:r>
    </w:p>
    <w:p w:rsidR="00CD3A7A" w:rsidRDefault="00160DDC">
      <w:pPr>
        <w:pStyle w:val="a3"/>
      </w:pPr>
      <w:r>
        <w:t>Говорин А.А. Инфраструктура современного предпринимательства: проблемы теории и практики. М.,1999.</w:t>
      </w:r>
    </w:p>
    <w:p w:rsidR="00CD3A7A" w:rsidRDefault="00160DDC">
      <w:pPr>
        <w:pStyle w:val="a3"/>
      </w:pPr>
      <w:r>
        <w:t>Далисова Н.А. Роль инфраструктуры в развитии рыночной экономики. Материалы конференции участников «Программы обмена профессорско-преподавательским составом» (FEP 1995-2002). Вашингтон, 2004. С. 31.</w:t>
      </w:r>
    </w:p>
    <w:p w:rsidR="00CD3A7A" w:rsidRDefault="00160DDC">
      <w:pPr>
        <w:pStyle w:val="a3"/>
      </w:pPr>
      <w:r>
        <w:t>Лопатников Д.Л., Эстеров А.И. Возможности использования индекса хозяйственного развития территории в сравнительном экономико-географическом анализе//Изв. АНСер. Географ.1997. №2. С.85.</w:t>
      </w:r>
    </w:p>
    <w:p w:rsidR="00CD3A7A" w:rsidRDefault="00160DDC">
      <w:pPr>
        <w:pStyle w:val="a3"/>
      </w:pPr>
      <w:r>
        <w:t>Федоров В.Н. Социально-экономический потенциал инфраструктуры: содержание, оценка и анализ развития. Ульяновск, 2000.</w:t>
      </w:r>
    </w:p>
    <w:p w:rsidR="00CD3A7A" w:rsidRDefault="00160DDC">
      <w:pPr>
        <w:pStyle w:val="a3"/>
      </w:pPr>
      <w:r>
        <w:t>Яковлева С.И. Инфраструктура в системе территориальной организации старопромышленных районов России: Монография. Тверь, 2000.</w:t>
      </w:r>
    </w:p>
    <w:p w:rsidR="00CD3A7A" w:rsidRDefault="00160DDC">
      <w:pPr>
        <w:pStyle w:val="a3"/>
      </w:pPr>
      <w:r>
        <w:t>Постановление Избирательной комиссии Республики Коми от 15 марта 2007 г. № 01-09/814.</w:t>
      </w:r>
      <w:bookmarkStart w:id="0" w:name="_GoBack"/>
      <w:bookmarkEnd w:id="0"/>
    </w:p>
    <w:sectPr w:rsidR="00CD3A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DDC"/>
    <w:rsid w:val="00160DDC"/>
    <w:rsid w:val="00CD3A7A"/>
    <w:rsid w:val="00FF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8C939FE-F535-4E46-BEA4-BFF3CA8B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6543</Characters>
  <Application>Microsoft Office Word</Application>
  <DocSecurity>0</DocSecurity>
  <Lines>54</Lines>
  <Paragraphs>15</Paragraphs>
  <ScaleCrop>false</ScaleCrop>
  <Company>diakov.net</Company>
  <LinksUpToDate>false</LinksUpToDate>
  <CharactersWithSpaces>7675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инфраструктуры в развитии экономики региона</dc:title>
  <dc:subject/>
  <dc:creator>Irina</dc:creator>
  <cp:keywords/>
  <dc:description/>
  <cp:lastModifiedBy>Irina</cp:lastModifiedBy>
  <cp:revision>2</cp:revision>
  <dcterms:created xsi:type="dcterms:W3CDTF">2014-08-02T18:31:00Z</dcterms:created>
  <dcterms:modified xsi:type="dcterms:W3CDTF">2014-08-02T18:31:00Z</dcterms:modified>
</cp:coreProperties>
</file>