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1E0" w:rsidRPr="00E72F37" w:rsidRDefault="004511E0" w:rsidP="004511E0">
      <w:pPr>
        <w:spacing w:before="120"/>
        <w:jc w:val="center"/>
        <w:rPr>
          <w:b/>
          <w:sz w:val="32"/>
        </w:rPr>
      </w:pPr>
      <w:r w:rsidRPr="00E72F37">
        <w:rPr>
          <w:b/>
          <w:sz w:val="32"/>
        </w:rPr>
        <w:t>Инновационное развитие экономики России: региональный аспект</w:t>
      </w:r>
    </w:p>
    <w:p w:rsidR="004511E0" w:rsidRPr="00E72F37" w:rsidRDefault="004511E0" w:rsidP="004511E0">
      <w:pPr>
        <w:spacing w:before="120"/>
        <w:jc w:val="center"/>
        <w:rPr>
          <w:sz w:val="28"/>
        </w:rPr>
      </w:pPr>
      <w:r w:rsidRPr="00E72F37">
        <w:rPr>
          <w:sz w:val="28"/>
        </w:rPr>
        <w:t xml:space="preserve">А. С. Родивилов, И. М. Темкина 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Приоритетной задачей России в XXI в. является всесторонняя модернизация общественной жизни. Главная составляющая этого процесса — модернизация и техническое обновление производственной сферы. От решения проблем модернизации зависят выход страны на новый технический уровень</w:t>
      </w:r>
      <w:r>
        <w:t xml:space="preserve">, </w:t>
      </w:r>
      <w:r w:rsidRPr="00E72F37">
        <w:t>ее выживание и обеспечение лидирующих позиций в мире [5].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Инновационная составляющая в экономике возникла в середине ХХ в. и в новом столетии приобрела лидирующее значение в постиндустриальных странах. В России серьезным тормозом инновационного развития являются отсталая отраслевая структура экономики с преобладанием отраслей добывающей промышленности</w:t>
      </w:r>
      <w:r>
        <w:t xml:space="preserve">, </w:t>
      </w:r>
      <w:r w:rsidRPr="00E72F37">
        <w:t>а также глубокое отставание по ряду технологических направлений. Сюда следует отнести в первую очередь информационные технологии</w:t>
      </w:r>
      <w:r>
        <w:t xml:space="preserve">, </w:t>
      </w:r>
      <w:r w:rsidRPr="00E72F37">
        <w:t>технологии энергетики и энергосбережения</w:t>
      </w:r>
      <w:r>
        <w:t xml:space="preserve">, </w:t>
      </w:r>
      <w:r w:rsidRPr="00E72F37">
        <w:t>технологии обеспечения экономической безопасности и некоторые другие. Одновременно следует отметить</w:t>
      </w:r>
      <w:r>
        <w:t xml:space="preserve">, </w:t>
      </w:r>
      <w:r w:rsidRPr="00E72F37">
        <w:t>что пока еще Россия сохраняет передовые позиции в мире по ряду наукоемких отраслей. Это ракетно-космические отрасли</w:t>
      </w:r>
      <w:r>
        <w:t xml:space="preserve">, </w:t>
      </w:r>
      <w:r w:rsidRPr="00E72F37">
        <w:t>военная авиация</w:t>
      </w:r>
      <w:r>
        <w:t xml:space="preserve">, </w:t>
      </w:r>
      <w:r w:rsidRPr="00E72F37">
        <w:t>ядерные технологии</w:t>
      </w:r>
      <w:r>
        <w:t xml:space="preserve">, </w:t>
      </w:r>
      <w:r w:rsidRPr="00E72F37">
        <w:t>технологические разработки новых материалов и др. [1].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Следовательно</w:t>
      </w:r>
      <w:r>
        <w:t xml:space="preserve">, </w:t>
      </w:r>
      <w:r w:rsidRPr="00E72F37">
        <w:t>нынешние условия формирования инновационной экономики в РФ имеют определенные плюсы и минусы. Их необходимо учитывать при разработке стратегии перехода к инновационной экономике общенационального масштаба. Решающую роль в разработке такой стратегии должно сыграть государство</w:t>
      </w:r>
      <w:r>
        <w:t xml:space="preserve">, </w:t>
      </w:r>
      <w:r w:rsidRPr="00E72F37">
        <w:t>так как оно является самым крупным собственником наукоемкого производства и основным потребителем наукоемких технологий. От него зависит и продвижение этих товаров на мировые рынки. При этом необходимо соединение ресурсов и усилий государства и бизнеса в финансировании и реализации инновационных проектов. Задача государства состоит в обеспечении законодательных стимулов и налоговых льгот для всех участников инновационного процесса.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Процесс формирования инновационной экономики в Российской Федерации должен охватить все уровни — экономику в целом (макроуровень)</w:t>
      </w:r>
      <w:r>
        <w:t xml:space="preserve">, </w:t>
      </w:r>
      <w:r w:rsidRPr="00E72F37">
        <w:t>региональный и отраслевой уровни (мезоуровень)</w:t>
      </w:r>
      <w:r>
        <w:t xml:space="preserve">, </w:t>
      </w:r>
      <w:r w:rsidRPr="00E72F37">
        <w:t>а также уровень отдельных хозяйствующих субъектов (микроуровень). Объектом нашего исследования является региональный уровень. Регионы Российской Федерации существенно отличаются по социально-экономическому развитию</w:t>
      </w:r>
      <w:r>
        <w:t xml:space="preserve">, </w:t>
      </w:r>
      <w:r w:rsidRPr="00E72F37">
        <w:t>природно-климатическим условиям</w:t>
      </w:r>
      <w:r>
        <w:t xml:space="preserve">, </w:t>
      </w:r>
      <w:r w:rsidRPr="00E72F37">
        <w:t>творческому и культурному потенциалу и</w:t>
      </w:r>
      <w:r>
        <w:t xml:space="preserve">, </w:t>
      </w:r>
      <w:r w:rsidRPr="00E72F37">
        <w:t>следовательно</w:t>
      </w:r>
      <w:r>
        <w:t xml:space="preserve">, </w:t>
      </w:r>
      <w:r w:rsidRPr="00E72F37">
        <w:t>имеют разные исходные</w:t>
      </w:r>
      <w:r>
        <w:t xml:space="preserve">, </w:t>
      </w:r>
      <w:r w:rsidRPr="00E72F37">
        <w:t>базовые уровни для инновационного развития.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Возьмем в качестве примера Свердловскую область. В структуре промышленного комплекса здесь доминируют черная и цветная металлургия — соответственно 31 и 19 % объема промышленного производства</w:t>
      </w:r>
      <w:r>
        <w:t xml:space="preserve">, </w:t>
      </w:r>
      <w:r w:rsidRPr="00E72F37">
        <w:t>обогащение урана и обогащение железной руды</w:t>
      </w:r>
      <w:r>
        <w:t xml:space="preserve">, </w:t>
      </w:r>
      <w:r w:rsidRPr="00E72F37">
        <w:t>а также машиностроение. Среди машиностроительных отраслей преобладают «тяжелый ВПК» — производство бронетанковой техники и боеприпасов</w:t>
      </w:r>
      <w:r>
        <w:t xml:space="preserve">, </w:t>
      </w:r>
      <w:r w:rsidRPr="00E72F37">
        <w:t>а также тяжелое индивидуальное машиностроение</w:t>
      </w:r>
      <w:r>
        <w:t xml:space="preserve">, </w:t>
      </w:r>
      <w:r w:rsidRPr="00E72F37">
        <w:t>оборудование для добывающей</w:t>
      </w:r>
      <w:r>
        <w:t xml:space="preserve">, </w:t>
      </w:r>
      <w:r w:rsidRPr="00E72F37">
        <w:t>энергетической и химической промышленности.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Место Свердловской области по численности персонала</w:t>
      </w:r>
      <w:r>
        <w:t xml:space="preserve">, </w:t>
      </w:r>
      <w:r w:rsidRPr="00E72F37">
        <w:t>занятого исследованиями и разработками</w:t>
      </w:r>
      <w:r>
        <w:t xml:space="preserve">, </w:t>
      </w:r>
      <w:r w:rsidRPr="00E72F37">
        <w:t>колеблется от 12 до 15 среди всех субъектов Российской Федерации. Последние 5 лет темп прироста валового регионального продукта превышает 22 % (см. таблицу).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3"/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</w:tblGrid>
      <w:tr w:rsidR="004511E0" w:rsidRPr="00E72F37" w:rsidTr="00C04DF2">
        <w:trPr>
          <w:tblCellSpacing w:w="0" w:type="dxa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11E0" w:rsidRPr="00E72F37" w:rsidRDefault="004511E0" w:rsidP="00C04DF2">
            <w:r w:rsidRPr="00E72F37">
              <w:t xml:space="preserve">Динамика изменений социально-экономических показателей Свердловской области* 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Наименование показателя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2008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 xml:space="preserve">Валовой региональный продукт на </w:t>
            </w:r>
          </w:p>
          <w:p w:rsidR="004511E0" w:rsidRPr="00E72F37" w:rsidRDefault="004511E0" w:rsidP="00C04DF2">
            <w:r w:rsidRPr="00E72F37">
              <w:t>душу населения</w:t>
            </w:r>
            <w:r>
              <w:t xml:space="preserve">, </w:t>
            </w:r>
            <w:r w:rsidRPr="00E72F37">
              <w:t>руб.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34 215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44 119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52 241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63 766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82 099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107 621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148 456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187 607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—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 xml:space="preserve">Денежные доходы </w:t>
            </w:r>
          </w:p>
          <w:p w:rsidR="004511E0" w:rsidRPr="00E72F37" w:rsidRDefault="004511E0" w:rsidP="00C04DF2">
            <w:r w:rsidRPr="00E72F37">
              <w:t xml:space="preserve">в расчете на душу </w:t>
            </w:r>
          </w:p>
          <w:p w:rsidR="004511E0" w:rsidRPr="00E72F37" w:rsidRDefault="004511E0" w:rsidP="00C04DF2">
            <w:r w:rsidRPr="00E72F37">
              <w:t>населения</w:t>
            </w:r>
            <w:r>
              <w:t xml:space="preserve">, </w:t>
            </w:r>
            <w:r w:rsidRPr="00E72F37">
              <w:t>руб.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2140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2994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3954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5278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6743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8663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11 012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14 243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17 171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 xml:space="preserve">Численность экономически активного </w:t>
            </w:r>
          </w:p>
          <w:p w:rsidR="004511E0" w:rsidRPr="00E72F37" w:rsidRDefault="004511E0" w:rsidP="00C04DF2">
            <w:r w:rsidRPr="00E72F37">
              <w:t>населения</w:t>
            </w:r>
            <w:r>
              <w:t xml:space="preserve">, </w:t>
            </w:r>
            <w:r w:rsidRPr="00E72F37">
              <w:t xml:space="preserve">тыс. </w:t>
            </w:r>
          </w:p>
          <w:p w:rsidR="004511E0" w:rsidRPr="00E72F37" w:rsidRDefault="004511E0" w:rsidP="00C04DF2">
            <w:r w:rsidRPr="00E72F37">
              <w:t>человек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2331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2313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2309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2369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2363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2367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2417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2452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2404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 xml:space="preserve">Число государственных высших учебных </w:t>
            </w:r>
          </w:p>
          <w:p w:rsidR="004511E0" w:rsidRPr="00E72F37" w:rsidRDefault="004511E0" w:rsidP="00C04DF2">
            <w:r w:rsidRPr="00E72F37">
              <w:t>заведений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16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20</w:t>
            </w:r>
          </w:p>
        </w:tc>
      </w:tr>
      <w:tr w:rsidR="004511E0" w:rsidRPr="00E72F37" w:rsidTr="00C04DF2">
        <w:trPr>
          <w:tblCellSpacing w:w="0" w:type="dxa"/>
        </w:trPr>
        <w:tc>
          <w:tcPr>
            <w:tcW w:w="8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 xml:space="preserve">Численность студентов государственных </w:t>
            </w:r>
          </w:p>
          <w:p w:rsidR="004511E0" w:rsidRPr="00E72F37" w:rsidRDefault="004511E0" w:rsidP="00C04DF2">
            <w:r w:rsidRPr="00E72F37">
              <w:t>высших учебных заведений</w:t>
            </w:r>
            <w:r>
              <w:t xml:space="preserve">, </w:t>
            </w:r>
            <w:r w:rsidRPr="00E72F37">
              <w:t>тыс. человек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139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153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157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169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179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178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11E0" w:rsidRPr="00E72F37" w:rsidRDefault="004511E0" w:rsidP="00C04DF2">
            <w:r w:rsidRPr="00E72F37">
              <w:t>182</w:t>
            </w:r>
          </w:p>
        </w:tc>
      </w:tr>
    </w:tbl>
    <w:p w:rsidR="004511E0" w:rsidRPr="00E72F37" w:rsidRDefault="004511E0" w:rsidP="004511E0">
      <w:pPr>
        <w:spacing w:before="120"/>
        <w:ind w:firstLine="567"/>
        <w:jc w:val="both"/>
      </w:pPr>
      <w:r w:rsidRPr="00E72F37">
        <w:t>*Составлено авторами по данным официальной статистики Госкомстата РФ.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При оценке эффекта инноваций используются</w:t>
      </w:r>
      <w:r>
        <w:t xml:space="preserve">, </w:t>
      </w:r>
      <w:r w:rsidRPr="00E72F37">
        <w:t>как правило</w:t>
      </w:r>
      <w:r>
        <w:t xml:space="preserve">, </w:t>
      </w:r>
      <w:r w:rsidRPr="00E72F37">
        <w:t>следующие критерии: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экономический — влияние новых технологий на основные экономические показатели хозяйствующего субъекта;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технологический — преимущество новых технологий по сравнению с существующими;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социальный — повышение качества жизни людей в результате внедрения новых технологий;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организационный и управленческий — применение более прогрессивных форм организации бизнеса</w:t>
      </w:r>
      <w:r>
        <w:t xml:space="preserve">, </w:t>
      </w:r>
      <w:r w:rsidRPr="00E72F37">
        <w:t>а также более эффективных форм управления.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Методики показателей</w:t>
      </w:r>
      <w:r>
        <w:t xml:space="preserve">, </w:t>
      </w:r>
      <w:r w:rsidRPr="00E72F37">
        <w:t>применяемых при оценке инноваций</w:t>
      </w:r>
      <w:r>
        <w:t xml:space="preserve">, </w:t>
      </w:r>
      <w:r w:rsidRPr="00E72F37">
        <w:t>весьма разнообразны.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 данной статье предпринята попытка выявить место Свердловской области среди регионов РФ</w:t>
      </w:r>
      <w:r>
        <w:t xml:space="preserve">, </w:t>
      </w:r>
      <w:r w:rsidRPr="00E72F37">
        <w:t>обладающих высоким творческим потенциалом и способных стать локомотивом процесса перехода российской экономики на инновационный путь развития. На наш взгляд</w:t>
      </w:r>
      <w:r>
        <w:t xml:space="preserve">, </w:t>
      </w:r>
      <w:r w:rsidRPr="00E72F37">
        <w:t>рассматривать процесс перехода к использованию новейших технологий необходимо не как узкотехнологический</w:t>
      </w:r>
      <w:r>
        <w:t xml:space="preserve">, </w:t>
      </w:r>
      <w:r w:rsidRPr="00E72F37">
        <w:t>а в большей степени как феномен</w:t>
      </w:r>
      <w:r>
        <w:t xml:space="preserve">, </w:t>
      </w:r>
      <w:r w:rsidRPr="00E72F37">
        <w:t>зависящий от человеческого фактора и творческого потенциала. Таким образом</w:t>
      </w:r>
      <w:r>
        <w:t xml:space="preserve">, </w:t>
      </w:r>
      <w:r w:rsidRPr="00E72F37">
        <w:t>среди его показателей</w:t>
      </w:r>
      <w:r>
        <w:t xml:space="preserve">, </w:t>
      </w:r>
      <w:r w:rsidRPr="00E72F37">
        <w:t>характеризующих потенциал модернизации</w:t>
      </w:r>
      <w:r>
        <w:t xml:space="preserve">, </w:t>
      </w:r>
      <w:r w:rsidRPr="00E72F37">
        <w:t>нужно использовать не только показатели хозяйственной и производственной деятельности</w:t>
      </w:r>
      <w:r>
        <w:t xml:space="preserve">, </w:t>
      </w:r>
      <w:r w:rsidRPr="00E72F37">
        <w:t>а в большей степени показатели творческого потенциала квалифицированных работников.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Методика оценки регионов и применяемых показателей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 последние годы было предложено достаточно методик оценки уровня экономического и социального развития</w:t>
      </w:r>
      <w:r>
        <w:t xml:space="preserve">, </w:t>
      </w:r>
      <w:r w:rsidRPr="00E72F37">
        <w:t>такие</w:t>
      </w:r>
      <w:r>
        <w:t xml:space="preserve">, </w:t>
      </w:r>
      <w:r w:rsidRPr="00E72F37">
        <w:t>как оценка межрегиональных инвестиционных сопоставлений</w:t>
      </w:r>
      <w:r>
        <w:t xml:space="preserve">, </w:t>
      </w:r>
      <w:r w:rsidRPr="00E72F37">
        <w:t>уровня развития человеческого капитала</w:t>
      </w:r>
      <w:r>
        <w:t xml:space="preserve">, </w:t>
      </w:r>
      <w:r w:rsidRPr="00E72F37">
        <w:t>некоторые комплексные оценки социально-экономического развития регионов. Общим недостатком методов оценки инвестиционной привлекательности [3]</w:t>
      </w:r>
      <w:r>
        <w:t xml:space="preserve">, </w:t>
      </w:r>
      <w:r w:rsidRPr="00E72F37">
        <w:t>на наш взгляд</w:t>
      </w:r>
      <w:r>
        <w:t xml:space="preserve">, </w:t>
      </w:r>
      <w:r w:rsidRPr="00E72F37">
        <w:t>является использование балльных и экспертных оценок отдельных факторов. Таким оценкам присущи значительный субъективизм и сглаживание региональных особенностей. Использование различных весовых коэффициентов</w:t>
      </w:r>
      <w:r>
        <w:t xml:space="preserve">, </w:t>
      </w:r>
      <w:r w:rsidRPr="00E72F37">
        <w:t>а также методов усреднения</w:t>
      </w:r>
      <w:r>
        <w:t xml:space="preserve">, </w:t>
      </w:r>
      <w:r w:rsidRPr="00E72F37">
        <w:t>в частности метода главных компонент или средневзвешенных оценок</w:t>
      </w:r>
      <w:r>
        <w:t xml:space="preserve">, </w:t>
      </w:r>
      <w:r w:rsidRPr="00E72F37">
        <w:t>еще более стирает региональные особенности. При использовании подобных показателей можно лишь увидеть</w:t>
      </w:r>
      <w:r>
        <w:t xml:space="preserve">, </w:t>
      </w:r>
      <w:r w:rsidRPr="00E72F37">
        <w:t>что один регион в некотором смысле лучше другого</w:t>
      </w:r>
      <w:r>
        <w:t xml:space="preserve">, </w:t>
      </w:r>
      <w:r w:rsidRPr="00E72F37">
        <w:t>но оценить</w:t>
      </w:r>
      <w:r>
        <w:t xml:space="preserve">, </w:t>
      </w:r>
      <w:r w:rsidRPr="00E72F37">
        <w:t>насколько сильна эта разница в абсолютном смысле и относительно других регионов</w:t>
      </w:r>
      <w:r>
        <w:t xml:space="preserve">, </w:t>
      </w:r>
      <w:r w:rsidRPr="00E72F37">
        <w:t>практически невозможно.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Для проведения нашего исследования мы будем использовать метод построения сводного латентного показателя</w:t>
      </w:r>
      <w:r>
        <w:t xml:space="preserve">, </w:t>
      </w:r>
      <w:r w:rsidRPr="00E72F37">
        <w:t>в соответствии с которым все показатели переводятся в безразмерные индексы (нормализуются) согласно преобразованиям:</w:t>
      </w:r>
    </w:p>
    <w:p w:rsidR="004511E0" w:rsidRPr="00E72F37" w:rsidRDefault="004511E0" w:rsidP="004511E0">
      <w:pPr>
        <w:spacing w:before="120"/>
        <w:ind w:firstLine="567"/>
        <w:jc w:val="both"/>
        <w:rPr>
          <w:lang w:val="en-US"/>
        </w:rPr>
      </w:pPr>
      <w:r w:rsidRPr="00E72F37">
        <w:rPr>
          <w:lang w:val="en-US"/>
        </w:rPr>
        <w:t>Ri = (Xi – X min)/(X max – X min)</w:t>
      </w:r>
    </w:p>
    <w:p w:rsidR="004511E0" w:rsidRPr="00E72F37" w:rsidRDefault="004511E0" w:rsidP="004511E0">
      <w:pPr>
        <w:spacing w:before="120"/>
        <w:ind w:firstLine="567"/>
        <w:jc w:val="both"/>
        <w:rPr>
          <w:lang w:val="en-US"/>
        </w:rPr>
      </w:pPr>
      <w:r w:rsidRPr="00E72F37">
        <w:t>или</w:t>
      </w:r>
    </w:p>
    <w:p w:rsidR="004511E0" w:rsidRPr="00E72F37" w:rsidRDefault="004511E0" w:rsidP="004511E0">
      <w:pPr>
        <w:spacing w:before="120"/>
        <w:ind w:firstLine="567"/>
        <w:jc w:val="both"/>
        <w:rPr>
          <w:lang w:val="en-US"/>
        </w:rPr>
      </w:pPr>
      <w:r w:rsidRPr="00E72F37">
        <w:rPr>
          <w:lang w:val="en-US"/>
        </w:rPr>
        <w:t xml:space="preserve">Ri = 1 – ((Xi – X min)/(X max – X min)), 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так чтобы все регионы выстроились от 0 (худшее значение) до 1 (лучшее значение). Частные индексы рассчитывались как средневзвешенное значение из составляющих их показателей. Совокупный показатель (сводный индекс креативности) рассчитывается как средневзвешенное значение частных показателей.</w:t>
      </w:r>
    </w:p>
    <w:p w:rsidR="004511E0" w:rsidRPr="00E72F37" w:rsidRDefault="004511E0" w:rsidP="004511E0">
      <w:pPr>
        <w:spacing w:before="120"/>
        <w:jc w:val="center"/>
        <w:rPr>
          <w:b/>
          <w:sz w:val="28"/>
        </w:rPr>
      </w:pPr>
      <w:r w:rsidRPr="00E72F37">
        <w:rPr>
          <w:b/>
          <w:sz w:val="28"/>
        </w:rPr>
        <w:t>Используемые составляющие показатели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 нашем исследовании в качестве составляющих показателей используются следующие характеристики: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численность персонала</w:t>
      </w:r>
      <w:r>
        <w:t xml:space="preserve">, </w:t>
      </w:r>
      <w:r w:rsidRPr="00E72F37">
        <w:t>занятого исследованиями и разработками</w:t>
      </w:r>
      <w:r>
        <w:t xml:space="preserve">, </w:t>
      </w:r>
      <w:r w:rsidRPr="00E72F37">
        <w:t>на 10 тыс. человек</w:t>
      </w:r>
      <w:r>
        <w:t xml:space="preserve">, </w:t>
      </w:r>
      <w:r w:rsidRPr="00E72F37">
        <w:t>занятых в экономике;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внутренние текущие затраты на исследования и разработки в процентах к валовому региональному продукту;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удельный вес предприятий</w:t>
      </w:r>
      <w:r>
        <w:t xml:space="preserve">, </w:t>
      </w:r>
      <w:r w:rsidRPr="00E72F37">
        <w:t>осуществляющих технологические инновации</w:t>
      </w:r>
      <w:r>
        <w:t xml:space="preserve">, </w:t>
      </w:r>
      <w:r w:rsidRPr="00E72F37">
        <w:t>в процентах;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удельный вес предприятий</w:t>
      </w:r>
      <w:r>
        <w:t xml:space="preserve">, </w:t>
      </w:r>
      <w:r w:rsidRPr="00E72F37">
        <w:t>осуществляющих организационные инновации</w:t>
      </w:r>
      <w:r>
        <w:t xml:space="preserve">, </w:t>
      </w:r>
      <w:r w:rsidRPr="00E72F37">
        <w:t>в процентах;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прирост числа малых инновационных предприятий в штуках;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— объем инновационной продукции в стоимостном выражении;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Вопрос выбора показателей для анализа требует отдельного пояснения. В выделенных показателях должны отражаться характеристики человеческого фактора</w:t>
      </w:r>
      <w:r>
        <w:t xml:space="preserve">, </w:t>
      </w:r>
      <w:r w:rsidRPr="00E72F37">
        <w:t>творческого потенциала и непосредственно инновационной активности региона. Численность персонала</w:t>
      </w:r>
      <w:r>
        <w:t xml:space="preserve">, </w:t>
      </w:r>
      <w:r w:rsidRPr="00E72F37">
        <w:t>занятого исследованиями и разработками</w:t>
      </w:r>
      <w:r>
        <w:t xml:space="preserve">, </w:t>
      </w:r>
      <w:r w:rsidRPr="00E72F37">
        <w:t>а также внутренние текущие затраты на исследования и разработки отражают</w:t>
      </w:r>
      <w:r>
        <w:t xml:space="preserve">, </w:t>
      </w:r>
      <w:r w:rsidRPr="00E72F37">
        <w:t>в нашем понимании</w:t>
      </w:r>
      <w:r>
        <w:t xml:space="preserve">, </w:t>
      </w:r>
      <w:r w:rsidRPr="00E72F37">
        <w:t>способность и возможность региональных высококвалифицированных кадров проводить научные исследования и разработки.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Технологические инновации представляют собой конечный результат инновационной деятельности</w:t>
      </w:r>
      <w:r>
        <w:t xml:space="preserve">, </w:t>
      </w:r>
      <w:r w:rsidRPr="00E72F37">
        <w:t>получивший воплощение в виде нового или усовершенствованного продукта или услуги</w:t>
      </w:r>
      <w:r>
        <w:t xml:space="preserve">, </w:t>
      </w:r>
      <w:r w:rsidRPr="00E72F37">
        <w:t>внедренных на рынок</w:t>
      </w:r>
      <w:r>
        <w:t xml:space="preserve">, </w:t>
      </w:r>
      <w:r w:rsidRPr="00E72F37">
        <w:t>нового или усовершенствованного процесса или способа производства и передачи услуг</w:t>
      </w:r>
      <w:r>
        <w:t xml:space="preserve">, </w:t>
      </w:r>
      <w:r w:rsidRPr="00E72F37">
        <w:t>используемых в практической деятельности.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Организационные инновации — реализованные новые методы ведения бизнеса</w:t>
      </w:r>
      <w:r>
        <w:t xml:space="preserve">, </w:t>
      </w:r>
      <w:r w:rsidRPr="00E72F37">
        <w:t>организации рабочих мест или организации внешних связей. Направлены на повышение эффективности деятельности организации за счет снижения административных и транзакционных издержек. Совершенствование рабочих мест влечет за собой оптимизацию рабочего времени</w:t>
      </w:r>
      <w:r>
        <w:t xml:space="preserve">, </w:t>
      </w:r>
      <w:r w:rsidRPr="00E72F37">
        <w:t>тем самым увеличивается производительность труда.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Удельный вес предприятий</w:t>
      </w:r>
      <w:r>
        <w:t xml:space="preserve">, </w:t>
      </w:r>
      <w:r w:rsidRPr="00E72F37">
        <w:t>осуществляющих технологические и организационные разработки</w:t>
      </w:r>
      <w:r>
        <w:t xml:space="preserve">, </w:t>
      </w:r>
      <w:r w:rsidRPr="00E72F37">
        <w:t>применяется для относительного сравнения региональной инновационной активности. Прирост числа малых инновационных предприятий говорит о динамической активности регионов в развитии инновационной среды.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Объем инновационной продукции в стоимостном выражении отражает конечный результат инновационной активности региона</w:t>
      </w:r>
      <w:r>
        <w:t xml:space="preserve">, </w:t>
      </w:r>
      <w:r w:rsidRPr="00E72F37">
        <w:t>непосредственно влияющий на валовый региональный продукт. Далее для расчета частных показателей необходимо разбить составляющие показатели на группы для последующей агрегации.</w:t>
      </w:r>
    </w:p>
    <w:p w:rsidR="004511E0" w:rsidRPr="00E72F37" w:rsidRDefault="004511E0" w:rsidP="004511E0">
      <w:pPr>
        <w:spacing w:before="120"/>
        <w:jc w:val="center"/>
        <w:rPr>
          <w:b/>
          <w:sz w:val="28"/>
        </w:rPr>
      </w:pPr>
      <w:r w:rsidRPr="00E72F37">
        <w:rPr>
          <w:b/>
          <w:sz w:val="28"/>
        </w:rPr>
        <w:t>Частные показатели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Объединим первые два составляющих показателя — численность персонала</w:t>
      </w:r>
      <w:r>
        <w:t xml:space="preserve">, </w:t>
      </w:r>
      <w:r w:rsidRPr="00E72F37">
        <w:t>занятого исследованиями и разработками</w:t>
      </w:r>
      <w:r>
        <w:t xml:space="preserve">, </w:t>
      </w:r>
      <w:r w:rsidRPr="00E72F37">
        <w:t>на 10 тыс. человек</w:t>
      </w:r>
      <w:r>
        <w:t xml:space="preserve">, </w:t>
      </w:r>
      <w:r w:rsidRPr="00E72F37">
        <w:t>занятых в экономике</w:t>
      </w:r>
      <w:r>
        <w:t xml:space="preserve">, </w:t>
      </w:r>
      <w:r w:rsidRPr="00E72F37">
        <w:t>внутренние текущие затраты на исследования и разработки в процентах к валовому региональному продукту — в один частный</w:t>
      </w:r>
      <w:r>
        <w:t xml:space="preserve">, </w:t>
      </w:r>
      <w:r w:rsidRPr="00E72F37">
        <w:t>назовем его индекс исследований.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Другие два составляющих показателя — удельный вес предприятий</w:t>
      </w:r>
      <w:r>
        <w:t xml:space="preserve">, </w:t>
      </w:r>
      <w:r w:rsidRPr="00E72F37">
        <w:t>осуществляющих технологические инновации</w:t>
      </w:r>
      <w:r>
        <w:t xml:space="preserve">, </w:t>
      </w:r>
      <w:r w:rsidRPr="00E72F37">
        <w:t>и удельный вес предприятий</w:t>
      </w:r>
      <w:r>
        <w:t xml:space="preserve">, </w:t>
      </w:r>
      <w:r w:rsidRPr="00E72F37">
        <w:t>осуществляющих организационные инновации</w:t>
      </w:r>
      <w:r>
        <w:t xml:space="preserve">, </w:t>
      </w:r>
      <w:r w:rsidRPr="00E72F37">
        <w:t>— также объединим в один частный показатель и назовем его индексом инноваций хозяйствующих субъектов.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Оставшиеся два показателя — прирост числа малых инновационных предприятий и объем инновационной продукции — после объединения назовем технологическим индексом.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Первым исследуемым показателем будет индекс исследований. Рассчитав латентные показатели для каждого из частных</w:t>
      </w:r>
      <w:r>
        <w:t xml:space="preserve">, </w:t>
      </w:r>
      <w:r w:rsidRPr="00E72F37">
        <w:t>вычислим среднее арифметическое найденных индексов. Расчеты проведем для 77 субъектов</w:t>
      </w:r>
      <w:r>
        <w:t xml:space="preserve">, </w:t>
      </w:r>
      <w:r w:rsidRPr="00E72F37">
        <w:t>исключив те единицы</w:t>
      </w:r>
      <w:r>
        <w:t xml:space="preserve">, </w:t>
      </w:r>
      <w:r w:rsidRPr="00E72F37">
        <w:t>данные по которым отсутствуют или малы по сравнению с остальными. Полученные результаты показали</w:t>
      </w:r>
      <w:r>
        <w:t xml:space="preserve">, </w:t>
      </w:r>
      <w:r w:rsidRPr="00E72F37">
        <w:t>что Свердловская область занимает 14-е место</w:t>
      </w:r>
      <w:r>
        <w:t xml:space="preserve">, </w:t>
      </w:r>
      <w:r w:rsidRPr="00E72F37">
        <w:t>1-е место принадлежит Санкт-Петербургу</w:t>
      </w:r>
      <w:r>
        <w:t xml:space="preserve">, </w:t>
      </w:r>
      <w:r w:rsidRPr="00E72F37">
        <w:t>а последнее — Ямало-Ненецкому округу.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Также вычислим параметры</w:t>
      </w:r>
      <w:r>
        <w:t xml:space="preserve">, </w:t>
      </w:r>
      <w:r w:rsidRPr="00E72F37">
        <w:t>характеризующие распределение показателей по субъектам РФ: дисперсия — 0</w:t>
      </w:r>
      <w:r>
        <w:t xml:space="preserve">, </w:t>
      </w:r>
      <w:r w:rsidRPr="00E72F37">
        <w:t>04</w:t>
      </w:r>
      <w:r>
        <w:t xml:space="preserve">, </w:t>
      </w:r>
      <w:r w:rsidRPr="00E72F37">
        <w:t>медиана — 0</w:t>
      </w:r>
      <w:r>
        <w:t xml:space="preserve">, </w:t>
      </w:r>
      <w:r w:rsidRPr="00E72F37">
        <w:t>1</w:t>
      </w:r>
      <w:r>
        <w:t xml:space="preserve">, </w:t>
      </w:r>
      <w:r w:rsidRPr="00E72F37">
        <w:t>среднее значение — 0</w:t>
      </w:r>
      <w:r>
        <w:t xml:space="preserve">, </w:t>
      </w:r>
      <w:r w:rsidRPr="00E72F37">
        <w:t>17.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Вторым исследуемым показателем будет индекс инноваций хозяйствующих субъектов. Рассчитав латентные показатели для каждого из частных</w:t>
      </w:r>
      <w:r>
        <w:t xml:space="preserve">, </w:t>
      </w:r>
      <w:r w:rsidRPr="00E72F37">
        <w:t>вычислим среднее арифметическое найденных индексов. Расчеты проведем для 67 субъектов</w:t>
      </w:r>
      <w:r>
        <w:t xml:space="preserve">, </w:t>
      </w:r>
      <w:r w:rsidRPr="00E72F37">
        <w:t>исключив те единицы</w:t>
      </w:r>
      <w:r>
        <w:t xml:space="preserve">, </w:t>
      </w:r>
      <w:r w:rsidRPr="00E72F37">
        <w:t>данные по которым отсутствуют или малы по сравнению с остальными. Полученные результаты показали</w:t>
      </w:r>
      <w:r>
        <w:t xml:space="preserve">, </w:t>
      </w:r>
      <w:r w:rsidRPr="00E72F37">
        <w:t>что Свердловская область занимает 3-е место</w:t>
      </w:r>
      <w:r>
        <w:t xml:space="preserve">, </w:t>
      </w:r>
      <w:r w:rsidRPr="00E72F37">
        <w:t>1-е место принадлежит Пермскому краю</w:t>
      </w:r>
      <w:r>
        <w:t xml:space="preserve">, </w:t>
      </w:r>
      <w:r w:rsidRPr="00E72F37">
        <w:t>а последнее — Республике Северная Осетия.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Также вычислим параметры</w:t>
      </w:r>
      <w:r>
        <w:t xml:space="preserve">, </w:t>
      </w:r>
      <w:r w:rsidRPr="00E72F37">
        <w:t>характеризующие распределение показателей по субъектам РФ: дисперсия — 0</w:t>
      </w:r>
      <w:r>
        <w:t xml:space="preserve">, </w:t>
      </w:r>
      <w:r w:rsidRPr="00E72F37">
        <w:t>02</w:t>
      </w:r>
      <w:r>
        <w:t xml:space="preserve">, </w:t>
      </w:r>
      <w:r w:rsidRPr="00E72F37">
        <w:t>медиана — 0</w:t>
      </w:r>
      <w:r>
        <w:t xml:space="preserve">, </w:t>
      </w:r>
      <w:r w:rsidRPr="00E72F37">
        <w:t>37</w:t>
      </w:r>
      <w:r>
        <w:t xml:space="preserve">, </w:t>
      </w:r>
      <w:r w:rsidRPr="00E72F37">
        <w:t>среднее значение — 0</w:t>
      </w:r>
      <w:r>
        <w:t xml:space="preserve">, </w:t>
      </w:r>
      <w:r w:rsidRPr="00E72F37">
        <w:t>38.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Третьим исследуемым показателем будет технологический индекс. Рассчитав латентные показатели для каждого из частных</w:t>
      </w:r>
      <w:r>
        <w:t xml:space="preserve">, </w:t>
      </w:r>
      <w:r w:rsidRPr="00E72F37">
        <w:t>вычислим среднее арифметическое найденных индексов. Расчеты проведем для 77 субъектов</w:t>
      </w:r>
      <w:r>
        <w:t xml:space="preserve">, </w:t>
      </w:r>
      <w:r w:rsidRPr="00E72F37">
        <w:t>исключив те единицы</w:t>
      </w:r>
      <w:r>
        <w:t xml:space="preserve">, </w:t>
      </w:r>
      <w:r w:rsidRPr="00E72F37">
        <w:t>данные по которым отсутствуют или малы по сравнению с остальными. Полученные результаты показали</w:t>
      </w:r>
      <w:r>
        <w:t xml:space="preserve">, </w:t>
      </w:r>
      <w:r w:rsidRPr="00E72F37">
        <w:t>что Свердловская область занимает 15-е место</w:t>
      </w:r>
      <w:r>
        <w:t xml:space="preserve">, </w:t>
      </w:r>
      <w:r w:rsidRPr="00E72F37">
        <w:t>1-е место принадлежит Москве</w:t>
      </w:r>
      <w:r>
        <w:t xml:space="preserve">, </w:t>
      </w:r>
      <w:r w:rsidRPr="00E72F37">
        <w:t>а последнее — Республике Северная Осетия.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Также вычислим параметры</w:t>
      </w:r>
      <w:r>
        <w:t xml:space="preserve">, </w:t>
      </w:r>
      <w:r w:rsidRPr="00E72F37">
        <w:t>характеризующие распределение показателей по субъектам РФ: дисперсия — 0</w:t>
      </w:r>
      <w:r>
        <w:t xml:space="preserve">, </w:t>
      </w:r>
      <w:r w:rsidRPr="00E72F37">
        <w:t>02</w:t>
      </w:r>
      <w:r>
        <w:t xml:space="preserve">, </w:t>
      </w:r>
      <w:r w:rsidRPr="00E72F37">
        <w:t>медиана — 0</w:t>
      </w:r>
      <w:r>
        <w:t xml:space="preserve">, </w:t>
      </w:r>
      <w:r w:rsidRPr="00E72F37">
        <w:t>37</w:t>
      </w:r>
      <w:r>
        <w:t xml:space="preserve">, </w:t>
      </w:r>
      <w:r w:rsidRPr="00E72F37">
        <w:t>среднее значение — 0</w:t>
      </w:r>
      <w:r>
        <w:t xml:space="preserve">, </w:t>
      </w:r>
      <w:r w:rsidRPr="00E72F37">
        <w:t>38.</w:t>
      </w:r>
    </w:p>
    <w:p w:rsidR="004511E0" w:rsidRPr="00E72F37" w:rsidRDefault="004511E0" w:rsidP="004511E0">
      <w:pPr>
        <w:spacing w:before="120"/>
        <w:jc w:val="center"/>
        <w:rPr>
          <w:b/>
          <w:sz w:val="28"/>
        </w:rPr>
      </w:pPr>
      <w:r w:rsidRPr="00E72F37">
        <w:rPr>
          <w:b/>
          <w:sz w:val="28"/>
        </w:rPr>
        <w:t>Свердловская область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Изучим место Свердловской области по вертикали в Уральском федеральном округе и Российской Федерации в целом</w:t>
      </w:r>
      <w:r>
        <w:t xml:space="preserve">, </w:t>
      </w:r>
      <w:r w:rsidRPr="00E72F37">
        <w:t>а также по горизонтали сопоставим показатели Свердловской и Челябинской областей. Для этого сравним индекс исследований в указанных субъектах РФ с найденными частными показателями и сводным индексом креативности.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Первый исследуемый частный индекс в Свердловской области находится на уровне со средним значением по стране</w:t>
      </w:r>
      <w:r>
        <w:t xml:space="preserve">, </w:t>
      </w:r>
      <w:r w:rsidRPr="00E72F37">
        <w:t>при этом он незначительно превышает значение по Челябинской области. Отметим</w:t>
      </w:r>
      <w:r>
        <w:t xml:space="preserve">, </w:t>
      </w:r>
      <w:r w:rsidRPr="00E72F37">
        <w:t>что значение по Уральскому федеральному округу значительно ниже остальных рассматриваемых значений (рис. 1).</w:t>
      </w:r>
    </w:p>
    <w:p w:rsidR="004511E0" w:rsidRPr="00E72F37" w:rsidRDefault="007412A6" w:rsidP="004511E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7.5pt;height:245.25pt">
            <v:imagedata r:id="rId4" o:title=""/>
          </v:shape>
        </w:pic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Рис. 1. Сравнение индекса исследований по вертикали и горизонтали (составлено авторами по данным официальной статистики Госкомстата РФ)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Второй исследуемый частный индекс в Свердловской области выше по уровню</w:t>
      </w:r>
      <w:r>
        <w:t xml:space="preserve">, </w:t>
      </w:r>
      <w:r w:rsidRPr="00E72F37">
        <w:t>чем среднее значение по стране</w:t>
      </w:r>
      <w:r>
        <w:t xml:space="preserve">, </w:t>
      </w:r>
      <w:r w:rsidRPr="00E72F37">
        <w:t>при этом он незначительно превышает значение по Челябинской области. Значение по Уральскому федеральному округу незначительно ниже значения по области</w:t>
      </w:r>
      <w:r>
        <w:t xml:space="preserve">, </w:t>
      </w:r>
      <w:r w:rsidRPr="00E72F37">
        <w:t>но тем не менее превышает среднее значение по стране и находится на одном уровне с Челябинской областью (рис. 2). Важно отметить</w:t>
      </w:r>
      <w:r>
        <w:t xml:space="preserve">, </w:t>
      </w:r>
      <w:r w:rsidRPr="00E72F37">
        <w:t>что по индексу инноваций хозяйствующих субъектов Свердловская область входит в тройку лидеров по стране.</w:t>
      </w:r>
    </w:p>
    <w:p w:rsidR="004511E0" w:rsidRPr="00E72F37" w:rsidRDefault="007412A6" w:rsidP="004511E0">
      <w:pPr>
        <w:spacing w:before="120"/>
        <w:ind w:firstLine="567"/>
        <w:jc w:val="both"/>
      </w:pPr>
      <w:r>
        <w:pict>
          <v:shape id="_x0000_i1026" type="#_x0000_t75" alt="" style="width:427.5pt;height:265.5pt">
            <v:imagedata r:id="rId5" o:title=""/>
          </v:shape>
        </w:pic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Рис. 2. Сравнение индекса инноваций по вертикали и горизонтали (составлено авторами по данным официальной статистики Госкомстата РФ)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Третий исследуемый частный индекс в Свердловской области находится на одном уровне со средним значением по стране</w:t>
      </w:r>
      <w:r>
        <w:t xml:space="preserve">, </w:t>
      </w:r>
      <w:r w:rsidRPr="00E72F37">
        <w:t>при этом он незначительно меньше</w:t>
      </w:r>
      <w:r>
        <w:t xml:space="preserve">, </w:t>
      </w:r>
      <w:r w:rsidRPr="00E72F37">
        <w:t>чем значение по Челябинской области (рис. 3).</w:t>
      </w:r>
    </w:p>
    <w:p w:rsidR="004511E0" w:rsidRPr="00E72F37" w:rsidRDefault="007412A6" w:rsidP="004511E0">
      <w:pPr>
        <w:spacing w:before="120"/>
        <w:ind w:firstLine="567"/>
        <w:jc w:val="both"/>
      </w:pPr>
      <w:r>
        <w:pict>
          <v:shape id="_x0000_i1027" type="#_x0000_t75" alt="" style="width:427.5pt;height:285pt">
            <v:imagedata r:id="rId6" o:title=""/>
          </v:shape>
        </w:pic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Рис. 3. Сравнение технологического индекса по вертикали и горизонтали (составлено авторами по данным официальной статистики Госкомстата РФ)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Значение по Уральскому федеральному округу значительно выше значения по остальным трем субъектам. Важно отметить</w:t>
      </w:r>
      <w:r>
        <w:t xml:space="preserve">, </w:t>
      </w:r>
      <w:r w:rsidRPr="00E72F37">
        <w:t>что по индексу инноваций хозяйствующих субъектов Уральский федеральный округ входит в пятерку лидеров по стране. Свердловская область занимает в нем 1-е место.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Проведенное исследование показало</w:t>
      </w:r>
      <w:r>
        <w:t xml:space="preserve">, </w:t>
      </w:r>
      <w:r w:rsidRPr="00E72F37">
        <w:t>что по различным частным показателям инновационной деятельности место Свердловской области колеблется от 3-го до 14-го среди остальных субъектов Российской Федерации. Следовательно</w:t>
      </w:r>
      <w:r>
        <w:t xml:space="preserve">, </w:t>
      </w:r>
      <w:r w:rsidRPr="00E72F37">
        <w:t>при разработке региональных программ инновационной деятельности надо учитывать весь комплекс показателей и уделить особое внимание ликвидации узких мест. Разнобой в показателях инновационной деятельности по разным субъектам РФ свидетельствует о том</w:t>
      </w:r>
      <w:r>
        <w:t xml:space="preserve">, </w:t>
      </w:r>
      <w:r w:rsidRPr="00E72F37">
        <w:t>что региональные программы формирования инновационной экономики не могут быть одинаковыми. Они должны кроме общенациональных проблем учитывать специфику регионов</w:t>
      </w:r>
      <w:r>
        <w:t xml:space="preserve">, </w:t>
      </w:r>
      <w:r w:rsidRPr="00E72F37">
        <w:t>их отраслевые</w:t>
      </w:r>
      <w:r>
        <w:t xml:space="preserve">, </w:t>
      </w:r>
      <w:r w:rsidRPr="00E72F37">
        <w:t>территориальные</w:t>
      </w:r>
      <w:r>
        <w:t xml:space="preserve">, </w:t>
      </w:r>
      <w:r w:rsidRPr="00E72F37">
        <w:t>социальные</w:t>
      </w:r>
      <w:r>
        <w:t xml:space="preserve">, </w:t>
      </w:r>
      <w:r w:rsidRPr="00E72F37">
        <w:t>культурные особенности</w:t>
      </w:r>
      <w:r>
        <w:t xml:space="preserve">, </w:t>
      </w:r>
      <w:r w:rsidRPr="00E72F37">
        <w:t>творческий потенциал и готовность к восприятию инноваций.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На Урале разработана Уральская модель отраслевых инновационных комплексов. Она воплощает в себе концепцию создания и развития инновационной системы в Свердловской области [4]. В ней приоритетное значение отведено науке. Она представлена Уральским отделением РАН</w:t>
      </w:r>
      <w:r>
        <w:t xml:space="preserve">, </w:t>
      </w:r>
      <w:r w:rsidRPr="00E72F37">
        <w:t>Большим евразийским университетом и крупным научно-образовательным комплексом региона. Также сюда относятся научно-технический потенциал отраслевых НИИ</w:t>
      </w:r>
      <w:r>
        <w:t xml:space="preserve">, </w:t>
      </w:r>
      <w:r w:rsidRPr="00E72F37">
        <w:t>электронная биржа инновационных проектов</w:t>
      </w:r>
      <w:r>
        <w:t xml:space="preserve">, </w:t>
      </w:r>
      <w:r w:rsidRPr="00E72F37">
        <w:t>Федеральный парк информационных технологий. Производственная база включает промышленные региональные центры и малые города</w:t>
      </w:r>
      <w:r>
        <w:t xml:space="preserve">, </w:t>
      </w:r>
      <w:r w:rsidRPr="00E72F37">
        <w:t>территориальные составляющие старопромышленного региона. Рост объемов инновационной продукции по региону достигает 12</w:t>
      </w:r>
      <w:r>
        <w:t xml:space="preserve">, </w:t>
      </w:r>
      <w:r w:rsidRPr="00E72F37">
        <w:t>8 %</w:t>
      </w:r>
      <w:r>
        <w:t xml:space="preserve">, </w:t>
      </w:r>
      <w:r w:rsidRPr="00E72F37">
        <w:t>ее производят крупные вертикально интегрированные отраслевые холдинги и малый инновационный бизнес. Как и в любом другом регионе</w:t>
      </w:r>
      <w:r>
        <w:t xml:space="preserve">, </w:t>
      </w:r>
      <w:r w:rsidRPr="00E72F37">
        <w:t>для развития и стимулирования инновационных процессов необходимо использовать административный ресурс и менталитет общества</w:t>
      </w:r>
      <w:r>
        <w:t xml:space="preserve">, </w:t>
      </w:r>
      <w:r w:rsidRPr="00E72F37">
        <w:t>степень его восприимчивости к нововведениям</w:t>
      </w:r>
      <w:r>
        <w:t xml:space="preserve">, </w:t>
      </w:r>
      <w:r w:rsidRPr="00E72F37">
        <w:t>инновационной культуре (рис. 4).</w:t>
      </w:r>
    </w:p>
    <w:p w:rsidR="004511E0" w:rsidRPr="00E72F37" w:rsidRDefault="007412A6" w:rsidP="004511E0">
      <w:pPr>
        <w:spacing w:before="120"/>
        <w:ind w:firstLine="567"/>
        <w:jc w:val="both"/>
      </w:pPr>
      <w:r>
        <w:pict>
          <v:shape id="_x0000_i1028" type="#_x0000_t75" alt="" style="width:450pt;height:344.25pt">
            <v:imagedata r:id="rId7" o:title=""/>
          </v:shape>
        </w:pic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Рис. 4. Уральская модель отраслевых инновационных комплексов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Заинтересованность и активное участие каждого хозяйствующего субъекта и органов государственного управления в инновационных преобразованиях создают благоприятную базу и среду для инновационного развития региона.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Переход к инновационной экономике в Российской Федерации требует объединенных усилий по горизонтали — государства и бизнеса и по вертикали — центра и всех субъектов РФ с учетом специфики каждого региона.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Первоочередная задача — направление инвестиций и создание благоприятных условий для ликвидации проблемных зон в экономике</w:t>
      </w:r>
      <w:r>
        <w:t xml:space="preserve">, </w:t>
      </w:r>
      <w:r w:rsidRPr="00E72F37">
        <w:t>создание современной оптимальной структуры народного хозяйства с преобладанием передовых наукоемких отраслей. Как справедливо подчеркивает президент РФ Д. А. Медведев в Послании Федеральному собранию Российской Федерации</w:t>
      </w:r>
      <w:r>
        <w:t xml:space="preserve">, </w:t>
      </w:r>
      <w:r w:rsidRPr="00E72F37">
        <w:t>«…реализация наших стратегических планов невозможна без полноценных перемен в обществе</w:t>
      </w:r>
      <w:r>
        <w:t xml:space="preserve">, </w:t>
      </w:r>
      <w:r w:rsidRPr="00E72F37">
        <w:t>укрепления политической системы и правовых институтов</w:t>
      </w:r>
      <w:r>
        <w:t xml:space="preserve">, </w:t>
      </w:r>
      <w:r w:rsidRPr="00E72F37">
        <w:t>внутренней и внешней безопасности</w:t>
      </w:r>
      <w:r>
        <w:t xml:space="preserve">, </w:t>
      </w:r>
      <w:r w:rsidRPr="00E72F37">
        <w:t>социальной стабильности</w:t>
      </w:r>
      <w:r>
        <w:t xml:space="preserve">, </w:t>
      </w:r>
      <w:r w:rsidRPr="00E72F37">
        <w:t>современного образования и культуры…».</w:t>
      </w:r>
    </w:p>
    <w:p w:rsidR="004511E0" w:rsidRPr="00E72F37" w:rsidRDefault="004511E0" w:rsidP="004511E0">
      <w:pPr>
        <w:spacing w:before="120"/>
        <w:jc w:val="center"/>
        <w:rPr>
          <w:b/>
          <w:sz w:val="28"/>
        </w:rPr>
      </w:pPr>
      <w:r w:rsidRPr="00E72F37">
        <w:rPr>
          <w:b/>
          <w:sz w:val="28"/>
        </w:rPr>
        <w:t>Список литературы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1.Бекетов Н. В. Основные направления государственной поддержки инновационного развития российской экономики // Инновации. 2008. № 1.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2.Клипова М. Глобализация и инфраструктура: новые тенденции во взаимоотношениях государства и бизнеса // Вопр. экономики. 2008. № 8.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3.Кондаков И. А. Теоретические основы оценки состояния и эффективности использования научно-технического потенциала региона // Инновации. 2009. № 6.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4.Лурье Е. А.Территории инновационного развития: опыт регионов // Там же. № 2.</w:t>
      </w:r>
    </w:p>
    <w:p w:rsidR="004511E0" w:rsidRPr="00E72F37" w:rsidRDefault="004511E0" w:rsidP="004511E0">
      <w:pPr>
        <w:spacing w:before="120"/>
        <w:ind w:firstLine="567"/>
        <w:jc w:val="both"/>
      </w:pPr>
      <w:r w:rsidRPr="00E72F37">
        <w:t>5. Послание Президента Федеральному собранию от 12.11.2009 [Электронный ресурс]. URL: http://www.kremlin.ru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1E0"/>
    <w:rsid w:val="001A35F6"/>
    <w:rsid w:val="004511E0"/>
    <w:rsid w:val="00515B76"/>
    <w:rsid w:val="007412A6"/>
    <w:rsid w:val="00811DD4"/>
    <w:rsid w:val="00C04DF2"/>
    <w:rsid w:val="00E7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99CD58A1-3C6B-4866-9823-4497B684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E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2575</Words>
  <Characters>14683</Characters>
  <Application>Microsoft Office Word</Application>
  <DocSecurity>0</DocSecurity>
  <Lines>122</Lines>
  <Paragraphs>34</Paragraphs>
  <ScaleCrop>false</ScaleCrop>
  <Company>Home</Company>
  <LinksUpToDate>false</LinksUpToDate>
  <CharactersWithSpaces>17224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Инновационное развитие экономики России: региональный аспект</dc:title>
  <dc:subject/>
  <dc:creator>User</dc:creator>
  <cp:keywords/>
  <dc:description/>
  <cp:lastModifiedBy>Irina</cp:lastModifiedBy>
  <cp:revision>2</cp:revision>
  <dcterms:created xsi:type="dcterms:W3CDTF">2014-07-19T13:55:00Z</dcterms:created>
  <dcterms:modified xsi:type="dcterms:W3CDTF">2014-07-19T13:55:00Z</dcterms:modified>
</cp:coreProperties>
</file>