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87" w:rsidRPr="00FF090F" w:rsidRDefault="006F1187" w:rsidP="006F1187">
      <w:pPr>
        <w:spacing w:before="120"/>
        <w:jc w:val="center"/>
        <w:rPr>
          <w:b/>
          <w:sz w:val="32"/>
        </w:rPr>
      </w:pPr>
      <w:r w:rsidRPr="00FF090F">
        <w:rPr>
          <w:b/>
          <w:sz w:val="32"/>
        </w:rPr>
        <w:t>Качество корпоративного управления как фактор выбора структуры источников финансирования инвестиций</w:t>
      </w:r>
    </w:p>
    <w:p w:rsidR="006F1187" w:rsidRPr="00FF090F" w:rsidRDefault="006F1187" w:rsidP="006F1187">
      <w:pPr>
        <w:spacing w:before="120"/>
        <w:jc w:val="center"/>
        <w:rPr>
          <w:sz w:val="28"/>
        </w:rPr>
      </w:pPr>
      <w:r w:rsidRPr="00FF090F">
        <w:rPr>
          <w:sz w:val="28"/>
        </w:rPr>
        <w:t xml:space="preserve">Т. А. Тычинская </w:t>
      </w:r>
    </w:p>
    <w:p w:rsidR="006F1187" w:rsidRPr="00FF090F" w:rsidRDefault="006F1187" w:rsidP="006F1187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Постановка проблемы и обзор экономических исследований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Традиционно качество корпоративного управления рассматривается как фактор роста стоимости компании</w:t>
      </w:r>
      <w:r>
        <w:t xml:space="preserve">, </w:t>
      </w:r>
      <w:r w:rsidRPr="00793478">
        <w:t>ее капитализации [2</w:t>
      </w:r>
      <w:r>
        <w:t xml:space="preserve">, </w:t>
      </w:r>
      <w:r w:rsidRPr="00793478">
        <w:t>3</w:t>
      </w:r>
      <w:r>
        <w:t xml:space="preserve">, </w:t>
      </w:r>
      <w:r w:rsidRPr="00793478">
        <w:t>14</w:t>
      </w:r>
      <w:r>
        <w:t xml:space="preserve">, </w:t>
      </w:r>
      <w:r w:rsidRPr="00793478">
        <w:t>17</w:t>
      </w:r>
      <w:r>
        <w:t xml:space="preserve">, </w:t>
      </w:r>
      <w:r w:rsidRPr="00793478">
        <w:t>19–22</w:t>
      </w:r>
      <w:r>
        <w:t xml:space="preserve">, </w:t>
      </w:r>
      <w:r w:rsidRPr="00793478">
        <w:t>28] или ее эффективности</w:t>
      </w:r>
      <w:r>
        <w:t xml:space="preserve">, </w:t>
      </w:r>
      <w:r w:rsidRPr="00793478">
        <w:t>измеренной через производительность труда</w:t>
      </w:r>
      <w:r>
        <w:t xml:space="preserve">, </w:t>
      </w:r>
      <w:r w:rsidRPr="00793478">
        <w:t>величину прибыли</w:t>
      </w:r>
      <w:r>
        <w:t xml:space="preserve">, </w:t>
      </w:r>
      <w:r w:rsidRPr="00793478">
        <w:t>величину оборота</w:t>
      </w:r>
      <w:r>
        <w:t xml:space="preserve">, </w:t>
      </w:r>
      <w:r w:rsidRPr="00793478">
        <w:t>расходы на капитал и др. [6</w:t>
      </w:r>
      <w:r>
        <w:t xml:space="preserve">, </w:t>
      </w:r>
      <w:r w:rsidRPr="00793478">
        <w:t>8</w:t>
      </w:r>
      <w:r>
        <w:t xml:space="preserve">, </w:t>
      </w:r>
      <w:r w:rsidRPr="00793478">
        <w:t>10</w:t>
      </w:r>
      <w:r>
        <w:t xml:space="preserve">, </w:t>
      </w:r>
      <w:r w:rsidRPr="00793478">
        <w:t>13</w:t>
      </w:r>
      <w:r>
        <w:t xml:space="preserve">, </w:t>
      </w:r>
      <w:r w:rsidRPr="00793478">
        <w:t>18</w:t>
      </w:r>
      <w:r>
        <w:t xml:space="preserve">, </w:t>
      </w:r>
      <w:r w:rsidRPr="00793478">
        <w:t>24</w:t>
      </w:r>
      <w:r>
        <w:t xml:space="preserve">, </w:t>
      </w:r>
      <w:r w:rsidRPr="00793478">
        <w:t>25</w:t>
      </w:r>
      <w:r>
        <w:t xml:space="preserve">, </w:t>
      </w:r>
      <w:r w:rsidRPr="00793478">
        <w:t>28</w:t>
      </w:r>
      <w:r>
        <w:t xml:space="preserve">, </w:t>
      </w:r>
      <w:r w:rsidRPr="00793478">
        <w:t>29]. Однако помимо этого качество корпоративного управления оказывает влияние и на другие параметры деятельности компании</w:t>
      </w:r>
      <w:r>
        <w:t xml:space="preserve">, </w:t>
      </w:r>
      <w:r w:rsidRPr="00793478">
        <w:t>в частности на структуру источников финансирования. С теоретической точки зрения эффективная система корпоративных отношений снижает стоимость внешних финансовых ресурсов</w:t>
      </w:r>
      <w:r>
        <w:t xml:space="preserve">, </w:t>
      </w:r>
      <w:r w:rsidRPr="00793478">
        <w:t>которая является ключевым фактором выбора источника финансирования</w:t>
      </w:r>
      <w:r>
        <w:t xml:space="preserve">, </w:t>
      </w:r>
      <w:r w:rsidRPr="00793478">
        <w:t>позволяя тем самым привлекать более долгосрочные ресурсы или значительно увеличивать объемы привлечения: на самом низком уровне корпоративного управления предприятию доступны только собственные средства</w:t>
      </w:r>
      <w:r>
        <w:t xml:space="preserve">, </w:t>
      </w:r>
      <w:r w:rsidRPr="00793478">
        <w:t>но по мере роста качества корпоративного управления компании становятся доступны кредиты</w:t>
      </w:r>
      <w:r>
        <w:t xml:space="preserve">, </w:t>
      </w:r>
      <w:r w:rsidRPr="00793478">
        <w:t>затем векселя</w:t>
      </w:r>
      <w:r>
        <w:t xml:space="preserve">, </w:t>
      </w:r>
      <w:r w:rsidRPr="00793478">
        <w:t>облигационные займы и наконец эмиссия акций. Переход на иные источники финансирования в свою очередь неизбежно сказывается на структуре капитала компании в целом: соотношение собственного и заемного капитала вначале сокращается в результате наращивания последнего</w:t>
      </w:r>
      <w:r>
        <w:t xml:space="preserve">, </w:t>
      </w:r>
      <w:r w:rsidRPr="00793478">
        <w:t>а затем начинает расти по мере привлечения акционерного капитала. Причина описываемых процессов заключается в том</w:t>
      </w:r>
      <w:r>
        <w:t xml:space="preserve">, </w:t>
      </w:r>
      <w:r w:rsidRPr="00793478">
        <w:t>что надлежащее корпоративное управление снижает риск инвестирования в компанию</w:t>
      </w:r>
      <w:r>
        <w:t xml:space="preserve">, </w:t>
      </w:r>
      <w:r w:rsidRPr="00793478">
        <w:t>а вознаграждение</w:t>
      </w:r>
      <w:r>
        <w:t xml:space="preserve">, </w:t>
      </w:r>
      <w:r w:rsidRPr="00793478">
        <w:t>требуемое инвестором</w:t>
      </w:r>
      <w:r>
        <w:t xml:space="preserve">, </w:t>
      </w:r>
      <w:r w:rsidRPr="00793478">
        <w:t xml:space="preserve">прямо пропорционально риску инвестирования.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Однако приносит ли корпоративное управление зримые результаты на практике? Ответ на этот вопрос на сегодняшний день чрезвычайно актуален для российских компаний по ряду причин. Во-первых</w:t>
      </w:r>
      <w:r>
        <w:t xml:space="preserve">, </w:t>
      </w:r>
      <w:r w:rsidRPr="00793478">
        <w:t>по результатам исследований [4–7</w:t>
      </w:r>
      <w:r>
        <w:t xml:space="preserve">, </w:t>
      </w:r>
      <w:r w:rsidRPr="00793478">
        <w:t>23</w:t>
      </w:r>
      <w:r>
        <w:t xml:space="preserve">, </w:t>
      </w:r>
      <w:r w:rsidRPr="00793478">
        <w:t>24]</w:t>
      </w:r>
      <w:r>
        <w:t xml:space="preserve">, </w:t>
      </w:r>
      <w:r w:rsidRPr="00793478">
        <w:t>в России инвестиции финансируются в основном из собственных средств. На втором месте находится долговое финансирование (банковские кредиты</w:t>
      </w:r>
      <w:r>
        <w:t xml:space="preserve">, </w:t>
      </w:r>
      <w:r w:rsidRPr="00793478">
        <w:t>авансовые платежи). Одновременно весомым источником финансирования являются средства других предприятий</w:t>
      </w:r>
      <w:r>
        <w:t xml:space="preserve">, </w:t>
      </w:r>
      <w:r w:rsidRPr="00793478">
        <w:t>средства вышестоящих организаций. Косвенно это свидетельствует о том</w:t>
      </w:r>
      <w:r>
        <w:t xml:space="preserve">, </w:t>
      </w:r>
      <w:r w:rsidRPr="00793478">
        <w:t>что предприятия финансируются не только из собственной прибыли и амортизации</w:t>
      </w:r>
      <w:r>
        <w:t xml:space="preserve">, </w:t>
      </w:r>
      <w:r w:rsidRPr="00793478">
        <w:t>но также и из средств той бизнес-группы</w:t>
      </w:r>
      <w:r>
        <w:t xml:space="preserve">, </w:t>
      </w:r>
      <w:r w:rsidRPr="00793478">
        <w:t>в которую они входят. И на третьем месте — эмиссия ценных бумаг и иностранные инвестиции. Иногда государство</w:t>
      </w:r>
      <w:r>
        <w:t xml:space="preserve">, </w:t>
      </w:r>
      <w:r w:rsidRPr="00793478">
        <w:t>в основном в лице региональных или местных органов власти</w:t>
      </w:r>
      <w:r>
        <w:t xml:space="preserve">, </w:t>
      </w:r>
      <w:r w:rsidRPr="00793478">
        <w:t>также прямо или косвенно участвует в инвестиционной деятельности нескольких крупных по меркам региона предприятий</w:t>
      </w:r>
      <w:r>
        <w:t xml:space="preserve">, </w:t>
      </w:r>
      <w:r w:rsidRPr="00793478">
        <w:t>способствуя их доступу к льготным кредитам [6]. Однако такая структура капитала является вынужденной</w:t>
      </w:r>
      <w:r>
        <w:t xml:space="preserve">, </w:t>
      </w:r>
      <w:r w:rsidRPr="00793478">
        <w:t>а не следствием экономической рациональности [23]. Тем более что объем собственных средств предприятий не слишком высок. Поэтому перспектива развития за свой счет представляется весьма проблематичной. А кредит</w:t>
      </w:r>
      <w:r>
        <w:t xml:space="preserve">, </w:t>
      </w:r>
      <w:r w:rsidRPr="00793478">
        <w:t>особенно «длинный»</w:t>
      </w:r>
      <w:r>
        <w:t xml:space="preserve">, </w:t>
      </w:r>
      <w:r w:rsidRPr="00793478">
        <w:t>остается недоступным для значительной доли предприятий реального сектора</w:t>
      </w:r>
      <w:r>
        <w:t xml:space="preserve">, </w:t>
      </w:r>
      <w:r w:rsidRPr="00793478">
        <w:t>т. е. долгосрочная стратегия развития на этом ресурсе также практически невозможна. В связи с этим эмпирическое подтверждение взаимосвязи качества корпоративного управления и возможности привлечения инвестиций даст предприятиям в руки инструмент привлечения капитала.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Во-вторых</w:t>
      </w:r>
      <w:r>
        <w:t xml:space="preserve">, </w:t>
      </w:r>
      <w:r w:rsidRPr="00793478">
        <w:t>стоимость построения системы эффективного корпоративного управления высока. Ее организация влечет за собой определенные издержки</w:t>
      </w:r>
      <w:r>
        <w:t xml:space="preserve">, </w:t>
      </w:r>
      <w:r w:rsidRPr="00793478">
        <w:t>в том числе затраты на привлечение специалистов корпоративных секретарей и других профессионалов</w:t>
      </w:r>
      <w:r>
        <w:t xml:space="preserve">, </w:t>
      </w:r>
      <w:r w:rsidRPr="00793478">
        <w:t>необходимых для обеспечения работы в данной сфере</w:t>
      </w:r>
      <w:r>
        <w:t xml:space="preserve">, </w:t>
      </w:r>
      <w:r w:rsidRPr="00793478">
        <w:t>а также косвенные затраты</w:t>
      </w:r>
      <w:r>
        <w:t xml:space="preserve">, </w:t>
      </w:r>
      <w:r w:rsidRPr="00793478">
        <w:t>связанные с раскрытием дополнительной информации. Кроме того</w:t>
      </w:r>
      <w:r>
        <w:t xml:space="preserve">, </w:t>
      </w:r>
      <w:r w:rsidRPr="00793478">
        <w:t>менеджеры и члены совета директоров должны будут посвятить решению возникающих проблем много времени</w:t>
      </w:r>
      <w:r>
        <w:t xml:space="preserve">, </w:t>
      </w:r>
      <w:r w:rsidRPr="00793478">
        <w:t>особенно на начальном этапе [11]. И вложение средств в инструмент</w:t>
      </w:r>
      <w:r>
        <w:t xml:space="preserve">, </w:t>
      </w:r>
      <w:r w:rsidRPr="00793478">
        <w:t>не дающий ожидаемого результата</w:t>
      </w:r>
      <w:r>
        <w:t xml:space="preserve">, </w:t>
      </w:r>
      <w:r w:rsidRPr="00793478">
        <w:t>даст обратный эффект</w:t>
      </w:r>
      <w:r>
        <w:t xml:space="preserve">, </w:t>
      </w:r>
      <w:r w:rsidRPr="00793478">
        <w:t>величина которого будет значительной</w:t>
      </w:r>
      <w:r>
        <w:t xml:space="preserve">, </w:t>
      </w:r>
      <w:r w:rsidRPr="00793478">
        <w:t xml:space="preserve">так как основной причиной вложения средств в развитие системы корпоративного управления в России является именно надежда руководителей предприятий привлечь финансовые ресурсы (54 % опрошенных Международной финансовой корпорацией [16]).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К сожалению</w:t>
      </w:r>
      <w:r>
        <w:t xml:space="preserve">, </w:t>
      </w:r>
      <w:r w:rsidRPr="00793478">
        <w:t>на сегодняшний день наличие взаимосвязи между качеством корпоративного управления и структурой источников финансирования в России практически не подтверждено эмпирически. Одним из единичных подтверждений корреляции между этими параметрами является исследование С. Гуриева и других соавторов [5</w:t>
      </w:r>
      <w:r>
        <w:t xml:space="preserve">, </w:t>
      </w:r>
      <w:r w:rsidRPr="00793478">
        <w:t>6]</w:t>
      </w:r>
      <w:r>
        <w:t xml:space="preserve">, </w:t>
      </w:r>
      <w:r w:rsidRPr="00793478">
        <w:t>по результатам которого корпоративное управление положительно влияет на инвестиции в тех компаниях</w:t>
      </w:r>
      <w:r>
        <w:t xml:space="preserve">, </w:t>
      </w:r>
      <w:r w:rsidRPr="00793478">
        <w:t>где доля мелких акционеров достаточно высока</w:t>
      </w:r>
      <w:r>
        <w:t xml:space="preserve">, </w:t>
      </w:r>
      <w:r w:rsidRPr="00793478">
        <w:t>в других случаях корреляции инвестиций и корпоративного управления отсутствует. В работе И. В. Ивашковской и А. Куприянова [9]</w:t>
      </w:r>
      <w:r>
        <w:t xml:space="preserve">, </w:t>
      </w:r>
      <w:r w:rsidRPr="00793478">
        <w:t>посвященной анализу факторов структуры капитала</w:t>
      </w:r>
      <w:r>
        <w:t xml:space="preserve">, </w:t>
      </w:r>
      <w:r w:rsidRPr="00793478">
        <w:t>качество корпоративного управления рассматривается как один из этих факторов. Опросы инвесторов также показывают</w:t>
      </w:r>
      <w:r>
        <w:t xml:space="preserve">, </w:t>
      </w:r>
      <w:r w:rsidRPr="00793478">
        <w:t>что степень соблюдения корпорациями базовых принципов качественного корпоративного управления является для них важным фактором</w:t>
      </w:r>
      <w:r>
        <w:t xml:space="preserve">, </w:t>
      </w:r>
      <w:r w:rsidRPr="00793478">
        <w:t>особенно в связи с интернализацией инвестиций</w:t>
      </w:r>
      <w:r>
        <w:t xml:space="preserve">, </w:t>
      </w:r>
      <w:r w:rsidRPr="00793478">
        <w:t>а для некоторых инвесторов и приоритетным по сравнению с фундаментальными (выручка</w:t>
      </w:r>
      <w:r>
        <w:t xml:space="preserve">, </w:t>
      </w:r>
      <w:r w:rsidRPr="00793478">
        <w:t>рентабельность и др.) [12</w:t>
      </w:r>
      <w:r>
        <w:t xml:space="preserve">, </w:t>
      </w:r>
      <w:r w:rsidRPr="00793478">
        <w:t>15</w:t>
      </w:r>
      <w:r>
        <w:t xml:space="preserve">, </w:t>
      </w:r>
      <w:r w:rsidRPr="00793478">
        <w:t>26</w:t>
      </w:r>
      <w:r>
        <w:t xml:space="preserve">, </w:t>
      </w:r>
      <w:r w:rsidRPr="00793478">
        <w:t>27]. Они готовы платить достаточно высокие премии за лучшее качество корпоративного управления в российских компаниях (38 %</w:t>
      </w:r>
      <w:r>
        <w:t xml:space="preserve">, </w:t>
      </w:r>
      <w:r w:rsidRPr="00793478">
        <w:t>по оценкам McKinsey [27]). Однако это по большей части намерения инвесторов</w:t>
      </w:r>
      <w:r>
        <w:t xml:space="preserve">, </w:t>
      </w:r>
      <w:r w:rsidRPr="00793478">
        <w:t>исследований реальной практики применительно к российскому рынку пока не проводилось.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Представленное здесь исследование является попыткой подтвердить или опровергнуть гипотезу о том</w:t>
      </w:r>
      <w:r>
        <w:t xml:space="preserve">, </w:t>
      </w:r>
      <w:r w:rsidRPr="00793478">
        <w:t>что качество корпоративного управления российских компаний оказывает значимое влияние на структуру источников финансирования и соответственно на структуру капитала этих компаний.</w:t>
      </w:r>
    </w:p>
    <w:p w:rsidR="006F1187" w:rsidRPr="00FF090F" w:rsidRDefault="006F1187" w:rsidP="006F1187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Эмпирическая база исследования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Объектом анализа были избраны компании нефтегазового сектора России</w:t>
      </w:r>
      <w:r>
        <w:t xml:space="preserve">, </w:t>
      </w:r>
      <w:r w:rsidRPr="00793478">
        <w:t>а именно головные компании из нефтегазовой отрасли и их дочерние предприятия</w:t>
      </w:r>
      <w:r>
        <w:t xml:space="preserve">, </w:t>
      </w:r>
      <w:r w:rsidRPr="00793478">
        <w:t>имеющие форму открытого акционерного общества и задействованные в областях разведки нефтегазовых месторождений</w:t>
      </w:r>
      <w:r>
        <w:t xml:space="preserve">, </w:t>
      </w:r>
      <w:r w:rsidRPr="00793478">
        <w:t>добычи полезных ископаемых</w:t>
      </w:r>
      <w:r>
        <w:t xml:space="preserve">, </w:t>
      </w:r>
      <w:r w:rsidRPr="00793478">
        <w:t>газо- и нефтепереработки или сбыта продуктов. Всего в выборку попало 124 компании. Данные собраны за период 2000–2005 гг. Таким образом</w:t>
      </w:r>
      <w:r>
        <w:t xml:space="preserve">, </w:t>
      </w:r>
      <w:r w:rsidRPr="00793478">
        <w:t>составлена панель из 746 наблюдений.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 xml:space="preserve">Таблица 1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4"/>
        <w:gridCol w:w="2174"/>
        <w:gridCol w:w="3094"/>
        <w:gridCol w:w="1866"/>
      </w:tblGrid>
      <w:tr w:rsidR="006F1187" w:rsidRPr="00793478" w:rsidTr="0007754F">
        <w:trPr>
          <w:tblHeader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187" w:rsidRPr="00793478" w:rsidRDefault="006F1187" w:rsidP="0007754F">
            <w:r w:rsidRPr="00793478">
              <w:t>Группировка компаний</w:t>
            </w:r>
          </w:p>
        </w:tc>
      </w:tr>
      <w:tr w:rsidR="006F1187" w:rsidRPr="00793478" w:rsidTr="0007754F">
        <w:trPr>
          <w:tblHeader/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Тип компании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Количество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Число наблюдений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Вклад</w:t>
            </w:r>
            <w:r>
              <w:t xml:space="preserve">, </w:t>
            </w:r>
            <w:r w:rsidRPr="00793478">
              <w:t>%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Головная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12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69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9</w:t>
            </w:r>
            <w:r>
              <w:t xml:space="preserve">, </w:t>
            </w:r>
            <w:r w:rsidRPr="00793478">
              <w:t>25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Разведка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10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60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8</w:t>
            </w:r>
            <w:r>
              <w:t xml:space="preserve">, </w:t>
            </w:r>
            <w:r w:rsidRPr="00793478">
              <w:t>04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Добыча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45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276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37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Переработка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18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108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14</w:t>
            </w:r>
            <w:r>
              <w:t xml:space="preserve">, </w:t>
            </w:r>
            <w:r w:rsidRPr="00793478">
              <w:t>48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Сбыт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39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233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31</w:t>
            </w:r>
            <w:r>
              <w:t xml:space="preserve">, </w:t>
            </w:r>
            <w:r w:rsidRPr="00793478">
              <w:t>23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29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Всего</w:t>
            </w:r>
            <w:r>
              <w:t xml:space="preserve"> </w:t>
            </w:r>
          </w:p>
        </w:tc>
        <w:tc>
          <w:tcPr>
            <w:tcW w:w="1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124</w:t>
            </w:r>
            <w:r>
              <w:t xml:space="preserve"> </w:t>
            </w:r>
          </w:p>
        </w:tc>
        <w:tc>
          <w:tcPr>
            <w:tcW w:w="1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746</w:t>
            </w:r>
            <w:r>
              <w:t xml:space="preserve"> </w:t>
            </w:r>
          </w:p>
        </w:tc>
        <w:tc>
          <w:tcPr>
            <w:tcW w:w="9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100</w:t>
            </w:r>
            <w:r>
              <w:t xml:space="preserve">, </w:t>
            </w:r>
            <w:r w:rsidRPr="00793478">
              <w:t>00</w:t>
            </w:r>
            <w:r>
              <w:t xml:space="preserve"> </w:t>
            </w:r>
          </w:p>
        </w:tc>
      </w:tr>
    </w:tbl>
    <w:p w:rsidR="006F1187" w:rsidRPr="00793478" w:rsidRDefault="006F1187" w:rsidP="006F1187">
      <w:pPr>
        <w:spacing w:before="120"/>
        <w:ind w:firstLine="567"/>
        <w:jc w:val="both"/>
      </w:pPr>
      <w:r w:rsidRPr="00793478">
        <w:t>Данная отрасль промышленности была выбрана по ряду причин.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Во-первых</w:t>
      </w:r>
      <w:r>
        <w:t xml:space="preserve">, </w:t>
      </w:r>
      <w:r w:rsidRPr="00793478">
        <w:t>когда сократились возможности расширения бизнеса путем приобретения дешевых активов</w:t>
      </w:r>
      <w:r>
        <w:t xml:space="preserve">, </w:t>
      </w:r>
      <w:r w:rsidRPr="00793478">
        <w:t>что было возможно благодаря приватизации</w:t>
      </w:r>
      <w:r>
        <w:t xml:space="preserve">, </w:t>
      </w:r>
      <w:r w:rsidRPr="00793478">
        <w:t>и дальнейшее развитие компаний стало возможным только за счет повышения эффективности их деятельности</w:t>
      </w:r>
      <w:r>
        <w:t xml:space="preserve">, </w:t>
      </w:r>
      <w:r w:rsidRPr="00793478">
        <w:t>нефтегазовые компании первые стали развивать направление качественного корпоративного управления. Осознав важность внедрения систем корпоративного управления</w:t>
      </w:r>
      <w:r>
        <w:t xml:space="preserve">, </w:t>
      </w:r>
      <w:r w:rsidRPr="00793478">
        <w:t>они предприняли ряд радикальных шагов по их построению</w:t>
      </w:r>
      <w:r>
        <w:t xml:space="preserve">, </w:t>
      </w:r>
      <w:r w:rsidRPr="00793478">
        <w:t>о чем неоднократно сообщалось в различных средствах массовой информации</w:t>
      </w:r>
      <w:r>
        <w:t xml:space="preserve">, </w:t>
      </w:r>
      <w:r w:rsidRPr="00793478">
        <w:t>что</w:t>
      </w:r>
      <w:r>
        <w:t xml:space="preserve">, </w:t>
      </w:r>
      <w:r w:rsidRPr="00793478">
        <w:t>несомненно</w:t>
      </w:r>
      <w:r>
        <w:t xml:space="preserve">, </w:t>
      </w:r>
      <w:r w:rsidRPr="00793478">
        <w:t xml:space="preserve">положительно сказалось на репутации компаний. В опубликованном в январе </w:t>
      </w:r>
      <w:smartTag w:uri="urn:schemas-microsoft-com:office:smarttags" w:element="metricconverter">
        <w:smartTagPr>
          <w:attr w:name="ProductID" w:val="2004 г"/>
        </w:smartTagPr>
        <w:r w:rsidRPr="00793478">
          <w:t>2004 г</w:t>
        </w:r>
      </w:smartTag>
      <w:r w:rsidRPr="00793478">
        <w:t>. американским аналитическим агентством Energy Intelligence рейтинге корпоративного управления (основанном на оценке деятельности советов директоров) ведущих мировых нефтегазовых компаний компания ЮКОС заняла 2-е место</w:t>
      </w:r>
      <w:r>
        <w:t xml:space="preserve">, </w:t>
      </w:r>
      <w:r w:rsidRPr="00793478">
        <w:t>Сибнефть — 8-е</w:t>
      </w:r>
      <w:r>
        <w:t xml:space="preserve">, </w:t>
      </w:r>
      <w:r w:rsidRPr="00793478">
        <w:t>ЛУКойл — 11-е. Средний показатель американских компаний в рейтинге составил 59</w:t>
      </w:r>
      <w:r>
        <w:t xml:space="preserve">, </w:t>
      </w:r>
      <w:r w:rsidRPr="00793478">
        <w:t>7 балла</w:t>
      </w:r>
      <w:r>
        <w:t xml:space="preserve">, </w:t>
      </w:r>
      <w:r w:rsidRPr="00793478">
        <w:t>европейских — 53</w:t>
      </w:r>
      <w:r>
        <w:t xml:space="preserve">, </w:t>
      </w:r>
      <w:r w:rsidRPr="00793478">
        <w:t>9 балла</w:t>
      </w:r>
      <w:r>
        <w:t xml:space="preserve">, </w:t>
      </w:r>
      <w:r w:rsidRPr="00793478">
        <w:t>российских — 52</w:t>
      </w:r>
      <w:r>
        <w:t xml:space="preserve">, </w:t>
      </w:r>
      <w:r w:rsidRPr="00793478">
        <w:t>8 балла. Характерно</w:t>
      </w:r>
      <w:r>
        <w:t xml:space="preserve">, </w:t>
      </w:r>
      <w:r w:rsidRPr="00793478">
        <w:t xml:space="preserve">что указанные три российские компании опередили ряд ведущих западных корпораций [1].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Во-вторых</w:t>
      </w:r>
      <w:r>
        <w:t xml:space="preserve">, </w:t>
      </w:r>
      <w:r w:rsidRPr="00793478">
        <w:t>компании данной отрасли постоянно нуждаются в значительных финансовых средствах для своего развития (разработки новых месторождений</w:t>
      </w:r>
      <w:r>
        <w:t xml:space="preserve">, </w:t>
      </w:r>
      <w:r w:rsidRPr="00793478">
        <w:t>развития переработки добываемых ископаемых и пр.)</w:t>
      </w:r>
      <w:r>
        <w:t xml:space="preserve">, </w:t>
      </w:r>
      <w:r w:rsidRPr="00793478">
        <w:t>и факт высокой стоимости корпоративного управления не является для них препятствием</w:t>
      </w:r>
      <w:r>
        <w:t xml:space="preserve">, </w:t>
      </w:r>
      <w:r w:rsidRPr="00793478">
        <w:t>напротив</w:t>
      </w:r>
      <w:r>
        <w:t xml:space="preserve">, </w:t>
      </w:r>
      <w:r w:rsidRPr="00793478">
        <w:t xml:space="preserve">внедрение эффективной системы корпоративных отношений для них экономически целесообразно.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В-третьих</w:t>
      </w:r>
      <w:r>
        <w:t xml:space="preserve">, </w:t>
      </w:r>
      <w:r w:rsidRPr="00793478">
        <w:t>нефтегазовая отрасль отличается большими рисками</w:t>
      </w:r>
      <w:r>
        <w:t xml:space="preserve">, </w:t>
      </w:r>
      <w:r w:rsidRPr="00793478">
        <w:t>связанными как с деятельностью топ-менеджмента компания</w:t>
      </w:r>
      <w:r>
        <w:t xml:space="preserve">, </w:t>
      </w:r>
      <w:r w:rsidRPr="00793478">
        <w:t>так и с политикой государства. Среди основных рисков</w:t>
      </w:r>
      <w:r>
        <w:t xml:space="preserve">, </w:t>
      </w:r>
      <w:r w:rsidRPr="00793478">
        <w:t>с которыми сталкиваются инвесторы в России</w:t>
      </w:r>
      <w:r>
        <w:t xml:space="preserve">, </w:t>
      </w:r>
      <w:r w:rsidRPr="00793478">
        <w:t>риски трансфертного ценообразования и вывода активов и риски национализации. Таким образом</w:t>
      </w:r>
      <w:r>
        <w:t xml:space="preserve">, </w:t>
      </w:r>
      <w:r w:rsidRPr="00793478">
        <w:t>качество корпоративного управления является зачастую решающим фактором вложений в данную отрасль промышленности.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основе методики — принцип использования для анализа только информации</w:t>
      </w:r>
      <w:r>
        <w:t xml:space="preserve">, </w:t>
      </w:r>
      <w:r w:rsidRPr="00793478">
        <w:t>доступной обычному миноритарному акционеру</w:t>
      </w:r>
      <w:r>
        <w:t xml:space="preserve">, </w:t>
      </w:r>
      <w:r w:rsidRPr="00793478">
        <w:t>т. е. информация</w:t>
      </w:r>
      <w:r>
        <w:t xml:space="preserve">, </w:t>
      </w:r>
      <w:r w:rsidRPr="00793478">
        <w:t>раскрываемая в обязательном порядке самими компаниями или регулирующими органами. В связи с этим в качестве источника информации выступают системы комплексного раскрытия данных: СКРИН (www.skrin.ru)</w:t>
      </w:r>
      <w:r>
        <w:t xml:space="preserve">, </w:t>
      </w:r>
      <w:r w:rsidRPr="00793478">
        <w:t>СПАРК (www.e-disclosure.ru).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качестве метода анализа выдвигаемой гипотезы используется метод регрессионного анализа панельных данных. В числе независимых переменных рассматриваются параметры</w:t>
      </w:r>
      <w:r>
        <w:t xml:space="preserve">, </w:t>
      </w:r>
      <w:r w:rsidRPr="00793478">
        <w:t>которые являются основополагающими в определении качества корпоративного управления компаний: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информационная открытость и прозрачность (количество доступных годовых и квартальных отчетов и отчетов по международным стандартам финансовой отчетности</w:t>
      </w:r>
      <w:r>
        <w:t xml:space="preserve">, </w:t>
      </w:r>
      <w:r w:rsidRPr="00793478">
        <w:t>количество источников информации по компании</w:t>
      </w:r>
      <w:r>
        <w:t xml:space="preserve">, </w:t>
      </w:r>
      <w:r w:rsidRPr="00793478">
        <w:t>наличие сайта);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выплата дивидендов;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органы управления (совет директоров</w:t>
      </w:r>
      <w:r>
        <w:t xml:space="preserve">, </w:t>
      </w:r>
      <w:r w:rsidRPr="00793478">
        <w:t>единоличный и коллегиальный исполнительные органы);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работа органов управления (число общих собраний акционеров и число заседаний совета директоров);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наличие комитетов при совете директоров и их количество;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наличие Кодекса корпоративного управления;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торговля акциями на фондовых биржах (российских и зарубежных).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числе зависимых переменных — соотношение собственного и заемного капитала</w:t>
      </w:r>
      <w:r>
        <w:t xml:space="preserve">, </w:t>
      </w:r>
      <w:r w:rsidRPr="00793478">
        <w:t>объем средств</w:t>
      </w:r>
      <w:r>
        <w:t xml:space="preserve">, </w:t>
      </w:r>
      <w:r w:rsidRPr="00793478">
        <w:t>привлеченных с помощью выпуска ценных бумаг (акций и облигаций).</w:t>
      </w:r>
    </w:p>
    <w:p w:rsidR="006F1187" w:rsidRPr="00FF090F" w:rsidRDefault="006F1187" w:rsidP="006F1187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Качество корпоративного управления и структура капитала нефтегазовых компаний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целом качество корпоративного управления в нефтегазовой отрасли низко</w:t>
      </w:r>
      <w:r>
        <w:t xml:space="preserve">, </w:t>
      </w:r>
      <w:r w:rsidRPr="00793478">
        <w:t>о чем свидетельствуют полученные статистические данные</w:t>
      </w:r>
      <w:r>
        <w:t xml:space="preserve">, </w:t>
      </w:r>
      <w:r w:rsidRPr="00793478">
        <w:t>и повышать данный параметр работы предприятия компании начали только в последние годы. При этом корпоративное управление оказалось на достаточно высоком уровне только в головных компаниях. Наиболее развито оно здесь по объективным причинам. Во-первых</w:t>
      </w:r>
      <w:r>
        <w:t xml:space="preserve">, </w:t>
      </w:r>
      <w:r w:rsidRPr="00793478">
        <w:t>крупные компании первыми поняли необходимость внедрения современных стандартов корпоративного управления для выхода на западные рынки капитала и увеличения капитализации компаний. Во-вторых</w:t>
      </w:r>
      <w:r>
        <w:t xml:space="preserve">, </w:t>
      </w:r>
      <w:r w:rsidRPr="00793478">
        <w:t>акционерами этих компаний зачастую уже были иностранные инвесторы</w:t>
      </w:r>
      <w:r>
        <w:t xml:space="preserve">, </w:t>
      </w:r>
      <w:r w:rsidRPr="00793478">
        <w:t>оказывавшие определенное давление на контролирующих акционеров и менеджмент в связи с несоблюдением стандартов корпоративного управления</w:t>
      </w:r>
      <w:r>
        <w:t xml:space="preserve">, </w:t>
      </w:r>
      <w:r w:rsidRPr="00793478">
        <w:t>принятых в развитых странах. В-третьих</w:t>
      </w:r>
      <w:r>
        <w:t xml:space="preserve">, </w:t>
      </w:r>
      <w:r w:rsidRPr="00793478">
        <w:t>они первыми смогли выделить необходимые ресурсы на проведение реорганизации своих систем корпоративного управления</w:t>
      </w:r>
      <w:r>
        <w:t xml:space="preserve">, </w:t>
      </w:r>
      <w:r w:rsidRPr="00793478">
        <w:t>в том числе на привлечение специалистов и внешних консультантов.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структуре источников финансирования инвестиций преобладают собственные средства. Наибольшее значение соотношения заемного капитала к собственному у добывающих компаний</w:t>
      </w:r>
      <w:r>
        <w:t xml:space="preserve">, </w:t>
      </w:r>
      <w:r w:rsidRPr="00793478">
        <w:t>на втором месте — геолого-разведочные предприятия</w:t>
      </w:r>
      <w:r>
        <w:t xml:space="preserve">, </w:t>
      </w:r>
      <w:r w:rsidRPr="00793478">
        <w:t>на третьем — головные компании и нефтеперерабатывающие заводы; больше всего заемный капитал привлекают сбытовые предприятия</w:t>
      </w:r>
      <w:r>
        <w:t xml:space="preserve">, </w:t>
      </w:r>
      <w:r w:rsidRPr="00793478">
        <w:t>что связано с отсутствием собственных денежных средств</w:t>
      </w:r>
      <w:r>
        <w:t xml:space="preserve">, </w:t>
      </w:r>
      <w:r w:rsidRPr="00793478">
        <w:t>достаточных для дальнейшего развития.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Все компании нефтегазового комплекса прибегают к внешним источникам финансирования. Наиболее популярным внешним источником финансирования является заемный капитал: несмотря на то</w:t>
      </w:r>
      <w:r>
        <w:t xml:space="preserve">, </w:t>
      </w:r>
      <w:r w:rsidRPr="00793478">
        <w:t>что на сегодняшний день он относительно дорог в России по сравнению с уровнем других стран</w:t>
      </w:r>
      <w:r>
        <w:t xml:space="preserve">, </w:t>
      </w:r>
      <w:r w:rsidRPr="00793478">
        <w:t>тем не менее он же является одним из самых доступных. На втором месте — акции</w:t>
      </w:r>
      <w:r>
        <w:t xml:space="preserve">, </w:t>
      </w:r>
      <w:r w:rsidRPr="00793478">
        <w:t xml:space="preserve">на третьем — облигации.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Хотя объемы денежных средств</w:t>
      </w:r>
      <w:r>
        <w:t xml:space="preserve">, </w:t>
      </w:r>
      <w:r w:rsidRPr="00793478">
        <w:t>привлеченных благодаря выпуску ценных бумаг</w:t>
      </w:r>
      <w:r>
        <w:t xml:space="preserve">, </w:t>
      </w:r>
      <w:r w:rsidRPr="00793478">
        <w:t>велики</w:t>
      </w:r>
      <w:r>
        <w:t xml:space="preserve">, </w:t>
      </w:r>
      <w:r w:rsidRPr="00793478">
        <w:t>этот источник привлечения капитала редко используется нефтегазовыми компаниями. Если к дополнительному выпуску акций прибегали компании всех «подотраслей»</w:t>
      </w:r>
      <w:r>
        <w:t xml:space="preserve">, </w:t>
      </w:r>
      <w:r w:rsidRPr="00793478">
        <w:t>то к выпуску облигаций прибегают только две категории предприятий — головные и добывающие.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Влияние качества корпоративного управления компаний нефтегазового комплекса на соотношения собственного и заемного капитала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Исследование влияния каждого отдельного параметра качества корпоративного управления на структуру капитала компании (всего 18 парных регрессий) показало</w:t>
      </w:r>
      <w:r>
        <w:t xml:space="preserve">, </w:t>
      </w:r>
      <w:r w:rsidRPr="00793478">
        <w:t>что ни один из них не является значимым для инвестора или кредитора</w:t>
      </w:r>
      <w:r>
        <w:t xml:space="preserve">, </w:t>
      </w:r>
      <w:r w:rsidRPr="00793478">
        <w:t>объясняющая способность всех моделей оказалась крайне низкой</w:t>
      </w:r>
      <w:r>
        <w:t xml:space="preserve">, </w:t>
      </w:r>
      <w:r w:rsidRPr="00793478">
        <w:t>в целом показатель корреляции не превысил 1</w:t>
      </w:r>
      <w:r>
        <w:t xml:space="preserve">, </w:t>
      </w:r>
      <w:r w:rsidRPr="00793478">
        <w:t>2 %. Иными словами</w:t>
      </w:r>
      <w:r>
        <w:t xml:space="preserve">, </w:t>
      </w:r>
      <w:r w:rsidRPr="00793478">
        <w:t xml:space="preserve">каждый отдельно взятый параметр не оказывает влияния на решение инвесторов и кредиторов о предоставлении заемных средств компаниям нефтегазового сектора.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С одной стороны</w:t>
      </w:r>
      <w:r>
        <w:t xml:space="preserve">, </w:t>
      </w:r>
      <w:r w:rsidRPr="00793478">
        <w:t>это можно объяснить тем</w:t>
      </w:r>
      <w:r>
        <w:t xml:space="preserve">, </w:t>
      </w:r>
      <w:r w:rsidRPr="00793478">
        <w:t>что часть параметров — это дамми-переменные</w:t>
      </w:r>
      <w:r>
        <w:t xml:space="preserve">, </w:t>
      </w:r>
      <w:r w:rsidRPr="00793478">
        <w:t>которые всегда отрицательно сказываются на регрессиях и ведут к незначимости как отдельных переменных</w:t>
      </w:r>
      <w:r>
        <w:t xml:space="preserve">, </w:t>
      </w:r>
      <w:r w:rsidRPr="00793478">
        <w:t>так и всей регрессии в целом. С другой стороны — тем</w:t>
      </w:r>
      <w:r>
        <w:t xml:space="preserve">, </w:t>
      </w:r>
      <w:r w:rsidRPr="00793478">
        <w:t>что по отдельно взятому элементу нельзя судить о качестве корпоративного управления компании в целом</w:t>
      </w:r>
      <w:r>
        <w:t xml:space="preserve">, </w:t>
      </w:r>
      <w:r w:rsidRPr="00793478">
        <w:t>а следовательно</w:t>
      </w:r>
      <w:r>
        <w:t xml:space="preserve">, </w:t>
      </w:r>
      <w:r w:rsidRPr="00793478">
        <w:t>нельзя делать выводы о рискованности или нерискованности вложений</w:t>
      </w:r>
      <w:r>
        <w:t xml:space="preserve">, </w:t>
      </w:r>
      <w:r w:rsidRPr="00793478">
        <w:t>в данном случае предоставлении заемных средств или покупки ценных бумаг. Если компания постоянно публикует годовые отчеты</w:t>
      </w:r>
      <w:r>
        <w:t xml:space="preserve">, </w:t>
      </w:r>
      <w:r w:rsidRPr="00793478">
        <w:t>но не делает всего остального</w:t>
      </w:r>
      <w:r>
        <w:t xml:space="preserve">, </w:t>
      </w:r>
      <w:r w:rsidRPr="00793478">
        <w:t xml:space="preserve">то говорить о высоком качестве корпоративного управления не представляется возможным.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связи с этим следующим шагом анализа было построение множественных регрессий</w:t>
      </w:r>
      <w:r>
        <w:t xml:space="preserve">, </w:t>
      </w:r>
      <w:r w:rsidRPr="00793478">
        <w:t>включающих несколько</w:t>
      </w:r>
      <w:r>
        <w:t xml:space="preserve">, </w:t>
      </w:r>
      <w:r w:rsidRPr="00793478">
        <w:t>от 3 до 5</w:t>
      </w:r>
      <w:r>
        <w:t xml:space="preserve">, </w:t>
      </w:r>
      <w:r w:rsidRPr="00793478">
        <w:t>переменных качества корпоративного управления сразу. Однако результаты проверки на значимость регрессии и переменных моделей снова оказались отрицательными. Проведенный анализ показал</w:t>
      </w:r>
      <w:r>
        <w:t xml:space="preserve">, </w:t>
      </w:r>
      <w:r w:rsidRPr="00793478">
        <w:t>что даже несколько параметров качественного корпоративного управления не служат для инвестора показателем выгодности и низкого риска инвестиционных вливаний. Таким образом</w:t>
      </w:r>
      <w:r>
        <w:t xml:space="preserve">, </w:t>
      </w:r>
      <w:r w:rsidRPr="00793478">
        <w:t>можно сказать</w:t>
      </w:r>
      <w:r>
        <w:t xml:space="preserve">, </w:t>
      </w:r>
      <w:r w:rsidRPr="00793478">
        <w:t>что даже блок параметров</w:t>
      </w:r>
      <w:r>
        <w:t xml:space="preserve">, </w:t>
      </w:r>
      <w:r w:rsidRPr="00793478">
        <w:t>определяющих состояние корпоративного управления нефтегазовых компаний</w:t>
      </w:r>
      <w:r>
        <w:t xml:space="preserve">, </w:t>
      </w:r>
      <w:r w:rsidRPr="00793478">
        <w:t>не оказывает влияния на соотношение собственного и заемного капитала</w:t>
      </w:r>
      <w:r>
        <w:t xml:space="preserve">, </w:t>
      </w:r>
      <w:r w:rsidRPr="00793478">
        <w:t xml:space="preserve">т. е. на их возможность привлечь средства со стороны банков или инвесторов.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Регрессионный анализ полной множественной регрессии с учетом абсолютно всех анализируемых параметров качества корпоративного управления компаний нефтегазового сектора выявил</w:t>
      </w:r>
      <w:r>
        <w:t xml:space="preserve">, </w:t>
      </w:r>
      <w:r w:rsidRPr="00793478">
        <w:t>как видно из таблицы результатов регрессии в прил. 2</w:t>
      </w:r>
      <w:r>
        <w:t xml:space="preserve">, </w:t>
      </w:r>
      <w:r w:rsidRPr="00793478">
        <w:t>что значимыми для инвестора являются только четыре переменные: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количество отчетов по международным стандартам финансовой отчетности (положительная зависимость). Это можно объяснить тем</w:t>
      </w:r>
      <w:r>
        <w:t xml:space="preserve">, </w:t>
      </w:r>
      <w:r w:rsidRPr="00793478">
        <w:t>что требования к данным отчетам более строгие и они</w:t>
      </w:r>
      <w:r>
        <w:t xml:space="preserve">, </w:t>
      </w:r>
      <w:r w:rsidRPr="00793478">
        <w:t>как правило</w:t>
      </w:r>
      <w:r>
        <w:t xml:space="preserve">, </w:t>
      </w:r>
      <w:r w:rsidRPr="00793478">
        <w:t>содержат более полную финансовую информацию</w:t>
      </w:r>
      <w:r>
        <w:t xml:space="preserve">, </w:t>
      </w:r>
      <w:r w:rsidRPr="00793478">
        <w:t>по которой инвестор может судить о выгодности своих вложений</w:t>
      </w:r>
      <w:r>
        <w:t xml:space="preserve">, </w:t>
      </w:r>
      <w:r w:rsidRPr="00793478">
        <w:t>а кредитор — о платежеспособности нефтегазовой компании;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торговля акциями на российских биржах (отрицательная зависимость). Значимость и одновременно отрицательную зависимость можно объяснить тем</w:t>
      </w:r>
      <w:r>
        <w:t xml:space="preserve">, </w:t>
      </w:r>
      <w:r w:rsidRPr="00793478">
        <w:t>что если акции компании торгуются на российской бирже</w:t>
      </w:r>
      <w:r>
        <w:t xml:space="preserve">, </w:t>
      </w:r>
      <w:r w:rsidRPr="00793478">
        <w:t>то в качестве источника финансирования она скорее прибегнет к дополнительному выпуску акций или продаже имеющихся на руках</w:t>
      </w:r>
      <w:r>
        <w:t xml:space="preserve">, </w:t>
      </w:r>
      <w:r w:rsidRPr="00793478">
        <w:t>чем будет обращаться за заемными средствами;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число директоров в совете (положительная зависимость). Чем больше директоров в совете</w:t>
      </w:r>
      <w:r>
        <w:t xml:space="preserve">, </w:t>
      </w:r>
      <w:r w:rsidRPr="00793478">
        <w:t>тем больше вероятность их объективности и тем сложнее кому-то одному склонить остальных членов совета в свою сторону</w:t>
      </w:r>
      <w:r>
        <w:t xml:space="preserve">, </w:t>
      </w:r>
      <w:r w:rsidRPr="00793478">
        <w:t>а следовательно</w:t>
      </w:r>
      <w:r>
        <w:t xml:space="preserve">, </w:t>
      </w:r>
      <w:r w:rsidRPr="00793478">
        <w:t>избежать решений</w:t>
      </w:r>
      <w:r>
        <w:t xml:space="preserve">, </w:t>
      </w:r>
      <w:r w:rsidRPr="00793478">
        <w:t>которые принесут пользу не самой компании</w:t>
      </w:r>
      <w:r>
        <w:t xml:space="preserve">, </w:t>
      </w:r>
      <w:r w:rsidRPr="00793478">
        <w:t>а ее отдельным представителям;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число независимых директоров в совете (отрицательная зависимость). Объяснение данного феномена можно найти в том факте</w:t>
      </w:r>
      <w:r>
        <w:t xml:space="preserve">, </w:t>
      </w:r>
      <w:r w:rsidRPr="00793478">
        <w:t>что</w:t>
      </w:r>
      <w:r>
        <w:t xml:space="preserve">, </w:t>
      </w:r>
      <w:r w:rsidRPr="00793478">
        <w:t>как правило</w:t>
      </w:r>
      <w:r>
        <w:t xml:space="preserve">, </w:t>
      </w:r>
      <w:r w:rsidRPr="00793478">
        <w:t>наличие независимых директоров свидетельствует о достаточно высоком уровне корпоративного управления</w:t>
      </w:r>
      <w:r>
        <w:t xml:space="preserve">, </w:t>
      </w:r>
      <w:r w:rsidRPr="00793478">
        <w:t>а следовательно</w:t>
      </w:r>
      <w:r>
        <w:t xml:space="preserve">, </w:t>
      </w:r>
      <w:r w:rsidRPr="00793478">
        <w:t>компании становятся доступны и другие источники внешнего финансирования</w:t>
      </w:r>
      <w:r>
        <w:t xml:space="preserve">, </w:t>
      </w:r>
      <w:r w:rsidRPr="00793478">
        <w:t>позволяющие привлечь большие объемы капитала.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При этом коэффициент корреляции R2 = 0</w:t>
      </w:r>
      <w:r>
        <w:t xml:space="preserve">, </w:t>
      </w:r>
      <w:r w:rsidRPr="00793478">
        <w:t>07 % из 100 возможных</w:t>
      </w:r>
      <w:r>
        <w:t xml:space="preserve">, </w:t>
      </w:r>
      <w:r w:rsidRPr="00793478">
        <w:t>т. е. объясняющая способность чрезвычайно мала. Отсюда вывод</w:t>
      </w:r>
      <w:r>
        <w:t xml:space="preserve">, </w:t>
      </w:r>
      <w:r w:rsidRPr="00793478">
        <w:t>что хотя некоторые параметры корпоративного управления значимы для кредитора и инвестора в отношении нефтегазовых компаний</w:t>
      </w:r>
      <w:r>
        <w:t xml:space="preserve">, </w:t>
      </w:r>
      <w:r w:rsidRPr="00793478">
        <w:t>в целом оно никак не влияет на его решение о предоставлении заемных средств.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Влияние качества корпоративного управления компаний нефтегазового комплекса на объем средств</w:t>
      </w:r>
      <w:r>
        <w:t xml:space="preserve">, </w:t>
      </w:r>
      <w:r w:rsidRPr="00793478">
        <w:t>привлекаемых за счет дополнительного выпуска акций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Проведенный по аналогии с предыдущим анализ вновь показал</w:t>
      </w:r>
      <w:r>
        <w:t xml:space="preserve">, </w:t>
      </w:r>
      <w:r w:rsidRPr="00793478">
        <w:t>что ни один из параметров сам по себе не оказывает влияния на решения инвесторов о приобретении акций компании</w:t>
      </w:r>
      <w:r>
        <w:t xml:space="preserve">, </w:t>
      </w:r>
      <w:r w:rsidRPr="00793478">
        <w:t>а следовательно</w:t>
      </w:r>
      <w:r>
        <w:t xml:space="preserve">, </w:t>
      </w:r>
      <w:r w:rsidRPr="00793478">
        <w:t>об инвестировании средств в нее</w:t>
      </w:r>
      <w:r>
        <w:t xml:space="preserve">, </w:t>
      </w:r>
      <w:r w:rsidRPr="00793478">
        <w:t>поскольку ни одна переменная не оказалась значимой</w:t>
      </w:r>
      <w:r>
        <w:t xml:space="preserve">, </w:t>
      </w:r>
      <w:r w:rsidRPr="00793478">
        <w:t>а объясняющая способность регрессий не превысила 0</w:t>
      </w:r>
      <w:r>
        <w:t xml:space="preserve">, </w:t>
      </w:r>
      <w:r w:rsidRPr="00793478">
        <w:t>78 %.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Результатом анализа неполных множественных регрессий зависимости дополнительного выпуска акций в денежном выражении от различных блоков переменных качества КУ показал</w:t>
      </w:r>
      <w:r>
        <w:t xml:space="preserve">, </w:t>
      </w:r>
      <w:r w:rsidRPr="00793478">
        <w:t>что в случае принятия в качестве независимых переменных числа опубликованных годовых отчетов</w:t>
      </w:r>
      <w:r>
        <w:t xml:space="preserve">, </w:t>
      </w:r>
      <w:r w:rsidRPr="00793478">
        <w:t>числа опубликованных квартальных отчетов</w:t>
      </w:r>
      <w:r>
        <w:t xml:space="preserve">, </w:t>
      </w:r>
      <w:r w:rsidRPr="00793478">
        <w:t>числа опубликованных отчетов по международным стандартам финансовой отчетности</w:t>
      </w:r>
      <w:r>
        <w:t xml:space="preserve">, </w:t>
      </w:r>
      <w:r w:rsidRPr="00793478">
        <w:t>выплат дивидендов</w:t>
      </w:r>
      <w:r>
        <w:t xml:space="preserve">, </w:t>
      </w:r>
      <w:r w:rsidRPr="00793478">
        <w:t>торговли акциями на российских биржах первый является значимым фактором</w:t>
      </w:r>
      <w:r>
        <w:t xml:space="preserve">, </w:t>
      </w:r>
      <w:r w:rsidRPr="00793478">
        <w:t>при этом связь оказалась отрицательной. Единственным объяснением здесь может быть тот факт</w:t>
      </w:r>
      <w:r>
        <w:t xml:space="preserve">, </w:t>
      </w:r>
      <w:r w:rsidRPr="00793478">
        <w:t>что наиболее выгодно вкладывать в компанию с недооцененной рыночной стоимостью</w:t>
      </w:r>
      <w:r>
        <w:t xml:space="preserve">, </w:t>
      </w:r>
      <w:r w:rsidRPr="00793478">
        <w:t>что случается</w:t>
      </w:r>
      <w:r>
        <w:t xml:space="preserve">, </w:t>
      </w:r>
      <w:r w:rsidRPr="00793478">
        <w:t>когда не разглашается информация о реальной ситуации в компании и ее планах на будущее. Именно эта информация</w:t>
      </w:r>
      <w:r>
        <w:t xml:space="preserve">, </w:t>
      </w:r>
      <w:r w:rsidRPr="00793478">
        <w:t>как правило</w:t>
      </w:r>
      <w:r>
        <w:t xml:space="preserve">, </w:t>
      </w:r>
      <w:r w:rsidRPr="00793478">
        <w:t>содержится в годовых отчетах нефтегазовых компаний. Однако коэффициент корреляции в данной модели составил всего лишь 0</w:t>
      </w:r>
      <w:r>
        <w:t xml:space="preserve">, </w:t>
      </w:r>
      <w:r w:rsidRPr="00793478">
        <w:t>35 % из 100 возможных. Это чрезвычайно низкий показатель</w:t>
      </w:r>
      <w:r>
        <w:t xml:space="preserve">, </w:t>
      </w:r>
      <w:r w:rsidRPr="00793478">
        <w:t>следовательно</w:t>
      </w:r>
      <w:r>
        <w:t xml:space="preserve">, </w:t>
      </w:r>
      <w:r w:rsidRPr="00793478">
        <w:t>можно не брать в расчет значимость самого параметра</w:t>
      </w:r>
      <w:r>
        <w:t xml:space="preserve">, </w:t>
      </w:r>
      <w:r w:rsidRPr="00793478">
        <w:t>поскольку сама регрессия оказалась незначимой.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Во всех остальных регрессиях нет ни одной значимой переменной. И объясняющая способность всех регрессий опять-таки мала — не более 0</w:t>
      </w:r>
      <w:r>
        <w:t xml:space="preserve">, </w:t>
      </w:r>
      <w:r w:rsidRPr="00793478">
        <w:t>38 %. Отсюда следует вывод о незначимости небольшой группы параметров качества корпоративного управления нефтегазовых компаний для потенциального акционера.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Анализ полной множественной регрессии (прил. 3) оказался не столь позитивен</w:t>
      </w:r>
      <w:r>
        <w:t xml:space="preserve">, </w:t>
      </w:r>
      <w:r w:rsidRPr="00793478">
        <w:t>как в предыдущей модели. В этот раз при построении полной регрессионной модели абсолютно все параметры оказались незначимыми и объясняющая способность составила всего 1</w:t>
      </w:r>
      <w:r>
        <w:t xml:space="preserve">, </w:t>
      </w:r>
      <w:r w:rsidRPr="00793478">
        <w:t>2 % из 100 возможных. Это говорит о полной недостоверности гипотезы о влиянии качества корпоративного управления на возможность успешного выпуска дополнительных акций компаниями нефтегазовой отрасли.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Влияние качества корпоративного управления компаний нефтегазового комплекса на объем средств</w:t>
      </w:r>
      <w:r>
        <w:t xml:space="preserve">, </w:t>
      </w:r>
      <w:r w:rsidRPr="00793478">
        <w:t>привлекаемых за счет дополнительного выпуска облигаций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Исследование влияния качества корпоративного управления на успешность выпуска облигаций с помощью парных регрессий показало</w:t>
      </w:r>
      <w:r>
        <w:t xml:space="preserve">, </w:t>
      </w:r>
      <w:r w:rsidRPr="00793478">
        <w:t>что значимы сразу три переменные: количество отчетов по международным стандартам финансовой отчетности</w:t>
      </w:r>
      <w:r>
        <w:t xml:space="preserve">, </w:t>
      </w:r>
      <w:r w:rsidRPr="00793478">
        <w:t>выплаты дивидендов и наличие собственного кодекса корпоративного управления. Но объясняющая способность самих регрессий мала — 0</w:t>
      </w:r>
      <w:r>
        <w:t xml:space="preserve">, </w:t>
      </w:r>
      <w:r w:rsidRPr="00793478">
        <w:t>32</w:t>
      </w:r>
      <w:r>
        <w:t xml:space="preserve">, </w:t>
      </w:r>
      <w:r w:rsidRPr="00793478">
        <w:t>1</w:t>
      </w:r>
      <w:r>
        <w:t xml:space="preserve">, </w:t>
      </w:r>
      <w:r w:rsidRPr="00793478">
        <w:t>53 и 0</w:t>
      </w:r>
      <w:r>
        <w:t xml:space="preserve">, </w:t>
      </w:r>
      <w:r w:rsidRPr="00793478">
        <w:t>02 % соответственно. Следовательно</w:t>
      </w:r>
      <w:r>
        <w:t xml:space="preserve">, </w:t>
      </w:r>
      <w:r w:rsidRPr="00793478">
        <w:t>хотя некоторые параметры и оказывают влияние на принятие решения об инвестировании</w:t>
      </w:r>
      <w:r>
        <w:t xml:space="preserve">, </w:t>
      </w:r>
      <w:r w:rsidRPr="00793478">
        <w:t>это влияние столь мало</w:t>
      </w:r>
      <w:r>
        <w:t xml:space="preserve">, </w:t>
      </w:r>
      <w:r w:rsidRPr="00793478">
        <w:t>что говорить о четкой взаимосвязи дополнительного выпуска облигаций и корпоративного управления нефтегазовых компаний пока рано. При этом во всех трех случаях связь отрицательная</w:t>
      </w:r>
      <w:r>
        <w:t xml:space="preserve">, </w:t>
      </w:r>
      <w:r w:rsidRPr="00793478">
        <w:t>т. е. качественное корпоративное управление отрицательно сказывается на возможностях компании привлекать средства через облигации</w:t>
      </w:r>
      <w:r>
        <w:t xml:space="preserve">, </w:t>
      </w:r>
      <w:r w:rsidRPr="00793478">
        <w:t>что противоречит выдвигаемой гипотезе нашего исследования.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Исследование неполных множественных регрессий для анализа данной гипотезы выявило значимые параметры качества корпоративного управления в трех регрессиях. Это зависимость дополнительного выпуска облигаций компаний нефтяной и газовой промышленности от следующих параметров: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1) числа опубликованных годовых отчетов</w:t>
      </w:r>
      <w:r>
        <w:t xml:space="preserve">, </w:t>
      </w:r>
      <w:r w:rsidRPr="00793478">
        <w:t>числа опубликованных квартальных отчетов</w:t>
      </w:r>
      <w:r>
        <w:t xml:space="preserve">, </w:t>
      </w:r>
      <w:r w:rsidRPr="00793478">
        <w:t>числа опубликованных отчетов по международным стандартам финансовой отчетности</w:t>
      </w:r>
      <w:r>
        <w:t xml:space="preserve">, </w:t>
      </w:r>
      <w:r w:rsidRPr="00793478">
        <w:t>выплат дивидендов</w:t>
      </w:r>
      <w:r>
        <w:t xml:space="preserve">, </w:t>
      </w:r>
      <w:r w:rsidRPr="00793478">
        <w:t>торговли акциями на российских биржах;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2) наличия всех органов управления (совет директоров</w:t>
      </w:r>
      <w:r>
        <w:t xml:space="preserve">, </w:t>
      </w:r>
      <w:r w:rsidRPr="00793478">
        <w:t>правление</w:t>
      </w:r>
      <w:r>
        <w:t xml:space="preserve">, </w:t>
      </w:r>
      <w:r w:rsidRPr="00793478">
        <w:t>президент)</w:t>
      </w:r>
      <w:r>
        <w:t xml:space="preserve">, </w:t>
      </w:r>
      <w:r w:rsidRPr="00793478">
        <w:t>торговли акциями на зарубежных биржах и наличия собственного кодекса корпоративного управления;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3) наличия секретаря совета директоров</w:t>
      </w:r>
      <w:r>
        <w:t xml:space="preserve">, </w:t>
      </w:r>
      <w:r w:rsidRPr="00793478">
        <w:t>числа директоров в Совете</w:t>
      </w:r>
      <w:r>
        <w:t xml:space="preserve">, </w:t>
      </w:r>
      <w:r w:rsidRPr="00793478">
        <w:t>числа собраний акционеров</w:t>
      </w:r>
      <w:r>
        <w:t xml:space="preserve">, </w:t>
      </w:r>
      <w:r w:rsidRPr="00793478">
        <w:t>числа заседаний совета директоров</w:t>
      </w:r>
      <w:r>
        <w:t xml:space="preserve">, </w:t>
      </w:r>
      <w:r w:rsidRPr="00793478">
        <w:t>наличия комитетов.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первой регрессии с объясняющей способностью 2</w:t>
      </w:r>
      <w:r>
        <w:t xml:space="preserve">, </w:t>
      </w:r>
      <w:r w:rsidRPr="00793478">
        <w:t>3 % выявлена одна значимая переменная — выплата дивидендов</w:t>
      </w:r>
      <w:r>
        <w:t xml:space="preserve">, </w:t>
      </w:r>
      <w:r w:rsidRPr="00793478">
        <w:t>причем связь положительная. Получается</w:t>
      </w:r>
      <w:r>
        <w:t xml:space="preserve">, </w:t>
      </w:r>
      <w:r w:rsidRPr="00793478">
        <w:t>что потенциальные инвесторы готовы купить облигации</w:t>
      </w:r>
      <w:r>
        <w:t xml:space="preserve">, </w:t>
      </w:r>
      <w:r w:rsidRPr="00793478">
        <w:t>если компания выплачивает дивиденды по акциям. Это логично</w:t>
      </w:r>
      <w:r>
        <w:t xml:space="preserve">, </w:t>
      </w:r>
      <w:r w:rsidRPr="00793478">
        <w:t>если считать</w:t>
      </w:r>
      <w:r>
        <w:t xml:space="preserve">, </w:t>
      </w:r>
      <w:r w:rsidRPr="00793478">
        <w:t>что раз компания выплачивает доходы по акциям</w:t>
      </w:r>
      <w:r>
        <w:t xml:space="preserve">, </w:t>
      </w:r>
      <w:r w:rsidRPr="00793478">
        <w:t>следовательно</w:t>
      </w:r>
      <w:r>
        <w:t xml:space="preserve">, </w:t>
      </w:r>
      <w:r w:rsidRPr="00793478">
        <w:t>выплатит доходы и по облигациям.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Во второй регрессии с объясняющей способностью 0</w:t>
      </w:r>
      <w:r>
        <w:t xml:space="preserve">, </w:t>
      </w:r>
      <w:r w:rsidRPr="00793478">
        <w:t>18 % снова оказался значимым параметр «наличие собственного кодекса корпоративного управления» и связь снова отрицательная</w:t>
      </w:r>
      <w:r>
        <w:t xml:space="preserve">, </w:t>
      </w:r>
      <w:r w:rsidRPr="00793478">
        <w:t>как и в парной регрессии</w:t>
      </w:r>
      <w:r>
        <w:t xml:space="preserve">, </w:t>
      </w:r>
      <w:r w:rsidRPr="00793478">
        <w:t>о результатах которой мы говорили чуть выше. Получается</w:t>
      </w:r>
      <w:r>
        <w:t xml:space="preserve">, </w:t>
      </w:r>
      <w:r w:rsidRPr="00793478">
        <w:t>что потенциальные инвесторы не заинтересованы в том</w:t>
      </w:r>
      <w:r>
        <w:t xml:space="preserve">, </w:t>
      </w:r>
      <w:r w:rsidRPr="00793478">
        <w:t>чтобы компания разрабатывала собственный документ</w:t>
      </w:r>
      <w:r>
        <w:t xml:space="preserve">, </w:t>
      </w:r>
      <w:r w:rsidRPr="00793478">
        <w:t>регламентирующий отношения с акционерами. Возможно</w:t>
      </w:r>
      <w:r>
        <w:t xml:space="preserve">, </w:t>
      </w:r>
      <w:r w:rsidRPr="00793478">
        <w:t>это свидетельствует о том</w:t>
      </w:r>
      <w:r>
        <w:t xml:space="preserve">, </w:t>
      </w:r>
      <w:r w:rsidRPr="00793478">
        <w:t>что они предпочитают</w:t>
      </w:r>
      <w:r>
        <w:t xml:space="preserve">, </w:t>
      </w:r>
      <w:r w:rsidRPr="00793478">
        <w:t>чтобы компания следовала Кодексу корпоративного управления</w:t>
      </w:r>
      <w:r>
        <w:t xml:space="preserve">, </w:t>
      </w:r>
      <w:r w:rsidRPr="00793478">
        <w:t>разработанному и рекомендованному Правительством РФ.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В третьей регрессии с объясняющей способностью 0</w:t>
      </w:r>
      <w:r>
        <w:t xml:space="preserve">, </w:t>
      </w:r>
      <w:r w:rsidRPr="00793478">
        <w:t>28 % значим параметр «наличие комитетов» и связь положительная. Это говорит о том</w:t>
      </w:r>
      <w:r>
        <w:t xml:space="preserve">, </w:t>
      </w:r>
      <w:r w:rsidRPr="00793478">
        <w:t xml:space="preserve">что наличие комитетов при Совете директоров служит своеобразной гарантией для потенциальных покупателей облигаций.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Но поскольку коэффициент корреляции представляет собой незначительную величину</w:t>
      </w:r>
      <w:r>
        <w:t xml:space="preserve">, </w:t>
      </w:r>
      <w:r w:rsidRPr="00793478">
        <w:t>то доверять полученным результатам не стоит</w:t>
      </w:r>
      <w:r>
        <w:t xml:space="preserve">, </w:t>
      </w:r>
      <w:r w:rsidRPr="00793478">
        <w:t>так как в целом это говорит о незначимости самих регрессий в целом.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Анализ полной множественной регрессии (прил. 4)</w:t>
      </w:r>
      <w:r>
        <w:t xml:space="preserve">, </w:t>
      </w:r>
      <w:r w:rsidRPr="00793478">
        <w:t>учитывающей абсолютно все анализируемые параметры качества корпоративного управления компаний нефтегазового комплекса</w:t>
      </w:r>
      <w:r>
        <w:t xml:space="preserve">, </w:t>
      </w:r>
      <w:r w:rsidRPr="00793478">
        <w:t>дал самые лучшие результаты</w:t>
      </w:r>
      <w:r>
        <w:t xml:space="preserve">, </w:t>
      </w:r>
      <w:r w:rsidRPr="00793478">
        <w:t>которые свидетельствуют о том</w:t>
      </w:r>
      <w:r>
        <w:t xml:space="preserve">, </w:t>
      </w:r>
      <w:r w:rsidRPr="00793478">
        <w:t>что значимы следующие факторы: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торговля акциями на иностранной бирже (положительная связь). Это можно объяснить тем</w:t>
      </w:r>
      <w:r>
        <w:t xml:space="preserve">, </w:t>
      </w:r>
      <w:r w:rsidRPr="00793478">
        <w:t>что фондовые биржи до включения в листинг компании требуют выполнения ряда условий</w:t>
      </w:r>
      <w:r>
        <w:t xml:space="preserve">, </w:t>
      </w:r>
      <w:r w:rsidRPr="00793478">
        <w:t>обеспечивающих минимальный уровень качественного корпоративного управления;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число заседаний совета директоров (связь отрицательная). Если число заседаний велико</w:t>
      </w:r>
      <w:r>
        <w:t xml:space="preserve">, </w:t>
      </w:r>
      <w:r w:rsidRPr="00793478">
        <w:t>то это свидетельствует о том</w:t>
      </w:r>
      <w:r>
        <w:t xml:space="preserve">, </w:t>
      </w:r>
      <w:r w:rsidRPr="00793478">
        <w:t>что совет директоров выполняет не свойственные ему функции</w:t>
      </w:r>
      <w:r>
        <w:t xml:space="preserve">, </w:t>
      </w:r>
      <w:r w:rsidRPr="00793478">
        <w:t>а именно участвует в оперативном управлении компании</w:t>
      </w:r>
      <w:r>
        <w:t xml:space="preserve">, </w:t>
      </w:r>
      <w:r w:rsidRPr="00793478">
        <w:t>чего быть не должно;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наличие комитетов (связь положительная). Это опять-таки объясняется тем</w:t>
      </w:r>
      <w:r>
        <w:t xml:space="preserve">, </w:t>
      </w:r>
      <w:r w:rsidRPr="00793478">
        <w:t>что комитеты служат дополнительной гарантией для инвестора;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— число комитетов (связь отрицательная)</w:t>
      </w:r>
      <w:r>
        <w:t xml:space="preserve">, </w:t>
      </w:r>
      <w:r w:rsidRPr="00793478">
        <w:t>поскольку чрезмерное количество комитетов ведет к размыванию их ответственности.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Но</w:t>
      </w:r>
      <w:r>
        <w:t xml:space="preserve">, </w:t>
      </w:r>
      <w:r w:rsidRPr="00793478">
        <w:t>несмотря на то</w:t>
      </w:r>
      <w:r>
        <w:t xml:space="preserve">, </w:t>
      </w:r>
      <w:r w:rsidRPr="00793478">
        <w:t>что есть значимые переменные в регрессии</w:t>
      </w:r>
      <w:r>
        <w:t xml:space="preserve">, </w:t>
      </w:r>
      <w:r w:rsidRPr="00793478">
        <w:t>тем не менее объясняющая способность модели всего 23</w:t>
      </w:r>
      <w:r>
        <w:t xml:space="preserve">, </w:t>
      </w:r>
      <w:r w:rsidRPr="00793478">
        <w:t>9 %</w:t>
      </w:r>
      <w:r>
        <w:t xml:space="preserve">, </w:t>
      </w:r>
      <w:r w:rsidRPr="00793478">
        <w:t>что больше</w:t>
      </w:r>
      <w:r>
        <w:t xml:space="preserve">, </w:t>
      </w:r>
      <w:r w:rsidRPr="00793478">
        <w:t>чем во всех предыдущих случаях</w:t>
      </w:r>
      <w:r>
        <w:t xml:space="preserve">, </w:t>
      </w:r>
      <w:r w:rsidRPr="00793478">
        <w:t xml:space="preserve">но все же недостаточно.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Таким образом</w:t>
      </w:r>
      <w:r>
        <w:t xml:space="preserve">, </w:t>
      </w:r>
      <w:r w:rsidRPr="00793478">
        <w:t>качество корпоративного управления не оказывает существенного влияния на возможность компаний нефтегазового сектора привлечь средства за счет дополнительного выпуска облигаций. Данную ситуацию можно отчасти объяснить особенностями сегодняшнего инвестиционного рынка России. Во-первых</w:t>
      </w:r>
      <w:r>
        <w:t xml:space="preserve">, </w:t>
      </w:r>
      <w:r w:rsidRPr="00793478">
        <w:t>в российских условиях риски потери собственности для инвесторов имеют все же большее значение</w:t>
      </w:r>
      <w:r>
        <w:t xml:space="preserve">, </w:t>
      </w:r>
      <w:r w:rsidRPr="00793478">
        <w:t>нежели риски</w:t>
      </w:r>
      <w:r>
        <w:t xml:space="preserve">, </w:t>
      </w:r>
      <w:r w:rsidRPr="00793478">
        <w:t>связанные с неэффективным управлением бизнесом. Во-вторых</w:t>
      </w:r>
      <w:r>
        <w:t xml:space="preserve">, </w:t>
      </w:r>
      <w:r w:rsidRPr="00793478">
        <w:t>на сегодняшний день круг инвесторов</w:t>
      </w:r>
      <w:r>
        <w:t xml:space="preserve">, </w:t>
      </w:r>
      <w:r w:rsidRPr="00793478">
        <w:t>работающих на российском фондовом рынке</w:t>
      </w:r>
      <w:r>
        <w:t xml:space="preserve">, </w:t>
      </w:r>
      <w:r w:rsidRPr="00793478">
        <w:t>в основном ограничен рисковыми портфельными инвесторами</w:t>
      </w:r>
      <w:r>
        <w:t xml:space="preserve">, </w:t>
      </w:r>
      <w:r w:rsidRPr="00793478">
        <w:t>которые готовы принимать высокий риск (в том числе и риски корпоративного управления) в обмен на высокую доходность. Главный смысл инвестирования для них связан не с долгосрочными перспективами компании</w:t>
      </w:r>
      <w:r>
        <w:t xml:space="preserve">, </w:t>
      </w:r>
      <w:r w:rsidRPr="00793478">
        <w:t xml:space="preserve">а с получением выгод от быстрого роста стоимости их акций.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Безусловно</w:t>
      </w:r>
      <w:r>
        <w:t xml:space="preserve">, </w:t>
      </w:r>
      <w:r w:rsidRPr="00793478">
        <w:t>все затраты</w:t>
      </w:r>
      <w:r>
        <w:t xml:space="preserve">, </w:t>
      </w:r>
      <w:r w:rsidRPr="00793478">
        <w:t>связанные с внедрением передового опыта в области корпоративного управления</w:t>
      </w:r>
      <w:r>
        <w:t xml:space="preserve">, </w:t>
      </w:r>
      <w:r w:rsidRPr="00793478">
        <w:t>приведут к зримым финансовым выгодам в виде привлечения масштабного акционерного капитала</w:t>
      </w:r>
      <w:r>
        <w:t xml:space="preserve">, </w:t>
      </w:r>
      <w:r w:rsidRPr="00793478">
        <w:t>если компанией заинтересуются стратегические иностранные и традиционные портфельные инвесторы</w:t>
      </w:r>
      <w:r>
        <w:t xml:space="preserve">, </w:t>
      </w:r>
      <w:r w:rsidRPr="00793478">
        <w:t>прежде всего крупные пенсионные фонды и страховые компании</w:t>
      </w:r>
      <w:r>
        <w:t xml:space="preserve">, </w:t>
      </w:r>
      <w:r w:rsidRPr="00793478">
        <w:t>но вряд ли это произойдет в ближайшее время.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С нашей точки зрения</w:t>
      </w:r>
      <w:r>
        <w:t xml:space="preserve">, </w:t>
      </w:r>
      <w:r w:rsidRPr="00793478">
        <w:t>в данный момент больше всех в повышении качества корпоративного управления российских компаний заинтересованы иностранные стратегические инвесторы</w:t>
      </w:r>
      <w:r>
        <w:t xml:space="preserve">, </w:t>
      </w:r>
      <w:r w:rsidRPr="00793478">
        <w:t>владеющие блокирующим или контрольным пакетом акций в объектах инвестирования или планирующие приобрести его. И хотя таких инвесторов на российском рынке по-прежнему сравнительно немного</w:t>
      </w:r>
      <w:r>
        <w:t xml:space="preserve">, </w:t>
      </w:r>
      <w:r w:rsidRPr="00793478">
        <w:t xml:space="preserve">их роль и влияние неуклонно растут.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Что касается традиционных портфельных инвесторов</w:t>
      </w:r>
      <w:r>
        <w:t xml:space="preserve">, </w:t>
      </w:r>
      <w:r w:rsidRPr="00793478">
        <w:t>рассматривающих плохое корпоративное управление как серьезный фактор риска при принятии инвестиционных решений</w:t>
      </w:r>
      <w:r>
        <w:t xml:space="preserve">, </w:t>
      </w:r>
      <w:r w:rsidRPr="00793478">
        <w:t>то они не готовы принимать на себя риски</w:t>
      </w:r>
      <w:r>
        <w:t xml:space="preserve">, </w:t>
      </w:r>
      <w:r w:rsidRPr="00793478">
        <w:t>связанные с вложениями в российские ценные бумаги. И дело здесь не только в качестве корпоративного управления в российских компаниях. Значительную роль играют страновые и институциональные факторы</w:t>
      </w:r>
      <w:r>
        <w:t xml:space="preserve">, </w:t>
      </w:r>
      <w:r w:rsidRPr="00793478">
        <w:t>о которых мы говорили выше. Тем не менее российским компаниям следует быть готовыми к росту интереса со стороны традиционных портфельных инвесторов</w:t>
      </w:r>
      <w:r>
        <w:t xml:space="preserve">, </w:t>
      </w:r>
      <w:r w:rsidRPr="00793478">
        <w:t>на сегодняшний день оперирующих наибольшими объемами средств на международном фондовом рынке. Хотя</w:t>
      </w:r>
      <w:r>
        <w:t xml:space="preserve">, </w:t>
      </w:r>
      <w:r w:rsidRPr="00793478">
        <w:t>как мы говорили выше</w:t>
      </w:r>
      <w:r>
        <w:t xml:space="preserve">, </w:t>
      </w:r>
      <w:r w:rsidRPr="00793478">
        <w:t>временные перспективы в этом вопросе остаются неопределенными.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Тем не менее хорошее корпоративное управление есть благо для самой компании</w:t>
      </w:r>
      <w:r>
        <w:t xml:space="preserve">, </w:t>
      </w:r>
      <w:r w:rsidRPr="00793478">
        <w:t>поскольку</w:t>
      </w:r>
      <w:r>
        <w:t xml:space="preserve">, </w:t>
      </w:r>
      <w:r w:rsidRPr="00793478">
        <w:t>во-первых</w:t>
      </w:r>
      <w:r>
        <w:t xml:space="preserve">, </w:t>
      </w:r>
      <w:r w:rsidRPr="00793478">
        <w:t>это инструмент</w:t>
      </w:r>
      <w:r>
        <w:t xml:space="preserve">, </w:t>
      </w:r>
      <w:r w:rsidRPr="00793478">
        <w:t>с помощью которого может быть достигнут баланс интересов различных сторон</w:t>
      </w:r>
      <w:r>
        <w:t xml:space="preserve">, </w:t>
      </w:r>
      <w:r w:rsidRPr="00793478">
        <w:t>а во-вторых</w:t>
      </w:r>
      <w:r>
        <w:t xml:space="preserve">, </w:t>
      </w:r>
      <w:r w:rsidRPr="00793478">
        <w:t xml:space="preserve">это необходимый компонент поступательного долгосрочного развития компании.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Приложение 1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1"/>
        <w:gridCol w:w="2527"/>
      </w:tblGrid>
      <w:tr w:rsidR="006F1187" w:rsidRPr="00793478" w:rsidTr="0007754F">
        <w:trPr>
          <w:tblHeader/>
          <w:tblCellSpacing w:w="0" w:type="dxa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187" w:rsidRPr="00793478" w:rsidRDefault="006F1187" w:rsidP="0007754F">
            <w:r w:rsidRPr="00793478">
              <w:t>Обозначения переменных модели</w:t>
            </w:r>
          </w:p>
        </w:tc>
      </w:tr>
      <w:tr w:rsidR="006F1187" w:rsidRPr="00793478" w:rsidTr="0007754F">
        <w:trPr>
          <w:tblHeader/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Соотношение собственного </w:t>
            </w:r>
          </w:p>
          <w:p w:rsidR="006F1187" w:rsidRPr="00793478" w:rsidRDefault="006F1187" w:rsidP="0007754F">
            <w:r w:rsidRPr="00793478">
              <w:t>и заемного капитала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sk_zk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Объем выпущенных акций</w:t>
            </w:r>
            <w:r>
              <w:t xml:space="preserve">, </w:t>
            </w:r>
          </w:p>
          <w:p w:rsidR="006F1187" w:rsidRPr="00793478" w:rsidRDefault="006F1187" w:rsidP="0007754F">
            <w:r w:rsidRPr="00793478">
              <w:t>денежное выражение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aksii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Объем выпущенных облигаций</w:t>
            </w:r>
            <w:r>
              <w:t xml:space="preserve">, </w:t>
            </w:r>
          </w:p>
          <w:p w:rsidR="006F1187" w:rsidRPr="00793478" w:rsidRDefault="006F1187" w:rsidP="0007754F">
            <w:r w:rsidRPr="00793478">
              <w:t>денежное выражение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obligasii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Число опубликованных годовых </w:t>
            </w:r>
          </w:p>
          <w:p w:rsidR="006F1187" w:rsidRPr="00793478" w:rsidRDefault="006F1187" w:rsidP="0007754F">
            <w:r w:rsidRPr="00793478">
              <w:t>отчетов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godot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Число опубликованных </w:t>
            </w:r>
          </w:p>
          <w:p w:rsidR="006F1187" w:rsidRPr="00793478" w:rsidRDefault="006F1187" w:rsidP="0007754F">
            <w:r w:rsidRPr="00793478">
              <w:t>квартальных отчетов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kvarot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Число опубликованных отчетов </w:t>
            </w:r>
          </w:p>
          <w:p w:rsidR="006F1187" w:rsidRPr="00793478" w:rsidRDefault="006F1187" w:rsidP="0007754F">
            <w:r w:rsidRPr="00793478">
              <w:t>по МСФО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msfo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Осуществление выплат </w:t>
            </w:r>
          </w:p>
          <w:p w:rsidR="006F1187" w:rsidRPr="00793478" w:rsidRDefault="006F1187" w:rsidP="0007754F">
            <w:r w:rsidRPr="00793478">
              <w:t>дивидендов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div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Торговля акциями на российских </w:t>
            </w:r>
          </w:p>
          <w:p w:rsidR="006F1187" w:rsidRPr="00793478" w:rsidRDefault="006F1187" w:rsidP="0007754F">
            <w:r w:rsidRPr="00793478">
              <w:t>биржах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rosbirg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Торговля акциями на зарубежных </w:t>
            </w:r>
          </w:p>
          <w:p w:rsidR="006F1187" w:rsidRPr="00793478" w:rsidRDefault="006F1187" w:rsidP="0007754F">
            <w:r w:rsidRPr="00793478">
              <w:t>биржах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forinbirg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Наличие совета директоров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sovdir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Наличие президента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prezid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Наличие правления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pravl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Наличие Кодекса корпоративного </w:t>
            </w:r>
          </w:p>
          <w:p w:rsidR="006F1187" w:rsidRPr="00793478" w:rsidRDefault="006F1187" w:rsidP="0007754F">
            <w:r w:rsidRPr="00793478">
              <w:t>управления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kodeks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Наличие секретаря совета </w:t>
            </w:r>
          </w:p>
          <w:p w:rsidR="006F1187" w:rsidRPr="00793478" w:rsidRDefault="006F1187" w:rsidP="0007754F">
            <w:r w:rsidRPr="00793478">
              <w:t>директоров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sekr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Число директоров в совете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n_dir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Число независимых директоров </w:t>
            </w:r>
          </w:p>
          <w:p w:rsidR="006F1187" w:rsidRPr="00793478" w:rsidRDefault="006F1187" w:rsidP="0007754F">
            <w:r w:rsidRPr="00793478">
              <w:t>в совете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n_nezdir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Количество собраний акционеров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n_sobr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 xml:space="preserve">Количество заседаний совета </w:t>
            </w:r>
          </w:p>
          <w:p w:rsidR="006F1187" w:rsidRPr="00793478" w:rsidRDefault="006F1187" w:rsidP="0007754F">
            <w:r w:rsidRPr="00793478">
              <w:t>директоров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n_zased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Наличие комитетов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komit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Число комитетов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n_komit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368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Наличие корпоративного сайта</w:t>
            </w:r>
            <w:r>
              <w:t xml:space="preserve"> </w:t>
            </w:r>
          </w:p>
        </w:tc>
        <w:tc>
          <w:tcPr>
            <w:tcW w:w="13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www</w:t>
            </w:r>
            <w:r>
              <w:t xml:space="preserve"> </w:t>
            </w:r>
          </w:p>
        </w:tc>
      </w:tr>
    </w:tbl>
    <w:p w:rsidR="006F1187" w:rsidRPr="00793478" w:rsidRDefault="006F1187" w:rsidP="006F1187">
      <w:pPr>
        <w:spacing w:before="120"/>
        <w:ind w:firstLine="567"/>
        <w:jc w:val="both"/>
      </w:pPr>
      <w:r>
        <w:t xml:space="preserve">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Приложение 2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3086"/>
        <w:gridCol w:w="3743"/>
      </w:tblGrid>
      <w:tr w:rsidR="006F1187" w:rsidRPr="00793478" w:rsidTr="0007754F">
        <w:trPr>
          <w:tblHeader/>
          <w:tblCellSpacing w:w="0" w:type="dxa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187" w:rsidRPr="00793478" w:rsidRDefault="006F1187" w:rsidP="0007754F">
            <w:r w:rsidRPr="00793478">
              <w:t>Полная множественная регрессия модели 1</w:t>
            </w:r>
          </w:p>
          <w:p w:rsidR="006F1187" w:rsidRPr="00793478" w:rsidRDefault="006F1187" w:rsidP="0007754F">
            <w:r w:rsidRPr="00793478">
              <w:t xml:space="preserve">R-sq: = 0.0007 </w:t>
            </w:r>
          </w:p>
        </w:tc>
      </w:tr>
      <w:tr w:rsidR="006F1187" w:rsidRPr="00793478" w:rsidTr="0007754F">
        <w:trPr>
          <w:tblHeader/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Переменная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Коэффициент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Значимость P &gt; |z|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godot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1.118447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0.528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kvarot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0.4807438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0.613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msfo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13.92748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0.000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div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1.446907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0.564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rosbirg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5.058335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0.015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forinbir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3.13577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0.630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sovdir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prezid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pravl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kodeks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5.879245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0.201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sekr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3.346728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0.234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2.929536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0.010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n_nezdir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2.232405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0.028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n_sobr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0.121461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0.456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n_zased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0.0680295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0.681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2.892079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0.744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1.172651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0.699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www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4.378441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0.219</w:t>
            </w:r>
            <w:r>
              <w:t xml:space="preserve"> </w:t>
            </w:r>
          </w:p>
        </w:tc>
      </w:tr>
    </w:tbl>
    <w:p w:rsidR="006F1187" w:rsidRPr="00793478" w:rsidRDefault="006F1187" w:rsidP="006F1187">
      <w:pPr>
        <w:spacing w:before="120"/>
        <w:ind w:firstLine="567"/>
        <w:jc w:val="both"/>
      </w:pPr>
      <w:r>
        <w:t xml:space="preserve">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Приложение 3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3086"/>
        <w:gridCol w:w="3743"/>
      </w:tblGrid>
      <w:tr w:rsidR="006F1187" w:rsidRPr="00793478" w:rsidTr="0007754F">
        <w:trPr>
          <w:tblHeader/>
          <w:tblCellSpacing w:w="0" w:type="dxa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187" w:rsidRPr="00793478" w:rsidRDefault="006F1187" w:rsidP="0007754F">
            <w:r w:rsidRPr="00793478">
              <w:t>Полная множественная регрессия модели 2</w:t>
            </w:r>
          </w:p>
          <w:p w:rsidR="006F1187" w:rsidRPr="00793478" w:rsidRDefault="006F1187" w:rsidP="0007754F">
            <w:r w:rsidRPr="00793478">
              <w:t xml:space="preserve">R-sq: = 0.0127 </w:t>
            </w:r>
          </w:p>
        </w:tc>
      </w:tr>
      <w:tr w:rsidR="006F1187" w:rsidRPr="00793478" w:rsidTr="0007754F">
        <w:trPr>
          <w:tblHeader/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Переменная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Коэффициент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Значимость P &gt; |z|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godot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1.95e + 09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0.190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kvarot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2.14e + 08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0.787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msfo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2.42e + 08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0.935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div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2.50e + 07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0.990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rosbirg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5.21e + 07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0.975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forinbir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1.35e + 08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0.980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sovdir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prezid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pravl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kodeks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1.45e + 09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0.704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sekr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6.45e + 08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0.782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7.88e + 08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0.393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n_nezdir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5.23e + 08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0.529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n_sobr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7.40e + 07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0.585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n_zased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7.62e + 07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0.581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2.23e + 09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0.762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2.90e + 08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0.908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www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9.05e + 08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0.759</w:t>
            </w:r>
            <w:r>
              <w:t xml:space="preserve"> </w:t>
            </w:r>
          </w:p>
        </w:tc>
      </w:tr>
    </w:tbl>
    <w:p w:rsidR="006F1187" w:rsidRPr="00793478" w:rsidRDefault="006F1187" w:rsidP="006F1187">
      <w:pPr>
        <w:spacing w:before="120"/>
        <w:ind w:firstLine="567"/>
        <w:jc w:val="both"/>
      </w:pPr>
      <w:r>
        <w:t xml:space="preserve">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Приложение 4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3086"/>
        <w:gridCol w:w="3743"/>
      </w:tblGrid>
      <w:tr w:rsidR="006F1187" w:rsidRPr="00793478" w:rsidTr="0007754F">
        <w:trPr>
          <w:tblHeader/>
          <w:tblCellSpacing w:w="0" w:type="dxa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187" w:rsidRPr="00793478" w:rsidRDefault="006F1187" w:rsidP="0007754F">
            <w:r w:rsidRPr="00793478">
              <w:t>Полная множественная регрессия модели 3</w:t>
            </w:r>
          </w:p>
          <w:p w:rsidR="006F1187" w:rsidRPr="00793478" w:rsidRDefault="006F1187" w:rsidP="0007754F">
            <w:r w:rsidRPr="00793478">
              <w:t xml:space="preserve">R-sq: = 0.2390 </w:t>
            </w:r>
          </w:p>
        </w:tc>
      </w:tr>
      <w:tr w:rsidR="006F1187" w:rsidRPr="00793478" w:rsidTr="0007754F">
        <w:trPr>
          <w:tblHeader/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Переменная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Коэффициент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Значимость P &gt; |z|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godot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6.42e + 07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0.092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kvarot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2296735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0.912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msfo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1324753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0.986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div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6.92e + 07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0.198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rosbirg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7.09e + 07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0.104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forinbir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4.15e+08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0.004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sovdir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prezid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pravl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(dropped)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—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kodeks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1.39e + 08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0.156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sekr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3.44e + 07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0.564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1.30e + 07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0.580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n_nezdir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1.61e + 07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0.450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n_sobr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1537875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0.657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n_zased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1.68e + 07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0.000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1.27e + 09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0.000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n_komit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– 2.64e + 08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0.000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www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9.86e + 07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0.194</w:t>
            </w:r>
            <w:r>
              <w:t xml:space="preserve"> </w:t>
            </w:r>
          </w:p>
        </w:tc>
      </w:tr>
      <w:tr w:rsidR="006F1187" w:rsidRPr="00793478" w:rsidTr="0007754F">
        <w:trPr>
          <w:tblCellSpacing w:w="0" w:type="dxa"/>
        </w:trPr>
        <w:tc>
          <w:tcPr>
            <w:tcW w:w="145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cons</w:t>
            </w:r>
            <w:r>
              <w:t xml:space="preserve"> </w:t>
            </w:r>
          </w:p>
        </w:tc>
        <w:tc>
          <w:tcPr>
            <w:tcW w:w="1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3.86e + 07</w:t>
            </w:r>
            <w:r>
              <w:t xml:space="preserve"> </w:t>
            </w:r>
          </w:p>
        </w:tc>
        <w:tc>
          <w:tcPr>
            <w:tcW w:w="19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F1187" w:rsidRPr="00793478" w:rsidRDefault="006F1187" w:rsidP="0007754F">
            <w:r w:rsidRPr="00793478">
              <w:t>0.780</w:t>
            </w:r>
            <w:r>
              <w:t xml:space="preserve"> </w:t>
            </w:r>
          </w:p>
        </w:tc>
      </w:tr>
    </w:tbl>
    <w:p w:rsidR="006F1187" w:rsidRPr="00793478" w:rsidRDefault="006F1187" w:rsidP="006F1187">
      <w:pPr>
        <w:spacing w:before="120"/>
        <w:ind w:firstLine="567"/>
        <w:jc w:val="both"/>
      </w:pPr>
      <w:r>
        <w:t xml:space="preserve"> </w:t>
      </w:r>
    </w:p>
    <w:p w:rsidR="006F1187" w:rsidRPr="00FF090F" w:rsidRDefault="006F1187" w:rsidP="006F1187">
      <w:pPr>
        <w:spacing w:before="120"/>
        <w:jc w:val="center"/>
        <w:rPr>
          <w:b/>
          <w:sz w:val="28"/>
        </w:rPr>
      </w:pPr>
      <w:r w:rsidRPr="00FF090F">
        <w:rPr>
          <w:b/>
          <w:sz w:val="28"/>
        </w:rPr>
        <w:t>Список литературы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1.Беликов И. В. Корпоративное управление и экономический рост в России. М.</w:t>
      </w:r>
      <w:r>
        <w:t xml:space="preserve">, </w:t>
      </w:r>
      <w:r w:rsidRPr="00793478">
        <w:t xml:space="preserve">2004.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2.Блэк Б. Практика КУ и рыночная стоимость российских фирм // Материалы 4 заседания круглого стола по вопросам КУ в России. М.</w:t>
      </w:r>
      <w:r>
        <w:t xml:space="preserve">, </w:t>
      </w:r>
      <w:r w:rsidRPr="00793478">
        <w:t>2001.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3.Блэк Б.</w:t>
      </w:r>
      <w:r>
        <w:t xml:space="preserve">, </w:t>
      </w:r>
      <w:r w:rsidRPr="00793478">
        <w:t>Лав И.</w:t>
      </w:r>
      <w:r>
        <w:t xml:space="preserve">, </w:t>
      </w:r>
      <w:r w:rsidRPr="00793478">
        <w:t>Рачинский А. Корпоративное управление и рыночная стоимость российских компаний М.</w:t>
      </w:r>
      <w:r>
        <w:t xml:space="preserve">, </w:t>
      </w:r>
      <w:r w:rsidRPr="00793478">
        <w:t>2005. На англ. яз.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4.Бухвалов А. В.</w:t>
      </w:r>
      <w:r>
        <w:t xml:space="preserve">, </w:t>
      </w:r>
      <w:r w:rsidRPr="00793478">
        <w:t>Ильина Ю. Б.</w:t>
      </w:r>
      <w:r>
        <w:t xml:space="preserve">, </w:t>
      </w:r>
      <w:r w:rsidRPr="00793478">
        <w:t>Бандалюк О. В. Электронное корпоративное управление и проблемы раскрытия информации: сравнительное пилотное исследование. СПб.</w:t>
      </w:r>
      <w:r>
        <w:t xml:space="preserve">, </w:t>
      </w:r>
      <w:r w:rsidRPr="00793478">
        <w:t>2006.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5.Гуриев С.</w:t>
      </w:r>
      <w:r>
        <w:t xml:space="preserve">, </w:t>
      </w:r>
      <w:r w:rsidRPr="00793478">
        <w:t>Лазарева О.</w:t>
      </w:r>
      <w:r>
        <w:t xml:space="preserve">, </w:t>
      </w:r>
      <w:r w:rsidRPr="00793478">
        <w:t>Рачинский А. и др. Корпоративное управление в российской промышленности. М.</w:t>
      </w:r>
      <w:r>
        <w:t xml:space="preserve">, </w:t>
      </w:r>
      <w:r w:rsidRPr="00793478">
        <w:t>2004.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6.Гуриев С.</w:t>
      </w:r>
      <w:r>
        <w:t xml:space="preserve">, </w:t>
      </w:r>
      <w:r w:rsidRPr="00793478">
        <w:t>Рачинский А.</w:t>
      </w:r>
      <w:r>
        <w:t xml:space="preserve">, </w:t>
      </w:r>
      <w:r w:rsidRPr="00793478">
        <w:t>Лазарева О. и др. Спрос на современные стандарты корпоративного управления в частном секторе России. М.</w:t>
      </w:r>
      <w:r>
        <w:t xml:space="preserve">, </w:t>
      </w:r>
      <w:r w:rsidRPr="00793478">
        <w:t>2003.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7.Долгопятова Т. Г. Корпоративное управление в России: акционерная собственность и корпоративный контроль в компаниях // Российская экономика на новых путях / под ред. Э. И. Гойзмана и Р. Н. Евстигнеева. М.</w:t>
      </w:r>
      <w:r>
        <w:t xml:space="preserve">, </w:t>
      </w:r>
      <w:r w:rsidRPr="00793478">
        <w:t>2004.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8.Ивашковская И. В. Советы директоров и создание экономической прибыли в российских компаниях // Модернизация экономики и общественное развитие: в 3 кн. / под ред. Е. Г. Ясина. М.</w:t>
      </w:r>
      <w:r>
        <w:t xml:space="preserve">, </w:t>
      </w:r>
      <w:r w:rsidRPr="00793478">
        <w:t>2007. Кн. 2.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9.Ивашковская И. В.</w:t>
      </w:r>
      <w:r>
        <w:t xml:space="preserve">, </w:t>
      </w:r>
      <w:r w:rsidRPr="00793478">
        <w:t xml:space="preserve">Куприянов А. Структура капитала: резервы создания стоимости для собственников компании // Управление компанией. 2005. № 2.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10.Капелюшников Р. И.</w:t>
      </w:r>
      <w:r>
        <w:t xml:space="preserve">, </w:t>
      </w:r>
      <w:r w:rsidRPr="00793478">
        <w:t xml:space="preserve">Демина Н. Влияние характеристик собственности на результаты экономической деятельности российских промышленных предприятий // Вопр. экономики. 2005. № 2.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11.Карапетян Д.</w:t>
      </w:r>
      <w:r>
        <w:t xml:space="preserve">, </w:t>
      </w:r>
      <w:r w:rsidRPr="00793478">
        <w:t>Грачева М. Корпоративное управление: основные понятия и результаты исследовательской практики // Управление компанией. 2004. № 1.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12.Корпоративное управление и экономический рост в России. М.</w:t>
      </w:r>
      <w:r>
        <w:t xml:space="preserve">, </w:t>
      </w:r>
      <w:r w:rsidRPr="00793478">
        <w:t>2004.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13.Кузнецов П. В.</w:t>
      </w:r>
      <w:r>
        <w:t xml:space="preserve">, </w:t>
      </w:r>
      <w:r w:rsidRPr="00793478">
        <w:t>Муравьев А. В. Структура акционерного капитала и результаты деятельности фирм в России // Экономический журнал ВШЭ. 2000. Т. 4</w:t>
      </w:r>
      <w:r>
        <w:t xml:space="preserve">, </w:t>
      </w:r>
      <w:r w:rsidRPr="00793478">
        <w:t>№ 4.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14.Кумз П.</w:t>
      </w:r>
      <w:r>
        <w:t xml:space="preserve">, </w:t>
      </w:r>
      <w:r w:rsidRPr="00793478">
        <w:t>Уотсон М.</w:t>
      </w:r>
      <w:r>
        <w:t xml:space="preserve">, </w:t>
      </w:r>
      <w:r w:rsidRPr="00793478">
        <w:t>Кампос К. и др. Цена корпоративного управления // Вестн. McKinsey. 2003. № 1. URL: http://www.vestnikmckinsey.ru</w:t>
      </w:r>
    </w:p>
    <w:p w:rsidR="006F1187" w:rsidRPr="00793478" w:rsidRDefault="006F1187" w:rsidP="006F1187">
      <w:pPr>
        <w:spacing w:before="120"/>
        <w:ind w:firstLine="567"/>
        <w:jc w:val="both"/>
        <w:rPr>
          <w:lang w:val="en-US"/>
        </w:rPr>
      </w:pPr>
      <w:r w:rsidRPr="00793478">
        <w:t xml:space="preserve">15.Позиция Ассоциации менеджеров: От независимого директора к профессиональному члену совета директоров. </w:t>
      </w:r>
      <w:r w:rsidRPr="00793478">
        <w:rPr>
          <w:lang w:val="en-US"/>
        </w:rPr>
        <w:t>URL: http://www.amr.ru/research/analit/detail.php?ID=3508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16.Практика корпоративного управления в регионах России. М.</w:t>
      </w:r>
      <w:r>
        <w:t xml:space="preserve">, </w:t>
      </w:r>
      <w:r w:rsidRPr="00793478">
        <w:t>2003.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17.Практика КУ в российских АО: отчет о результатах исследования РИД по итогам 2003 года. М.</w:t>
      </w:r>
      <w:r>
        <w:t xml:space="preserve">, </w:t>
      </w:r>
      <w:r w:rsidRPr="00793478">
        <w:t>2004.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18.Радыгин А. Д.</w:t>
      </w:r>
      <w:r>
        <w:t xml:space="preserve">, </w:t>
      </w:r>
      <w:r w:rsidRPr="00793478">
        <w:t>Энтов Р. М. Корпоративное управление и защита прав собственности: эмпирический анализ и актуальные направления реформ. М.</w:t>
      </w:r>
      <w:r>
        <w:t xml:space="preserve">, </w:t>
      </w:r>
      <w:r w:rsidRPr="00793478">
        <w:t>2001.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19.Раскрытие российскими АО информации о практике своего КУ и соблюдение рекомендаций Кодекса КП. М.</w:t>
      </w:r>
      <w:r>
        <w:t xml:space="preserve">, </w:t>
      </w:r>
      <w:r w:rsidRPr="00793478">
        <w:t>2003.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20.Рачинский А. Корпоративное управление и рыночная стоимость российских компаний. М.</w:t>
      </w:r>
      <w:r>
        <w:t xml:space="preserve">, </w:t>
      </w:r>
      <w:r w:rsidRPr="00793478">
        <w:t>2003.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21.Ружанская Л. С.</w:t>
      </w:r>
      <w:r>
        <w:t xml:space="preserve">, </w:t>
      </w:r>
      <w:r w:rsidRPr="00793478">
        <w:t>Крутиков Д. В. Корпоративное управление рыночная стоимость: практика компаний Уральского региона. Модернизация экономики и общественное развитие : в 3 кн. / под ред. Е. Г. Ясина. М.</w:t>
      </w:r>
      <w:r>
        <w:t xml:space="preserve">, </w:t>
      </w:r>
      <w:r w:rsidRPr="00793478">
        <w:t>2007. Кн. 2.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22.Старюк П. Корпоративное управление и стоимость компании: ситуация в России // Управление компанией.</w:t>
      </w:r>
      <w:r>
        <w:t xml:space="preserve"> </w:t>
      </w:r>
      <w:r w:rsidRPr="00793478">
        <w:t>2004. №</w:t>
      </w:r>
      <w:r>
        <w:t xml:space="preserve"> </w:t>
      </w:r>
      <w:r w:rsidRPr="00793478">
        <w:t>1.</w:t>
      </w:r>
      <w:r>
        <w:t xml:space="preserve"> </w:t>
      </w:r>
    </w:p>
    <w:p w:rsidR="006F1187" w:rsidRPr="00793478" w:rsidRDefault="006F1187" w:rsidP="006F1187">
      <w:pPr>
        <w:spacing w:before="120"/>
        <w:ind w:firstLine="567"/>
        <w:jc w:val="both"/>
      </w:pPr>
      <w:r w:rsidRPr="00793478">
        <w:t>23.Степанова А. Вражеские «лазутчики» и «возмутитили спокойствия» // Деловые люди. 2001. № 121.</w:t>
      </w:r>
    </w:p>
    <w:p w:rsidR="006F1187" w:rsidRPr="00793478" w:rsidRDefault="006F1187" w:rsidP="006F1187">
      <w:pPr>
        <w:spacing w:before="120"/>
        <w:ind w:firstLine="567"/>
        <w:jc w:val="both"/>
        <w:rPr>
          <w:lang w:val="en-US"/>
        </w:rPr>
      </w:pPr>
      <w:r w:rsidRPr="00793478">
        <w:t>24.Ясин Е.</w:t>
      </w:r>
      <w:r>
        <w:t xml:space="preserve">, </w:t>
      </w:r>
      <w:r w:rsidRPr="00793478">
        <w:t>Григорьев Л.</w:t>
      </w:r>
      <w:r>
        <w:t xml:space="preserve">, </w:t>
      </w:r>
      <w:r w:rsidRPr="00793478">
        <w:t>Кузнецов О. и др. Инвестиционный климат в России. М</w:t>
      </w:r>
      <w:r w:rsidRPr="00793478">
        <w:rPr>
          <w:lang w:val="en-US"/>
        </w:rPr>
        <w:t xml:space="preserve">., 2006. </w:t>
      </w:r>
    </w:p>
    <w:p w:rsidR="006F1187" w:rsidRPr="00793478" w:rsidRDefault="006F1187" w:rsidP="006F1187">
      <w:pPr>
        <w:spacing w:before="120"/>
        <w:ind w:firstLine="567"/>
        <w:jc w:val="both"/>
        <w:rPr>
          <w:lang w:val="en-US"/>
        </w:rPr>
      </w:pPr>
      <w:r w:rsidRPr="00793478">
        <w:rPr>
          <w:lang w:val="en-US"/>
        </w:rPr>
        <w:t>25.Filatotchev I., Isachenkova N., Mickiewicz T. Corporate governance, Managers’ independence, exporting and performance of firms in transition economies // William Davidson Institute Working Paper. 2005. № 805. Nov.</w:t>
      </w:r>
    </w:p>
    <w:p w:rsidR="006F1187" w:rsidRPr="00793478" w:rsidRDefault="006F1187" w:rsidP="006F1187">
      <w:pPr>
        <w:spacing w:before="120"/>
        <w:ind w:firstLine="567"/>
        <w:jc w:val="both"/>
        <w:rPr>
          <w:lang w:val="en-US"/>
        </w:rPr>
      </w:pPr>
      <w:r w:rsidRPr="00793478">
        <w:rPr>
          <w:lang w:val="en-US"/>
        </w:rPr>
        <w:t>26.Fund Manager Survey on Russian Investments. URL: http://www.ey.com/global/Content.nsf/Russia_E/2002_Fund_Manager_Survey_on_Russian_Investments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C11E3"/>
    <w:multiLevelType w:val="multilevel"/>
    <w:tmpl w:val="3E383D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19"/>
        </w:tabs>
        <w:ind w:left="1219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">
    <w:nsid w:val="1B717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E554CA6"/>
    <w:multiLevelType w:val="multilevel"/>
    <w:tmpl w:val="5F22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E588A"/>
    <w:multiLevelType w:val="multilevel"/>
    <w:tmpl w:val="F4980E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2160"/>
      </w:pPr>
      <w:rPr>
        <w:rFonts w:cs="Times New Roman" w:hint="default"/>
      </w:rPr>
    </w:lvl>
  </w:abstractNum>
  <w:abstractNum w:abstractNumId="4">
    <w:nsid w:val="2A65119E"/>
    <w:multiLevelType w:val="hybridMultilevel"/>
    <w:tmpl w:val="3B8C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6738A8"/>
    <w:multiLevelType w:val="hybridMultilevel"/>
    <w:tmpl w:val="CEBC76E6"/>
    <w:lvl w:ilvl="0" w:tplc="CA7A60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1B3D9F"/>
    <w:multiLevelType w:val="hybridMultilevel"/>
    <w:tmpl w:val="5818F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C3197"/>
    <w:multiLevelType w:val="hybridMultilevel"/>
    <w:tmpl w:val="543A9D22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CE375CA"/>
    <w:multiLevelType w:val="hybridMultilevel"/>
    <w:tmpl w:val="C908C6C0"/>
    <w:lvl w:ilvl="0" w:tplc="E4C26C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1A270F2"/>
    <w:multiLevelType w:val="hybridMultilevel"/>
    <w:tmpl w:val="EAFE9A64"/>
    <w:lvl w:ilvl="0" w:tplc="9926F14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2D27F95"/>
    <w:multiLevelType w:val="hybridMultilevel"/>
    <w:tmpl w:val="915CEC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164920"/>
    <w:multiLevelType w:val="hybridMultilevel"/>
    <w:tmpl w:val="3160A438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  <w:rPr>
        <w:rFonts w:cs="Times New Roman"/>
      </w:rPr>
    </w:lvl>
  </w:abstractNum>
  <w:abstractNum w:abstractNumId="12">
    <w:nsid w:val="628F5489"/>
    <w:multiLevelType w:val="hybridMultilevel"/>
    <w:tmpl w:val="C5C46794"/>
    <w:lvl w:ilvl="0" w:tplc="BFA6E2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CB47E77"/>
    <w:multiLevelType w:val="multilevel"/>
    <w:tmpl w:val="D62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7DE585E"/>
    <w:multiLevelType w:val="hybridMultilevel"/>
    <w:tmpl w:val="3B00C64C"/>
    <w:lvl w:ilvl="0" w:tplc="EAF0B9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2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187"/>
    <w:rsid w:val="0007754F"/>
    <w:rsid w:val="001A35F6"/>
    <w:rsid w:val="006F1187"/>
    <w:rsid w:val="00793478"/>
    <w:rsid w:val="00811DD4"/>
    <w:rsid w:val="00C22252"/>
    <w:rsid w:val="00FA33AD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D944CFF-A834-417A-AC97-40059D77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18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F1187"/>
    <w:pPr>
      <w:spacing w:before="100" w:beforeAutospacing="1" w:after="100" w:afterAutospacing="1" w:line="350" w:lineRule="atLeas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6F1187"/>
    <w:pPr>
      <w:keepNext/>
      <w:spacing w:before="240" w:after="6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11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F11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F118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6F1187"/>
    <w:rPr>
      <w:sz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5">
    <w:name w:val="Normal (Web)"/>
    <w:basedOn w:val="a"/>
    <w:uiPriority w:val="99"/>
    <w:rsid w:val="006F1187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rsid w:val="006F1187"/>
    <w:rPr>
      <w:rFonts w:cs="Times New Roman"/>
      <w:color w:val="0000FF"/>
      <w:u w:val="single"/>
    </w:rPr>
  </w:style>
  <w:style w:type="character" w:styleId="a7">
    <w:name w:val="Emphasis"/>
    <w:basedOn w:val="a0"/>
    <w:uiPriority w:val="99"/>
    <w:qFormat/>
    <w:rsid w:val="006F1187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6F1187"/>
    <w:rPr>
      <w:rFonts w:cs="Times New Roman"/>
      <w:b/>
      <w:bCs/>
    </w:rPr>
  </w:style>
  <w:style w:type="paragraph" w:styleId="a9">
    <w:name w:val="header"/>
    <w:basedOn w:val="a"/>
    <w:link w:val="aa"/>
    <w:uiPriority w:val="99"/>
    <w:rsid w:val="006F118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locked/>
    <w:rsid w:val="006F1187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ab">
    <w:name w:val="footer"/>
    <w:basedOn w:val="a"/>
    <w:link w:val="ac"/>
    <w:uiPriority w:val="99"/>
    <w:rsid w:val="006F1187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Pr>
      <w:sz w:val="24"/>
      <w:szCs w:val="24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6F1187"/>
    <w:rPr>
      <w:rFonts w:cs="Times New Roman"/>
      <w:sz w:val="24"/>
      <w:szCs w:val="24"/>
      <w:lang w:val="ru-RU" w:eastAsia="ru-RU" w:bidi="ar-SA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6F1187"/>
    <w:rPr>
      <w:rFonts w:cs="Times New Roman"/>
      <w:vertAlign w:val="superscript"/>
    </w:rPr>
  </w:style>
  <w:style w:type="paragraph" w:styleId="ae">
    <w:name w:val="Body Text Indent"/>
    <w:basedOn w:val="a"/>
    <w:link w:val="af"/>
    <w:uiPriority w:val="99"/>
    <w:rsid w:val="006F1187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">
    <w:name w:val="Основний текст з відступом Знак"/>
    <w:basedOn w:val="a0"/>
    <w:link w:val="ae"/>
    <w:uiPriority w:val="99"/>
    <w:semiHidden/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6F1187"/>
    <w:pPr>
      <w:jc w:val="center"/>
    </w:pPr>
    <w:rPr>
      <w:b/>
      <w:sz w:val="28"/>
    </w:rPr>
  </w:style>
  <w:style w:type="character" w:customStyle="1" w:styleId="af1">
    <w:name w:val="Назва Знак"/>
    <w:basedOn w:val="a0"/>
    <w:link w:val="af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6F1187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6F1187"/>
  </w:style>
  <w:style w:type="paragraph" w:styleId="23">
    <w:name w:val="toc 2"/>
    <w:basedOn w:val="a"/>
    <w:next w:val="a"/>
    <w:autoRedefine/>
    <w:uiPriority w:val="99"/>
    <w:semiHidden/>
    <w:rsid w:val="006F1187"/>
    <w:pPr>
      <w:ind w:left="240"/>
    </w:pPr>
  </w:style>
  <w:style w:type="paragraph" w:styleId="af2">
    <w:name w:val="Body Text"/>
    <w:basedOn w:val="a"/>
    <w:link w:val="af3"/>
    <w:uiPriority w:val="99"/>
    <w:rsid w:val="006F1187"/>
    <w:pPr>
      <w:spacing w:after="120"/>
    </w:pPr>
  </w:style>
  <w:style w:type="character" w:customStyle="1" w:styleId="af3">
    <w:name w:val="Основний текст Знак"/>
    <w:basedOn w:val="a0"/>
    <w:link w:val="af2"/>
    <w:uiPriority w:val="99"/>
    <w:semiHidden/>
    <w:rPr>
      <w:sz w:val="24"/>
      <w:szCs w:val="24"/>
    </w:rPr>
  </w:style>
  <w:style w:type="character" w:customStyle="1" w:styleId="apple-style-span">
    <w:name w:val="apple-style-span"/>
    <w:basedOn w:val="a0"/>
    <w:uiPriority w:val="99"/>
    <w:rsid w:val="006F1187"/>
    <w:rPr>
      <w:rFonts w:cs="Times New Roman"/>
    </w:rPr>
  </w:style>
  <w:style w:type="paragraph" w:styleId="af4">
    <w:name w:val="List Paragraph"/>
    <w:basedOn w:val="a"/>
    <w:uiPriority w:val="99"/>
    <w:qFormat/>
    <w:rsid w:val="006F11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mw-headline">
    <w:name w:val="mw-headline"/>
    <w:basedOn w:val="a0"/>
    <w:uiPriority w:val="99"/>
    <w:rsid w:val="006F1187"/>
    <w:rPr>
      <w:rFonts w:cs="Times New Roman"/>
    </w:rPr>
  </w:style>
  <w:style w:type="character" w:styleId="af5">
    <w:name w:val="FollowedHyperlink"/>
    <w:basedOn w:val="a0"/>
    <w:uiPriority w:val="99"/>
    <w:rsid w:val="006F1187"/>
    <w:rPr>
      <w:rFonts w:cs="Times New Roman"/>
      <w:color w:val="0000FF"/>
      <w:u w:val="single"/>
    </w:rPr>
  </w:style>
  <w:style w:type="paragraph" w:customStyle="1" w:styleId="elementnumber">
    <w:name w:val="elementnumber"/>
    <w:basedOn w:val="a"/>
    <w:uiPriority w:val="99"/>
    <w:rsid w:val="006F1187"/>
    <w:pPr>
      <w:spacing w:before="100" w:beforeAutospacing="1" w:after="100" w:afterAutospacing="1"/>
    </w:pPr>
  </w:style>
  <w:style w:type="paragraph" w:styleId="af6">
    <w:name w:val="Signature"/>
    <w:basedOn w:val="a"/>
    <w:link w:val="af7"/>
    <w:uiPriority w:val="99"/>
    <w:rsid w:val="006F1187"/>
    <w:pPr>
      <w:spacing w:before="100" w:beforeAutospacing="1" w:after="100" w:afterAutospacing="1"/>
    </w:pPr>
  </w:style>
  <w:style w:type="character" w:customStyle="1" w:styleId="af7">
    <w:name w:val="Підпис Знак"/>
    <w:basedOn w:val="a0"/>
    <w:link w:val="af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4761</Words>
  <Characters>27142</Characters>
  <Application>Microsoft Office Word</Application>
  <DocSecurity>0</DocSecurity>
  <Lines>226</Lines>
  <Paragraphs>63</Paragraphs>
  <ScaleCrop>false</ScaleCrop>
  <Company>Home</Company>
  <LinksUpToDate>false</LinksUpToDate>
  <CharactersWithSpaces>31840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Качество корпоративного управления как фактор выбора структуры источников финансирования инвестиций</dc:title>
  <dc:subject/>
  <dc:creator>User</dc:creator>
  <cp:keywords/>
  <dc:description/>
  <cp:lastModifiedBy>Irina</cp:lastModifiedBy>
  <cp:revision>2</cp:revision>
  <dcterms:created xsi:type="dcterms:W3CDTF">2014-07-19T08:29:00Z</dcterms:created>
  <dcterms:modified xsi:type="dcterms:W3CDTF">2014-07-19T08:29:00Z</dcterms:modified>
</cp:coreProperties>
</file>