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E9F" w:rsidRPr="00FF090F" w:rsidRDefault="009F3E9F" w:rsidP="009F3E9F">
      <w:pPr>
        <w:spacing w:before="120"/>
        <w:jc w:val="center"/>
        <w:rPr>
          <w:b/>
          <w:sz w:val="32"/>
        </w:rPr>
      </w:pPr>
      <w:r w:rsidRPr="00FF090F">
        <w:rPr>
          <w:b/>
          <w:sz w:val="32"/>
        </w:rPr>
        <w:t>Нужен ли крупным российским акционерам совет директоров: практика уральских компаний</w:t>
      </w:r>
    </w:p>
    <w:p w:rsidR="009F3E9F" w:rsidRPr="00FF090F" w:rsidRDefault="009F3E9F" w:rsidP="009F3E9F">
      <w:pPr>
        <w:spacing w:before="120"/>
        <w:jc w:val="center"/>
        <w:rPr>
          <w:sz w:val="28"/>
        </w:rPr>
      </w:pPr>
      <w:r w:rsidRPr="00FF090F">
        <w:rPr>
          <w:sz w:val="28"/>
        </w:rPr>
        <w:t xml:space="preserve">Л. С. Ружанская </w:t>
      </w:r>
    </w:p>
    <w:p w:rsidR="009F3E9F" w:rsidRPr="00FF090F" w:rsidRDefault="009F3E9F" w:rsidP="009F3E9F">
      <w:pPr>
        <w:spacing w:before="120"/>
        <w:jc w:val="center"/>
        <w:rPr>
          <w:b/>
          <w:sz w:val="28"/>
        </w:rPr>
      </w:pPr>
      <w:r w:rsidRPr="00FF090F">
        <w:rPr>
          <w:b/>
          <w:sz w:val="28"/>
        </w:rPr>
        <w:t>Постановка проблемы и обзор эмпирических исследований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Концентрированная структура собственности в российских компаниях была и остается важнейшим фактором</w:t>
      </w:r>
      <w:r>
        <w:t xml:space="preserve">, </w:t>
      </w:r>
      <w:r w:rsidRPr="00793478">
        <w:t>определяющим характер развития корпоративного управления [6</w:t>
      </w:r>
      <w:r>
        <w:t xml:space="preserve">, </w:t>
      </w:r>
      <w:r w:rsidRPr="00793478">
        <w:t>46–60; 7</w:t>
      </w:r>
      <w:r>
        <w:t xml:space="preserve">, </w:t>
      </w:r>
      <w:r w:rsidRPr="00793478">
        <w:t>3–26; 8</w:t>
      </w:r>
      <w:r>
        <w:t xml:space="preserve">, </w:t>
      </w:r>
      <w:r w:rsidRPr="00793478">
        <w:t>84–97; 5; 12</w:t>
      </w:r>
      <w:r>
        <w:t xml:space="preserve">, </w:t>
      </w:r>
      <w:r w:rsidRPr="00793478">
        <w:t>53–68; 19; 18</w:t>
      </w:r>
      <w:r>
        <w:t xml:space="preserve">, </w:t>
      </w:r>
      <w:r w:rsidRPr="00793478">
        <w:t>35–58]. Инвесторы выбрали концентрацию как наиболее действенный способ защиты своих интересов в условиях институциональной неопределенности постприватизационного периода (прил. 1). При этом концентрация собственности в руках небольшого количества инвесторов подразумевает совмещение функций управления и владения. Такая модель участия доминирующего собственника в управлении продолжает оставаться довольно распространенной [4</w:t>
      </w:r>
      <w:r>
        <w:t xml:space="preserve">, </w:t>
      </w:r>
      <w:r w:rsidRPr="00793478">
        <w:t>365–376; 19].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Инсайдерская модель контроля привела к фактическому отсутствию внешних и к слабости внутренних механизмов корпоративного управления. Особое внимание в этом ряду обращает на себя совет директоров</w:t>
      </w:r>
      <w:r>
        <w:t xml:space="preserve">, </w:t>
      </w:r>
      <w:r w:rsidRPr="00793478">
        <w:t>сигнализирующий рынку о качестве корпоративной практики в компании. В условиях инсайдерского контроля роль совета директоров как механизма мониторинга сводится к нулю</w:t>
      </w:r>
      <w:r>
        <w:t xml:space="preserve">, </w:t>
      </w:r>
      <w:r w:rsidRPr="00793478">
        <w:t>а для выполнения стратегических функций используется исполнительный орган компании (например</w:t>
      </w:r>
      <w:r>
        <w:t xml:space="preserve">, </w:t>
      </w:r>
      <w:r w:rsidRPr="00793478">
        <w:t>правление) [3</w:t>
      </w:r>
      <w:r>
        <w:t xml:space="preserve">, </w:t>
      </w:r>
      <w:r w:rsidRPr="00793478">
        <w:t>51–59; 7</w:t>
      </w:r>
      <w:r>
        <w:t xml:space="preserve">, </w:t>
      </w:r>
      <w:r w:rsidRPr="00793478">
        <w:t xml:space="preserve">3–26].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 то же время сегодняшняя структура собственности российских компаний отражает тенденцию не только к концентрации</w:t>
      </w:r>
      <w:r>
        <w:t xml:space="preserve">, </w:t>
      </w:r>
      <w:r w:rsidRPr="00793478">
        <w:t>но и к изменению профиля акционерной собственности (прил. 1). Расширяется участие портфельных и иностранных инвесторов</w:t>
      </w:r>
      <w:r>
        <w:t xml:space="preserve">, </w:t>
      </w:r>
      <w:r w:rsidRPr="00793478">
        <w:t>традиционно заинтересованных в реальной работе совета директоров. Растет доля в акционерном капитале сторонних юридических и физических лиц. В то же время явного преобладания по всему корпоративному сектору РФ аутсайдерская собственность не получила по причине сопротивления доминирующих инсайдеров</w:t>
      </w:r>
      <w:r>
        <w:t xml:space="preserve">, </w:t>
      </w:r>
      <w:r w:rsidRPr="00793478">
        <w:t xml:space="preserve">справедливо выбравших эту модель контроля в условиях неразвитости институциональной среды 1 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 2000-х гг. появляются новые тенденции в российском бизнесе</w:t>
      </w:r>
      <w:r>
        <w:t xml:space="preserve">, </w:t>
      </w:r>
      <w:r w:rsidRPr="00793478">
        <w:t xml:space="preserve">позволяющие ставить вопрос об изменении характера развития совета директоров в корпоративном секторе экономики. Подъем экономики после дефолта </w:t>
      </w:r>
      <w:smartTag w:uri="urn:schemas-microsoft-com:office:smarttags" w:element="metricconverter">
        <w:smartTagPr>
          <w:attr w:name="ProductID" w:val="1998 г"/>
        </w:smartTagPr>
        <w:r w:rsidRPr="00793478">
          <w:t>1998 г</w:t>
        </w:r>
      </w:smartTag>
      <w:r w:rsidRPr="00793478">
        <w:t>. требует дополнительных источников финансирования инвестиций помимо кредитования. Внешнее инвестирование предполагает расширение числа собственников и активизацию эмиссионной деятельности компаний. Рост масштабов и сложности бизнеса привел к привлечению команд профессиональных наемных менеджеров [16; 27</w:t>
      </w:r>
      <w:r>
        <w:t xml:space="preserve">, </w:t>
      </w:r>
      <w:r w:rsidRPr="00793478">
        <w:t>37–50]. Внешние инвесторы нуждаюся в организации контроля</w:t>
      </w:r>
      <w:r>
        <w:t xml:space="preserve">, </w:t>
      </w:r>
      <w:r w:rsidRPr="00793478">
        <w:t>в том числе за счет развития совета директоров. Происходит разделение функций владения</w:t>
      </w:r>
      <w:r>
        <w:t xml:space="preserve">, </w:t>
      </w:r>
      <w:r w:rsidRPr="00793478">
        <w:t>управления и контроля. Число внешних частных собственников</w:t>
      </w:r>
      <w:r>
        <w:t xml:space="preserve">, </w:t>
      </w:r>
      <w:r w:rsidRPr="00793478">
        <w:t>не участвующих в управлении</w:t>
      </w:r>
      <w:r>
        <w:t xml:space="preserve">, </w:t>
      </w:r>
      <w:r w:rsidRPr="00793478">
        <w:t>увеличивается также за счет развития процессов корпоративной интеграции [1</w:t>
      </w:r>
      <w:r>
        <w:t xml:space="preserve">, </w:t>
      </w:r>
      <w:r w:rsidRPr="00793478">
        <w:t>98–111]. Обеспечивается ли при этом эффективная работа совета директоров и как инструмента решения агентской проблемы</w:t>
      </w:r>
      <w:r>
        <w:t xml:space="preserve">, </w:t>
      </w:r>
      <w:r w:rsidRPr="00793478">
        <w:t>и как органа</w:t>
      </w:r>
      <w:r>
        <w:t xml:space="preserve">, </w:t>
      </w:r>
      <w:r w:rsidRPr="00793478">
        <w:t xml:space="preserve">отвечающего за разработку стратегии компании?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Вопрос количественной оценки результативности работы совета директоров до сих пор не имеет однозначного ответа. Стратегия</w:t>
      </w:r>
      <w:r>
        <w:t xml:space="preserve">, </w:t>
      </w:r>
      <w:r w:rsidRPr="00793478">
        <w:t>разработанная советом</w:t>
      </w:r>
      <w:r>
        <w:t xml:space="preserve">, </w:t>
      </w:r>
      <w:r w:rsidRPr="00793478">
        <w:t>реализуется непосредственно менеджерами. В результате сложно отделить количественный вклад совета и вклад управленцев в результат работы всей компании</w:t>
      </w:r>
      <w:r>
        <w:t xml:space="preserve">, </w:t>
      </w:r>
      <w:r w:rsidRPr="00793478">
        <w:t>выражаемый интегрированным показателем — рыночной стоимостью компании. Сложность вызывает и количественная оценка увеличения стоимости компании в результате сокращения предпринимательского риска при эффективном мониторинге действий менеджеров. В связи с этим существующие подходы к оценке работы советов включают критерии</w:t>
      </w:r>
      <w:r>
        <w:t xml:space="preserve">, </w:t>
      </w:r>
      <w:r w:rsidRPr="00793478">
        <w:t>отражающие ресурсы</w:t>
      </w:r>
      <w:r>
        <w:t xml:space="preserve">, </w:t>
      </w:r>
      <w:r w:rsidRPr="00793478">
        <w:t>затрачиваемые советом директоров на обеспечение качественной деятельности. К проверяемым параметрам относятся: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— состав совета (соотношение представителей разных групп инвесторов в совете</w:t>
      </w:r>
      <w:r>
        <w:t xml:space="preserve">, </w:t>
      </w:r>
      <w:r w:rsidRPr="00793478">
        <w:t>число независимых директоров и пр.);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— структура совета (число директоров</w:t>
      </w:r>
      <w:r>
        <w:t xml:space="preserve">, </w:t>
      </w:r>
      <w:r w:rsidRPr="00793478">
        <w:t>разделение поста председателя совета и исполнительного руководителя</w:t>
      </w:r>
      <w:r>
        <w:t xml:space="preserve">, </w:t>
      </w:r>
      <w:r w:rsidRPr="00793478">
        <w:t>наличие комитетов в совете и пр.);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— процедурные вопросы работы совета (число заседаний в год</w:t>
      </w:r>
      <w:r>
        <w:t xml:space="preserve">, </w:t>
      </w:r>
      <w:r w:rsidRPr="00793478">
        <w:t>наличие корпоративного секретаря</w:t>
      </w:r>
      <w:r>
        <w:t xml:space="preserve">, </w:t>
      </w:r>
      <w:r w:rsidRPr="00793478">
        <w:t>вознаграждения и оценка работы директоров и пр.);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— компетенция совета — тип решений</w:t>
      </w:r>
      <w:r>
        <w:t xml:space="preserve">, </w:t>
      </w:r>
      <w:r w:rsidRPr="00793478">
        <w:t>закрепленных за советом в уставе компании и реально им решаемых (определение стратегии</w:t>
      </w:r>
      <w:r>
        <w:t xml:space="preserve">, </w:t>
      </w:r>
      <w:r w:rsidRPr="00793478">
        <w:t>дивидендная политика</w:t>
      </w:r>
      <w:r>
        <w:t xml:space="preserve">, </w:t>
      </w:r>
      <w:r w:rsidRPr="00793478">
        <w:t>оценка и вознаграждение менеджмента и пр.).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Как показывает опыт эмпирических исследований практики корпоративного управления в российских компаниях [11; 17; 5; 10; 20; 21 и др.]</w:t>
      </w:r>
      <w:r>
        <w:t xml:space="preserve">, </w:t>
      </w:r>
      <w:r w:rsidRPr="00793478">
        <w:t>вопросы реальной работы совета плохо раскрываются компаниями на фоне общей низкой информационной прозрачности. Трудность формализованной оценки эффективности работы совета привела к тому</w:t>
      </w:r>
      <w:r>
        <w:t xml:space="preserve">, </w:t>
      </w:r>
      <w:r w:rsidRPr="00793478">
        <w:t>что существует относительно незначительное количество работ по отдельным аспектам функционирования советов. Следует</w:t>
      </w:r>
      <w:r>
        <w:t xml:space="preserve">, </w:t>
      </w:r>
      <w:r w:rsidRPr="00793478">
        <w:t>однако</w:t>
      </w:r>
      <w:r>
        <w:t xml:space="preserve">, </w:t>
      </w:r>
      <w:r w:rsidRPr="00793478">
        <w:t>отметить</w:t>
      </w:r>
      <w:r>
        <w:t xml:space="preserve">, </w:t>
      </w:r>
      <w:r w:rsidRPr="00793478">
        <w:t>что внимание к этой тематике растет (см.</w:t>
      </w:r>
      <w:r>
        <w:t xml:space="preserve">, </w:t>
      </w:r>
      <w:r w:rsidRPr="00793478">
        <w:t>например</w:t>
      </w:r>
      <w:r>
        <w:t xml:space="preserve">, </w:t>
      </w:r>
      <w:r w:rsidRPr="00793478">
        <w:t>[13])</w:t>
      </w:r>
      <w:r>
        <w:t xml:space="preserve">, </w:t>
      </w:r>
      <w:r w:rsidRPr="00793478">
        <w:t>что вызвано потребностью осмысления изменений</w:t>
      </w:r>
      <w:r>
        <w:t xml:space="preserve">, </w:t>
      </w:r>
      <w:r w:rsidRPr="00793478">
        <w:t xml:space="preserve">происходящих в российских советах.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Эмпирические исследования</w:t>
      </w:r>
      <w:r>
        <w:t xml:space="preserve">, </w:t>
      </w:r>
      <w:r w:rsidRPr="00793478">
        <w:t xml:space="preserve">проведенные до </w:t>
      </w:r>
      <w:smartTag w:uri="urn:schemas-microsoft-com:office:smarttags" w:element="metricconverter">
        <w:smartTagPr>
          <w:attr w:name="ProductID" w:val="2002 г"/>
        </w:smartTagPr>
        <w:r w:rsidRPr="00793478">
          <w:t>2002 г</w:t>
        </w:r>
      </w:smartTag>
      <w:r w:rsidRPr="00793478">
        <w:t>.</w:t>
      </w:r>
      <w:r>
        <w:t xml:space="preserve">, </w:t>
      </w:r>
      <w:r w:rsidRPr="00793478">
        <w:t>выявляли неэффективность использования совета как механизма корпоративного управления. Типичная картина работы совета продемонстрирована выборочным анкетированием 60 крупнейших ОАО</w:t>
      </w:r>
      <w:r>
        <w:t xml:space="preserve">, </w:t>
      </w:r>
      <w:r w:rsidRPr="00793478">
        <w:t>регистрирующих выпуски ценных бумаг в ФКЦБ России</w:t>
      </w:r>
      <w:r>
        <w:t xml:space="preserve">, </w:t>
      </w:r>
      <w:r w:rsidRPr="00793478">
        <w:t xml:space="preserve">проведенным в </w:t>
      </w:r>
      <w:smartTag w:uri="urn:schemas-microsoft-com:office:smarttags" w:element="metricconverter">
        <w:smartTagPr>
          <w:attr w:name="ProductID" w:val="2001 г"/>
        </w:smartTagPr>
        <w:r w:rsidRPr="00793478">
          <w:t>2001 г</w:t>
        </w:r>
      </w:smartTag>
      <w:r w:rsidRPr="00793478">
        <w:t xml:space="preserve">. ФКЦБ России совместно с Институтом фондового рынка (ИФРУ) и проектом ТАСИС «Консультационные услуги по инвестициям на фондовом рынке» (ИНВАС) [26]. Авторами давалась сравнительная оценка лучших из российских практик корпоративного управления.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 xml:space="preserve">В отношении структуры совета были получены следующие результаты. Только в одной компании на </w:t>
      </w:r>
      <w:smartTag w:uri="urn:schemas-microsoft-com:office:smarttags" w:element="metricconverter">
        <w:smartTagPr>
          <w:attr w:name="ProductID" w:val="2001 г"/>
        </w:smartTagPr>
        <w:r w:rsidRPr="00793478">
          <w:t>2001 г</w:t>
        </w:r>
      </w:smartTag>
      <w:r w:rsidRPr="00793478">
        <w:t>. наличествовал постоянно действующий комитет по вопросам стратегического развития. В то же время 70</w:t>
      </w:r>
      <w:r>
        <w:t xml:space="preserve"> </w:t>
      </w:r>
      <w:r w:rsidRPr="00793478">
        <w:t>% респондентов констатировали приоритетную роль советов в стратегическом планировании на предприятиях. Соотношение исполнительных и внешних членов совета составляло 30 : 70 в</w:t>
      </w:r>
      <w:r>
        <w:t xml:space="preserve"> </w:t>
      </w:r>
      <w:r w:rsidRPr="00793478">
        <w:t>соответствии с Законом РФ «Об акционерных обществах»; в то же время соотношение зависимых и независимых директоров составило 80 : 20</w:t>
      </w:r>
      <w:r>
        <w:t xml:space="preserve">, </w:t>
      </w:r>
      <w:r w:rsidRPr="00793478">
        <w:t>что значимо меньше барьера в 30</w:t>
      </w:r>
      <w:r>
        <w:t xml:space="preserve"> </w:t>
      </w:r>
      <w:r w:rsidRPr="00793478">
        <w:t>% от численности внешних директоров. Среди функций советов наименьшее внимание уделялось управлению рисками</w:t>
      </w:r>
      <w:r>
        <w:t xml:space="preserve">, </w:t>
      </w:r>
      <w:r w:rsidRPr="00793478">
        <w:t>раскрытию информации и созданию оперативных механизмов контроля над менеджментом. Процедура оценки деятельности совета и исполнительного руководства присутствовала на момент опроса только в одной компании</w:t>
      </w:r>
      <w:r>
        <w:t xml:space="preserve">, </w:t>
      </w:r>
      <w:r w:rsidRPr="00793478">
        <w:t>в семи такие процедуры разрабатывались. Общим выводом исследования стала констатация факта формального использования механизма совета даже в тех российских компаниях</w:t>
      </w:r>
      <w:r>
        <w:t xml:space="preserve">, </w:t>
      </w:r>
      <w:r w:rsidRPr="00793478">
        <w:t>которые активнее остальных привлекают внешнее финансирование.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Материалы углубленных интервью акционерных обществ</w:t>
      </w:r>
      <w:r>
        <w:t xml:space="preserve">, </w:t>
      </w:r>
      <w:r w:rsidRPr="00793478">
        <w:t xml:space="preserve">собранные коллективом сотрудников ГУ ВШЭ в </w:t>
      </w:r>
      <w:smartTag w:uri="urn:schemas-microsoft-com:office:smarttags" w:element="metricconverter">
        <w:smartTagPr>
          <w:attr w:name="ProductID" w:val="2003 г"/>
        </w:smartTagPr>
        <w:r w:rsidRPr="00793478">
          <w:t>2003 г</w:t>
        </w:r>
      </w:smartTag>
      <w:r w:rsidRPr="00793478">
        <w:t>.</w:t>
      </w:r>
      <w:r>
        <w:t xml:space="preserve">, </w:t>
      </w:r>
      <w:r w:rsidRPr="00793478">
        <w:t>показали [25]</w:t>
      </w:r>
      <w:r>
        <w:t xml:space="preserve">, </w:t>
      </w:r>
      <w:r w:rsidRPr="00793478">
        <w:t>что деятельность совета — зачастую дань формальным нормам права</w:t>
      </w:r>
      <w:r>
        <w:t xml:space="preserve">, </w:t>
      </w:r>
      <w:r w:rsidRPr="00793478">
        <w:t>и формальный ее характер обычно коррелирует со сращиванием совета с исполнительным менеджментом и стабильностью его состава. Самая консервативная политика в отношении совета директоров сохранилась при «полном совмещении» функций менеджмента и совета. В то же время наблюдались и позитивные сдвиги в работе советов — уменьшение числа их членов</w:t>
      </w:r>
      <w:r>
        <w:t xml:space="preserve">, </w:t>
      </w:r>
      <w:r w:rsidRPr="00793478">
        <w:t>что свидетельствует о более эффективном использовании работы директоров</w:t>
      </w:r>
      <w:r>
        <w:t xml:space="preserve">, </w:t>
      </w:r>
      <w:r w:rsidRPr="00793478">
        <w:t>и повышение реального влияния совета на принятие стратегических решений на предприятиях.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Более поздние исследования отмечали положительную динамику в параметрах эффективности работы советов. При разделении владения и управления</w:t>
      </w:r>
      <w:r>
        <w:t xml:space="preserve">, </w:t>
      </w:r>
      <w:r w:rsidRPr="00793478">
        <w:t>которое проявляется в том</w:t>
      </w:r>
      <w:r>
        <w:t xml:space="preserve">, </w:t>
      </w:r>
      <w:r w:rsidRPr="00793478">
        <w:t>что крупные собственники не являются одновременно топ-менеджерами компаний</w:t>
      </w:r>
      <w:r>
        <w:t xml:space="preserve">, </w:t>
      </w:r>
      <w:r w:rsidRPr="00793478">
        <w:t>повышается доля представителей крупных внешних акционеров</w:t>
      </w:r>
      <w:r>
        <w:t xml:space="preserve">, </w:t>
      </w:r>
      <w:r w:rsidRPr="00793478">
        <w:t>в том числе государства; растет интенсивность обновления состава совета</w:t>
      </w:r>
      <w:r>
        <w:t xml:space="preserve">, </w:t>
      </w:r>
      <w:r w:rsidRPr="00793478">
        <w:t>что усиливает агентскую природу совета [8</w:t>
      </w:r>
      <w:r>
        <w:t xml:space="preserve">, </w:t>
      </w:r>
      <w:r w:rsidRPr="00793478">
        <w:t>84–97; 9].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Существуют особенности работы советов директоров в холдингах как специфической форме организации бизнеса</w:t>
      </w:r>
      <w:r>
        <w:t xml:space="preserve">, </w:t>
      </w:r>
      <w:r w:rsidRPr="00793478">
        <w:t>предполагающей разделение собственности и управления. Холдинги более активно используют инструменты корпоративного управления для построения внутри группы более прозрачных структур управления</w:t>
      </w:r>
      <w:r>
        <w:t xml:space="preserve">, </w:t>
      </w:r>
      <w:r w:rsidRPr="00793478">
        <w:t>и в том числе совета директоров (более низкая доля менеджеров в советах</w:t>
      </w:r>
      <w:r>
        <w:t xml:space="preserve">, </w:t>
      </w:r>
      <w:r w:rsidRPr="00793478">
        <w:t>более активное использование независимых директоров</w:t>
      </w:r>
      <w:r>
        <w:t xml:space="preserve">, </w:t>
      </w:r>
      <w:r w:rsidRPr="00793478">
        <w:t>более существенная роль совета при принятии решений</w:t>
      </w:r>
      <w:r>
        <w:t xml:space="preserve">, </w:t>
      </w:r>
      <w:r w:rsidRPr="00793478">
        <w:t>чем в независимых компаниях</w:t>
      </w:r>
      <w:r>
        <w:t xml:space="preserve">, </w:t>
      </w:r>
      <w:r w:rsidRPr="00793478">
        <w:t>более частая смена состава совета). Наибольшее развитие совет директоров получает в тех группах</w:t>
      </w:r>
      <w:r>
        <w:t xml:space="preserve">, </w:t>
      </w:r>
      <w:r w:rsidRPr="00793478">
        <w:t>где дополнительными полномочиями регулятора и собственника обладает государство [1</w:t>
      </w:r>
      <w:r>
        <w:t xml:space="preserve">, </w:t>
      </w:r>
      <w:r w:rsidRPr="00793478">
        <w:t>98–111</w:t>
      </w:r>
      <w:r>
        <w:t xml:space="preserve">, </w:t>
      </w:r>
      <w:r w:rsidRPr="00793478">
        <w:t>18</w:t>
      </w:r>
      <w:r>
        <w:t xml:space="preserve">, </w:t>
      </w:r>
      <w:r w:rsidRPr="00793478">
        <w:t>35–58].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Специфика работы советов в акционерных обществах с участием государства заключается в расширении функционала директоров и повышении представительства в советах мелких внешних собственников. Независимые директора также наиболее активно используются в корпорациях с участием государства [2; 15</w:t>
      </w:r>
      <w:r>
        <w:t xml:space="preserve">, </w:t>
      </w:r>
      <w:r w:rsidRPr="00793478">
        <w:t>34–57].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Тем не менее</w:t>
      </w:r>
      <w:r>
        <w:t xml:space="preserve">, </w:t>
      </w:r>
      <w:r w:rsidRPr="00793478">
        <w:t>несмотря на отмеченную в последнее время позитивную динамику показателей состава</w:t>
      </w:r>
      <w:r>
        <w:t xml:space="preserve">, </w:t>
      </w:r>
      <w:r w:rsidRPr="00793478">
        <w:t>структуры и статуса российских советов</w:t>
      </w:r>
      <w:r>
        <w:t xml:space="preserve">, </w:t>
      </w:r>
      <w:r w:rsidRPr="00793478">
        <w:t>авторы продолжают наблюдать формализацию работы советов. Так</w:t>
      </w:r>
      <w:r>
        <w:t xml:space="preserve">, </w:t>
      </w:r>
      <w:r w:rsidRPr="00793478">
        <w:t>улучшение качества работы совета</w:t>
      </w:r>
      <w:r>
        <w:t xml:space="preserve">, </w:t>
      </w:r>
      <w:r w:rsidRPr="00793478">
        <w:t>вызванное выходом компаний на IPO</w:t>
      </w:r>
      <w:r>
        <w:t xml:space="preserve">, </w:t>
      </w:r>
      <w:r w:rsidRPr="00793478">
        <w:t>не отражает реального улучшения</w:t>
      </w:r>
      <w:r>
        <w:t xml:space="preserve">, </w:t>
      </w:r>
      <w:r w:rsidRPr="00793478">
        <w:t xml:space="preserve">а вызвано требованиями регуляторов фондового рынка [14; 16].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Обзор эмпирических исследований практики корпоративного управления в</w:t>
      </w:r>
      <w:r>
        <w:t xml:space="preserve"> </w:t>
      </w:r>
      <w:r w:rsidRPr="00793478">
        <w:t>российских компаниях позволяет сделать следующие выводы. Во-первых</w:t>
      </w:r>
      <w:r>
        <w:t xml:space="preserve">, </w:t>
      </w:r>
      <w:r w:rsidRPr="00793478">
        <w:t>формальное следование российских компаний правилам</w:t>
      </w:r>
      <w:r>
        <w:t xml:space="preserve">, </w:t>
      </w:r>
      <w:r w:rsidRPr="00793478">
        <w:t>регламентирующим деятельность ОАО</w:t>
      </w:r>
      <w:r>
        <w:t xml:space="preserve">, </w:t>
      </w:r>
      <w:r w:rsidRPr="00793478">
        <w:t>совсем необязательно означает реальное использование механизмов корпоративного управления и советов директоров</w:t>
      </w:r>
      <w:r>
        <w:t xml:space="preserve">, </w:t>
      </w:r>
      <w:r w:rsidRPr="00793478">
        <w:t>в частности</w:t>
      </w:r>
      <w:r>
        <w:t xml:space="preserve">, </w:t>
      </w:r>
      <w:r w:rsidRPr="00793478">
        <w:t>по их «прямому назначению» — решению проблемы агентских отношений менеджеров и собственников. Во-вторых</w:t>
      </w:r>
      <w:r>
        <w:t xml:space="preserve">, </w:t>
      </w:r>
      <w:r w:rsidRPr="00793478">
        <w:t>реальная практика работы советов директоров формируется не столько нормативными требованиями</w:t>
      </w:r>
      <w:r>
        <w:t xml:space="preserve">, </w:t>
      </w:r>
      <w:r w:rsidRPr="00793478">
        <w:t>сколько структурой собственности. Концентрированная собственность</w:t>
      </w:r>
      <w:r>
        <w:t xml:space="preserve">, </w:t>
      </w:r>
      <w:r w:rsidRPr="00793478">
        <w:t>характерная для российских компаний</w:t>
      </w:r>
      <w:r>
        <w:t xml:space="preserve">, </w:t>
      </w:r>
      <w:r w:rsidRPr="00793478">
        <w:t>является важным фактором того</w:t>
      </w:r>
      <w:r>
        <w:t xml:space="preserve">, </w:t>
      </w:r>
      <w:r w:rsidRPr="00793478">
        <w:t>что советы директоров не выполняют в полной мере функции контроля над действиями наемных менеджеров и формирования стратегии компании. В-третьих</w:t>
      </w:r>
      <w:r>
        <w:t xml:space="preserve">, </w:t>
      </w:r>
      <w:r w:rsidRPr="00793478">
        <w:t>концентрация собственности на российских предприятиях связана с дефектами институциональной среды.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Представляемое здесь исследование делает акцент на особенностях работы компаний в условиях высококонцентрированной собственности</w:t>
      </w:r>
      <w:r>
        <w:t xml:space="preserve">, </w:t>
      </w:r>
      <w:r w:rsidRPr="00793478">
        <w:t>что должно являться существенным препятствием для роста эффективности работы советов в российских компаниях. При этом наблюдается несовпадение модели корпоративного контроля и национальной модели совета директоров</w:t>
      </w:r>
      <w:r>
        <w:t xml:space="preserve">, </w:t>
      </w:r>
      <w:r w:rsidRPr="00793478">
        <w:t>ориентированной на распыленную собственность. Надо помнить</w:t>
      </w:r>
      <w:r>
        <w:t xml:space="preserve">, </w:t>
      </w:r>
      <w:r w:rsidRPr="00793478">
        <w:t>что даже при формальном отделении крупных собственников от текущего управления может сохраняться практика активного вмешательства доминирующего собственника в дела компании. Как в этих условиях меняются параметры работы советов? Что мотивирует инвесторов на использование советов директоров в российских региональных компаниях и в каких целях используются советы?</w:t>
      </w:r>
    </w:p>
    <w:p w:rsidR="009F3E9F" w:rsidRPr="00FF090F" w:rsidRDefault="009F3E9F" w:rsidP="009F3E9F">
      <w:pPr>
        <w:spacing w:before="120"/>
        <w:jc w:val="center"/>
        <w:rPr>
          <w:b/>
          <w:sz w:val="28"/>
        </w:rPr>
      </w:pPr>
      <w:r w:rsidRPr="00FF090F">
        <w:rPr>
          <w:b/>
          <w:sz w:val="28"/>
        </w:rPr>
        <w:t>Эмпирическая база исследования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Объектом анализа избраны открытые акционерные общества Уральского региона с высоким уровнем концентрации капитала</w:t>
      </w:r>
      <w:r>
        <w:t xml:space="preserve">, </w:t>
      </w:r>
      <w:r w:rsidRPr="00793478">
        <w:t xml:space="preserve">сильным присутствием государства в собственности и развитыми процессами корпоративной интеграции.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 xml:space="preserve">Информационной базой исследования стали интервью с руководителями/председателями советов директоров 98 ОАО Уральского региона в начале </w:t>
      </w:r>
      <w:smartTag w:uri="urn:schemas-microsoft-com:office:smarttags" w:element="metricconverter">
        <w:smartTagPr>
          <w:attr w:name="ProductID" w:val="2006 г"/>
        </w:smartTagPr>
        <w:r w:rsidRPr="00793478">
          <w:t>2006 г</w:t>
        </w:r>
      </w:smartTag>
      <w:r w:rsidRPr="00793478">
        <w:t>. 2 по вопросам корпоративного управления. Опрос проводился методом глубинного интервью</w:t>
      </w:r>
      <w:r>
        <w:t xml:space="preserve">, </w:t>
      </w:r>
      <w:r w:rsidRPr="00793478">
        <w:t xml:space="preserve">а также был дополнен анкетами для самозаполнения.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 общей численности зарегистрированных в Уральском федеральном округе предприятий открытые акционерные общества</w:t>
      </w:r>
      <w:r>
        <w:t xml:space="preserve">, </w:t>
      </w:r>
      <w:r w:rsidRPr="00793478">
        <w:t>попавшие в выборку</w:t>
      </w:r>
      <w:r>
        <w:t xml:space="preserve">, </w:t>
      </w:r>
      <w:r w:rsidRPr="00793478">
        <w:t>занимают 0</w:t>
      </w:r>
      <w:r>
        <w:t xml:space="preserve">, </w:t>
      </w:r>
      <w:r w:rsidRPr="00793478">
        <w:t>3</w:t>
      </w:r>
      <w:r>
        <w:t xml:space="preserve"> </w:t>
      </w:r>
      <w:r w:rsidRPr="00793478">
        <w:t>%</w:t>
      </w:r>
      <w:r>
        <w:t xml:space="preserve">, </w:t>
      </w:r>
      <w:r w:rsidRPr="00793478">
        <w:t>в то время как оборот компаний составляет треть промышленной продукции Урала (32</w:t>
      </w:r>
      <w:r>
        <w:t xml:space="preserve">, </w:t>
      </w:r>
      <w:r w:rsidRPr="00793478">
        <w:t>76</w:t>
      </w:r>
      <w:r>
        <w:t xml:space="preserve"> </w:t>
      </w:r>
      <w:r w:rsidRPr="00793478">
        <w:t>%)</w:t>
      </w:r>
      <w:r>
        <w:t xml:space="preserve">, </w:t>
      </w:r>
      <w:r w:rsidRPr="00793478">
        <w:t>что свидетельствует о попадании в выборку сверхкрупных компаний. Доля занятых на предприятиях выборки в среднесписочной численности персонала промышленности составляет 9</w:t>
      </w:r>
      <w:r>
        <w:t xml:space="preserve">, </w:t>
      </w:r>
      <w:r w:rsidRPr="00793478">
        <w:t>35</w:t>
      </w:r>
      <w:r>
        <w:t xml:space="preserve"> </w:t>
      </w:r>
      <w:r w:rsidRPr="00793478">
        <w:t>% по Уральскому федеральному округу и 1</w:t>
      </w:r>
      <w:r>
        <w:t xml:space="preserve">, </w:t>
      </w:r>
      <w:r w:rsidRPr="00793478">
        <w:t>09</w:t>
      </w:r>
      <w:r>
        <w:t xml:space="preserve"> </w:t>
      </w:r>
      <w:r w:rsidRPr="00793478">
        <w:t>% по России. Средний показатель</w:t>
      </w:r>
      <w:r>
        <w:t xml:space="preserve">, </w:t>
      </w:r>
      <w:r w:rsidRPr="00793478">
        <w:t>рассчитанный на основе данных о среднесписочной численности работников</w:t>
      </w:r>
      <w:r>
        <w:t xml:space="preserve">, </w:t>
      </w:r>
      <w:r w:rsidRPr="00793478">
        <w:t>составил 2957 человек. Численность работников по выборке колеблется от 106 человек (ОАО «Камышловский завод “Лесхозмаш”») до 30 653 человек (ОАО «Нижнетагильский металлургический комбинат НТМК») 3 . Отраслевая структура выборки соответствует распределению отраслей в Уральском регионе</w:t>
      </w:r>
      <w:r>
        <w:t xml:space="preserve">, </w:t>
      </w:r>
      <w:r w:rsidRPr="00793478">
        <w:t>где превалируют машиностроение</w:t>
      </w:r>
      <w:r>
        <w:t xml:space="preserve">, </w:t>
      </w:r>
      <w:r w:rsidRPr="00793478">
        <w:t>черная и цветная металлургия</w:t>
      </w:r>
      <w:r>
        <w:t xml:space="preserve">, </w:t>
      </w:r>
      <w:r w:rsidRPr="00793478">
        <w:t>а также развиты инфраструктура</w:t>
      </w:r>
      <w:r>
        <w:t xml:space="preserve">, </w:t>
      </w:r>
      <w:r w:rsidRPr="00793478">
        <w:t>оборонный комплекс и НИОКР. Смещение выборки в сторону черной и цветной металургии связано с тем</w:t>
      </w:r>
      <w:r>
        <w:t xml:space="preserve">, </w:t>
      </w:r>
      <w:r w:rsidRPr="00793478">
        <w:t>что большинство предприятий данной отрасли являются открытыми акционерными обществами. Описание предприятий выборки в размерном разрезе приведено в прил. 2 (табл. 1 и 2).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Модели корпоративного контроля в компаниях с концентрированной собственностью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Высокая концентрация пакета акций у конкретного собственника</w:t>
      </w:r>
      <w:r>
        <w:t xml:space="preserve">, </w:t>
      </w:r>
      <w:r w:rsidRPr="00793478">
        <w:t>достаточная для принятия любого решения на общем собрании акционеров</w:t>
      </w:r>
      <w:r>
        <w:t xml:space="preserve">, </w:t>
      </w:r>
      <w:r w:rsidRPr="00793478">
        <w:t xml:space="preserve">— распространенная практика работы региональных компаний: 61 ОАО выборки на </w:t>
      </w:r>
      <w:smartTag w:uri="urn:schemas-microsoft-com:office:smarttags" w:element="metricconverter">
        <w:smartTagPr>
          <w:attr w:name="ProductID" w:val="2006 г"/>
        </w:smartTagPr>
        <w:r w:rsidRPr="00793478">
          <w:t>2006 г</w:t>
        </w:r>
      </w:smartTag>
      <w:r w:rsidRPr="00793478">
        <w:t>. контролируется крупными собственниками. По сравнению с моментом акционирования этот показатель увеличился на 17 процентных пунктов. Рычаги управления предприятием закрепляются имущественными правами собственности. Об этом свидетельствует как распространение контрольных пакетов акций</w:t>
      </w:r>
      <w:r>
        <w:t xml:space="preserve">, </w:t>
      </w:r>
      <w:r w:rsidRPr="00793478">
        <w:t>так и их размер: к</w:t>
      </w:r>
      <w: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793478">
          <w:t>2006 г</w:t>
        </w:r>
      </w:smartTag>
      <w:r w:rsidRPr="00793478">
        <w:t>. он достиг в среднем 59</w:t>
      </w:r>
      <w:r>
        <w:t xml:space="preserve">, </w:t>
      </w:r>
      <w:r w:rsidRPr="00793478">
        <w:t>8</w:t>
      </w:r>
      <w:r>
        <w:t xml:space="preserve"> </w:t>
      </w:r>
      <w:r w:rsidRPr="00793478">
        <w:t>% по всем типам собственников. На момент акционирования аналогичный показатель составлял 57</w:t>
      </w:r>
      <w:r>
        <w:t xml:space="preserve">, </w:t>
      </w:r>
      <w:r w:rsidRPr="00793478">
        <w:t>3</w:t>
      </w:r>
      <w:r>
        <w:t xml:space="preserve"> </w:t>
      </w:r>
      <w:r w:rsidRPr="00793478">
        <w:t xml:space="preserve">%.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Среди владельцев контрольного пакета выделяются четрые группы: внешние физические лица</w:t>
      </w:r>
      <w:r>
        <w:t xml:space="preserve">, </w:t>
      </w:r>
      <w:r w:rsidRPr="00793478">
        <w:t>государство</w:t>
      </w:r>
      <w:r>
        <w:t xml:space="preserve">, </w:t>
      </w:r>
      <w:r w:rsidRPr="00793478">
        <w:t xml:space="preserve">промышленные предприятия и топ-менеджеры компаний. Последние полностью контролируют по формальному признаку на </w:t>
      </w:r>
      <w:smartTag w:uri="urn:schemas-microsoft-com:office:smarttags" w:element="metricconverter">
        <w:smartTagPr>
          <w:attr w:name="ProductID" w:val="2006 г"/>
        </w:smartTagPr>
        <w:r w:rsidRPr="00793478">
          <w:t>2006 г</w:t>
        </w:r>
      </w:smartTag>
      <w:r w:rsidRPr="00793478">
        <w:t>. 11 ОАО наравне с промышленными предприятиями (рис. 1).</w:t>
      </w:r>
    </w:p>
    <w:p w:rsidR="009F3E9F" w:rsidRPr="00793478" w:rsidRDefault="0086460D" w:rsidP="009F3E9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1pt;height:155.25pt">
            <v:imagedata r:id="rId5" o:title=""/>
          </v:shape>
        </w:pic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Рис. 1. Распределение контроля на предприятиях с высокой концентрацией собственности (50</w:t>
      </w:r>
      <w:r>
        <w:t xml:space="preserve"> </w:t>
      </w:r>
      <w:r w:rsidRPr="00793478">
        <w:t>% + 1</w:t>
      </w:r>
      <w:r>
        <w:t xml:space="preserve"> </w:t>
      </w:r>
      <w:r w:rsidRPr="00793478">
        <w:t xml:space="preserve">акция) в </w:t>
      </w:r>
      <w:smartTag w:uri="urn:schemas-microsoft-com:office:smarttags" w:element="metricconverter">
        <w:smartTagPr>
          <w:attr w:name="ProductID" w:val="2006 г"/>
        </w:smartTagPr>
        <w:r w:rsidRPr="00793478">
          <w:t>2006 г</w:t>
        </w:r>
      </w:smartTag>
      <w:r w:rsidRPr="00793478">
        <w:t>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Типы собственников — владельцев контрольных пакетов: 1 — государство; 2 — работники; 3 — сторонние физические лица; 4 — генеральный директор; 5 — банки; 6 — инвестиционные фонды; 7 — группа компаний; 8 — независимые юридические лица; 9 — иностранные инвесторы; 10 — прочие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Наблюдается важная тенденция: средняя величина пакета доминирующих инсайдеров ниже</w:t>
      </w:r>
      <w:r>
        <w:t xml:space="preserve">, </w:t>
      </w:r>
      <w:r w:rsidRPr="00793478">
        <w:t>чем у аутсайдеров. Причем средний контрольный пакет сторонних акционеров превышает по величине контрольные пакеты</w:t>
      </w:r>
      <w:r>
        <w:t xml:space="preserve">, </w:t>
      </w:r>
      <w:r w:rsidRPr="00793478">
        <w:t>находящиеся в руках членов Советов директоров предприятий. Следовательно</w:t>
      </w:r>
      <w:r>
        <w:t xml:space="preserve">, </w:t>
      </w:r>
      <w:r w:rsidRPr="00793478">
        <w:t>для тех акционеров</w:t>
      </w:r>
      <w:r>
        <w:t xml:space="preserve">, </w:t>
      </w:r>
      <w:r w:rsidRPr="00793478">
        <w:t>которые имеют дополнительные инструменты контроля</w:t>
      </w:r>
      <w:r>
        <w:t xml:space="preserve">, </w:t>
      </w:r>
      <w:r w:rsidRPr="00793478">
        <w:t>достаточен меньший пакет акций. Внешние собственники прибегают к наиболее надежному способу защиты интересов — имущественному.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Ситуация формального контроля по признаку наличия контрольного пакета акций в руках собственника отличается от ситуации «реального доминирования» собственника</w:t>
      </w:r>
      <w:r>
        <w:t xml:space="preserve">, </w:t>
      </w:r>
      <w:r w:rsidRPr="00793478">
        <w:t>под которой респондентами в качестве самооценки понималась возможность реально влиять на принятие решений в компании (рис. 2).</w:t>
      </w:r>
    </w:p>
    <w:p w:rsidR="009F3E9F" w:rsidRPr="00793478" w:rsidRDefault="0086460D" w:rsidP="009F3E9F">
      <w:pPr>
        <w:spacing w:before="120"/>
        <w:ind w:firstLine="567"/>
        <w:jc w:val="both"/>
      </w:pPr>
      <w:r>
        <w:pict>
          <v:shape id="_x0000_i1026" type="#_x0000_t75" alt="" style="width:381pt;height:171pt">
            <v:imagedata r:id="rId6" o:title=""/>
          </v:shape>
        </w:pic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 xml:space="preserve">Рис. 2. Распределение реального доминирования на предприятиях выборки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(самооценка)</w:t>
      </w:r>
      <w:r>
        <w:t xml:space="preserve">, </w:t>
      </w:r>
      <w:r w:rsidRPr="00793478">
        <w:t>%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Типы собственников — владельцев контрольных пакетов: 1 — государство; 2 — работники; 3 — сторонние физические лица; 4 — генеральный директор; 5 — банки; 6 — инвестиционные фонды; 7 — группа компаний; 8 — независимые юридические лица; 9 — иностранные инвесторы; 10 — прочие; 11 — нет реального доминирования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Основной контроль концентрируется в руках сторонних инвесторов — государства</w:t>
      </w:r>
      <w:r>
        <w:t xml:space="preserve">, </w:t>
      </w:r>
      <w:r w:rsidRPr="00793478">
        <w:t>сторонних физических лиц и промышленных предприятий. В то же время позиции государства как реально доминирующего собственника ослабевают</w:t>
      </w:r>
      <w:r>
        <w:t xml:space="preserve">, </w:t>
      </w:r>
      <w:r w:rsidRPr="00793478">
        <w:t>а позиции частных инвесторов усиливаются за счет неимущественных механизмов контроля над предприятием. Позиция менеджмента как группы устойчива. Портфельные и иностранные инвесторы реально не воздействуют на принятие решения в компаниях. Контроль концентрируется у отечественных крупных частных инвесторов и регионального государства.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Модель внутреннего контроля уступает место модели внешнего контроля. Наиболее существенным отличием от общероссийских закономерностей этого процесса для Урала является высокая доля реального доминирования государства</w:t>
      </w:r>
      <w:r>
        <w:t xml:space="preserve">, </w:t>
      </w:r>
      <w:r w:rsidRPr="00793478">
        <w:t>представленного в основном региональным уровнем</w:t>
      </w:r>
      <w:r>
        <w:t xml:space="preserve">, </w:t>
      </w:r>
      <w:r w:rsidRPr="00793478">
        <w:t>в компаниях акционерного сектора. По сравнению</w:t>
      </w:r>
      <w:r>
        <w:t xml:space="preserve">, </w:t>
      </w:r>
      <w:r w:rsidRPr="00793478">
        <w:t>с другими акционерами</w:t>
      </w:r>
      <w:r>
        <w:t xml:space="preserve">, </w:t>
      </w:r>
      <w:r w:rsidRPr="00793478">
        <w:t>имеющими контрольный пакет</w:t>
      </w:r>
      <w:r>
        <w:t xml:space="preserve">, </w:t>
      </w:r>
      <w:r w:rsidRPr="00793478">
        <w:t>величина среднего контрольного пакета государства составляет 59</w:t>
      </w:r>
      <w:r>
        <w:t xml:space="preserve"> </w:t>
      </w:r>
      <w:r w:rsidRPr="00793478">
        <w:t>%. Рычаги управления находятся преимущественно у властей регионального уровня. Подобные показатели значимо выше средних по России [12</w:t>
      </w:r>
      <w:r>
        <w:t xml:space="preserve">, </w:t>
      </w:r>
      <w:r w:rsidRPr="00793478">
        <w:t>53–68]. Высокая доля государства как собственника для региона может объясняться двумя причинами: первая заключается в высокой доле приватизированных стратегически значимых для региона предприятий базовых отраслей</w:t>
      </w:r>
      <w:r>
        <w:t xml:space="preserve">, </w:t>
      </w:r>
      <w:r w:rsidRPr="00793478">
        <w:t>вторая связана с использованием государства как сигнала о низкой степени рисков для инвесторов (лоббирование интересов на отраслевых рынках</w:t>
      </w:r>
      <w:r>
        <w:t xml:space="preserve">, </w:t>
      </w:r>
      <w:r w:rsidRPr="00793478">
        <w:t>гарантированные выплаты дивидендов). Характерно</w:t>
      </w:r>
      <w:r>
        <w:t xml:space="preserve">, </w:t>
      </w:r>
      <w:r w:rsidRPr="00793478">
        <w:t>что при ответе на вопрос о статусе владельца контрольного пакета один из респондентов счел эту информацию коммерческой тайной</w:t>
      </w:r>
      <w:r>
        <w:t xml:space="preserve">, </w:t>
      </w:r>
      <w:r w:rsidRPr="00793478">
        <w:t>что дополнительно подчеркивает степень информационной закрытости региональных компаний.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Таким образом</w:t>
      </w:r>
      <w:r>
        <w:t xml:space="preserve">, </w:t>
      </w:r>
      <w:r w:rsidRPr="00793478">
        <w:t>наиболее распространенным типом корпоративного контроля является «концентрированная собственность аутсайдров». В анализируемой выборке 48 компаний принадлежат к тем или иным типам интегрированных структур. Тип «концентрированной внешней собственности» поддерживается процессом формирования интегрированных структур. Внешний собственник должен располагать действенными инструментами для предотвращения оппортунизма менеджеров-инсайдеров. Непосредственное участие конечного собственника или материнской компании холдинга в управлении может лишь частично решить указанную проблему.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На втором месте по степени распространения находится «концентрированная собственность инсайдеров как группы менеджеров»</w:t>
      </w:r>
      <w:r>
        <w:t xml:space="preserve">, </w:t>
      </w:r>
      <w:r w:rsidRPr="00793478">
        <w:t>однако точность данных по этой группе может быть подвергнута сомнению</w:t>
      </w:r>
      <w:r>
        <w:t xml:space="preserve">, </w:t>
      </w:r>
      <w:r w:rsidRPr="00793478">
        <w:t>поскольку менеджеры в</w:t>
      </w:r>
      <w:r>
        <w:t xml:space="preserve"> </w:t>
      </w:r>
      <w:r w:rsidRPr="00793478">
        <w:t>крупных компаниях зачастую ненапрямую владеют пакетами акций</w:t>
      </w:r>
      <w:r>
        <w:t xml:space="preserve">, </w:t>
      </w:r>
      <w:r w:rsidRPr="00793478">
        <w:t>что искажает результаты. Присутствие этого типа контроля скорее выше</w:t>
      </w:r>
      <w:r>
        <w:t xml:space="preserve">, </w:t>
      </w:r>
      <w:r w:rsidRPr="00793478">
        <w:t>чем полученные данные.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Преобладание внешней собственности позволяет ожидать развития инструментов корпоративного управления</w:t>
      </w:r>
      <w:r>
        <w:t xml:space="preserve">, </w:t>
      </w:r>
      <w:r w:rsidRPr="00793478">
        <w:t>в том числе совета директоров. Однако концентрированный тип контроля аутсайдеров</w:t>
      </w:r>
      <w:r>
        <w:t xml:space="preserve">, </w:t>
      </w:r>
      <w:r w:rsidRPr="00793478">
        <w:t>по указанным в предыдущих разделах соображениям</w:t>
      </w:r>
      <w:r>
        <w:t xml:space="preserve">, </w:t>
      </w:r>
      <w:r w:rsidRPr="00793478">
        <w:t>может стать барьером для эффективной работы совета.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Состав совета директоров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Наиболее важная для нашего анализа характеристика состава — представительская структура совета — меняется в зависимости от степени концентрации собственности</w:t>
      </w:r>
      <w:r>
        <w:t xml:space="preserve">, </w:t>
      </w:r>
      <w:r w:rsidRPr="00793478">
        <w:t>хотя можно выделить и общие тенденции: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— доминирование в советах исполнительного менеджмента и несовпадение аутсайдерской модели собственности с инсайдерской моделью совета;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— сохранение за государством</w:t>
      </w:r>
      <w:r>
        <w:t xml:space="preserve">, </w:t>
      </w:r>
      <w:r w:rsidRPr="00793478">
        <w:t>как внешним собственником — инициатором внедрения норм лучшей практики корпоративного управления</w:t>
      </w:r>
      <w:r>
        <w:t xml:space="preserve">, </w:t>
      </w:r>
      <w:r w:rsidRPr="00793478">
        <w:t xml:space="preserve">высокой доли представителей.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 уральских АО с высококонцентрированной собственностью основную долю членов советов составляют менеджеры предприятий — высший руководитель либо его заместители. Менеджмент компаний захватывает советы</w:t>
      </w:r>
      <w:r>
        <w:t xml:space="preserve">, </w:t>
      </w:r>
      <w:r w:rsidRPr="00793478">
        <w:t>подчиняя себе контрольный орган (см. таблицу). В то же время в структуре совета большую долю занимает группа «другие»</w:t>
      </w:r>
      <w:r>
        <w:t xml:space="preserve">, </w:t>
      </w:r>
      <w:r w:rsidRPr="00793478">
        <w:t>что свидетельствует о непрозрачности компаний и может исказить часть выводов. Очень низка доля институциональных инвесторов: крупные собственники не допускают представителей миноритариев к рычагам управления компаниями. Ограничить представительство государства крупные собственники не могут из-за законодательных требований</w:t>
      </w:r>
      <w:r>
        <w:t xml:space="preserve">, </w:t>
      </w:r>
      <w:r w:rsidRPr="00793478">
        <w:t>а также по причине легкого вступления в альянс с госпредставителями</w:t>
      </w:r>
      <w:r>
        <w:t xml:space="preserve">, </w:t>
      </w:r>
      <w:r w:rsidRPr="00793478">
        <w:t>как отмечали сами респонденты. Концентрированная собственность демонстрирует сращивание владения и управления: крупные владельцы участвуют не только в управлении</w:t>
      </w:r>
      <w:r>
        <w:t xml:space="preserve">, </w:t>
      </w:r>
      <w:r w:rsidRPr="00793478">
        <w:t>но и в работе совета директоров.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6"/>
        <w:gridCol w:w="1076"/>
        <w:gridCol w:w="2041"/>
        <w:gridCol w:w="2064"/>
        <w:gridCol w:w="1931"/>
      </w:tblGrid>
      <w:tr w:rsidR="009F3E9F" w:rsidRPr="00793478" w:rsidTr="0007754F">
        <w:trPr>
          <w:tblHeader/>
          <w:tblCellSpacing w:w="0" w:type="dxa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F" w:rsidRPr="00793478" w:rsidRDefault="009F3E9F" w:rsidP="0007754F">
            <w:r w:rsidRPr="00793478">
              <w:t>Представительская структура советов директоров с разным уровнем концентрации собственности</w:t>
            </w:r>
            <w:r>
              <w:t xml:space="preserve">, </w:t>
            </w:r>
            <w:r w:rsidRPr="00793478">
              <w:t>% к числу членов совета</w:t>
            </w:r>
          </w:p>
        </w:tc>
      </w:tr>
      <w:tr w:rsidR="009F3E9F" w:rsidRPr="00793478" w:rsidTr="0007754F">
        <w:trPr>
          <w:tblHeader/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Тип представителя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Вся выборка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Высокая концентрация собственности (50% + 1 акция)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Средняя концентрация собственности (&gt;</w:t>
            </w:r>
            <w:r>
              <w:t xml:space="preserve"> </w:t>
            </w:r>
            <w:r w:rsidRPr="00793478">
              <w:t>25%</w:t>
            </w:r>
            <w:r>
              <w:t xml:space="preserve">, </w:t>
            </w:r>
            <w:r w:rsidRPr="00793478">
              <w:t>но &lt;</w:t>
            </w:r>
            <w:r>
              <w:t xml:space="preserve"> </w:t>
            </w:r>
            <w:r w:rsidRPr="00793478">
              <w:t>50%)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Низкая концентрация собственности (&lt;</w:t>
            </w:r>
            <w:r>
              <w:t xml:space="preserve"> </w:t>
            </w:r>
            <w:r w:rsidRPr="00793478">
              <w:t>25%)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Высший руководитель предприятия</w:t>
            </w:r>
            <w:r>
              <w:t xml:space="preserve"> 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33</w:t>
            </w:r>
            <w:r>
              <w:t xml:space="preserve">, </w:t>
            </w:r>
            <w:r w:rsidRPr="00793478">
              <w:t>33</w:t>
            </w:r>
            <w:r>
              <w:t xml:space="preserve"> 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30</w:t>
            </w:r>
            <w:r>
              <w:t xml:space="preserve">, </w:t>
            </w:r>
            <w:r w:rsidRPr="00793478">
              <w:t>51</w:t>
            </w:r>
            <w:r>
              <w:t xml:space="preserve"> 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35</w:t>
            </w:r>
            <w:r>
              <w:t xml:space="preserve">, </w:t>
            </w:r>
            <w:r w:rsidRPr="00793478">
              <w:t>56</w:t>
            </w:r>
            <w:r>
              <w:t xml:space="preserve">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42</w:t>
            </w:r>
            <w:r>
              <w:t xml:space="preserve">, </w:t>
            </w:r>
            <w:r w:rsidRPr="00793478">
              <w:t>86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Заместители высшего руководителя предприятия</w:t>
            </w:r>
            <w:r>
              <w:t xml:space="preserve"> 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24</w:t>
            </w:r>
            <w:r>
              <w:t xml:space="preserve">, </w:t>
            </w:r>
            <w:r w:rsidRPr="00793478">
              <w:t>29</w:t>
            </w:r>
            <w:r>
              <w:t xml:space="preserve"> 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23</w:t>
            </w:r>
            <w:r>
              <w:t xml:space="preserve">, </w:t>
            </w:r>
            <w:r w:rsidRPr="00793478">
              <w:t>73</w:t>
            </w:r>
            <w:r>
              <w:t xml:space="preserve"> 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17</w:t>
            </w:r>
            <w:r>
              <w:t xml:space="preserve">, </w:t>
            </w:r>
            <w:r w:rsidRPr="00793478">
              <w:t>78</w:t>
            </w:r>
            <w:r>
              <w:t xml:space="preserve">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25</w:t>
            </w:r>
            <w:r>
              <w:t xml:space="preserve">, </w:t>
            </w:r>
            <w:r w:rsidRPr="00793478">
              <w:t>00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Представители государства</w:t>
            </w:r>
            <w:r>
              <w:t xml:space="preserve"> 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10</w:t>
            </w:r>
            <w:r>
              <w:t xml:space="preserve">, </w:t>
            </w:r>
            <w:r w:rsidRPr="00793478">
              <w:t>48</w:t>
            </w:r>
            <w:r>
              <w:t xml:space="preserve"> 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13</w:t>
            </w:r>
            <w:r>
              <w:t xml:space="preserve">, </w:t>
            </w:r>
            <w:r w:rsidRPr="00793478">
              <w:t>56</w:t>
            </w:r>
            <w:r>
              <w:t xml:space="preserve"> 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8</w:t>
            </w:r>
            <w:r>
              <w:t xml:space="preserve">, </w:t>
            </w:r>
            <w:r w:rsidRPr="00793478">
              <w:t>89</w:t>
            </w:r>
            <w:r>
              <w:t xml:space="preserve">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, </w:t>
            </w:r>
            <w:r w:rsidRPr="00793478">
              <w:t>57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Иностранные граждане</w:t>
            </w:r>
            <w:r>
              <w:t xml:space="preserve"> 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  <w:r>
              <w:t xml:space="preserve">, </w:t>
            </w:r>
            <w:r w:rsidRPr="00793478">
              <w:t>43</w:t>
            </w:r>
            <w:r>
              <w:t xml:space="preserve"> 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, </w:t>
            </w:r>
            <w:r w:rsidRPr="00793478">
              <w:t>39</w:t>
            </w:r>
            <w:r>
              <w:t xml:space="preserve"> 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00</w:t>
            </w:r>
            <w:r>
              <w:t xml:space="preserve">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, </w:t>
            </w:r>
            <w:r w:rsidRPr="00793478">
              <w:t>57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Представители банков и институт инвесторов</w:t>
            </w:r>
            <w:r>
              <w:t xml:space="preserve"> 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6</w:t>
            </w:r>
            <w:r>
              <w:t xml:space="preserve">, </w:t>
            </w:r>
            <w:r w:rsidRPr="00793478">
              <w:t>19</w:t>
            </w:r>
            <w:r>
              <w:t xml:space="preserve"> 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  <w:r>
              <w:t xml:space="preserve">, </w:t>
            </w:r>
            <w:r w:rsidRPr="00793478">
              <w:t>69</w:t>
            </w:r>
            <w:r>
              <w:t xml:space="preserve"> 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10</w:t>
            </w:r>
            <w:r>
              <w:t xml:space="preserve">, </w:t>
            </w:r>
            <w:r w:rsidRPr="00793478">
              <w:t>16</w:t>
            </w:r>
            <w:r>
              <w:t xml:space="preserve">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, </w:t>
            </w:r>
            <w:r w:rsidRPr="00793478">
              <w:t>57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Представители иностранных инвесторов</w:t>
            </w:r>
            <w:r>
              <w:t xml:space="preserve"> 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95</w:t>
            </w:r>
            <w:r>
              <w:t xml:space="preserve"> 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00</w:t>
            </w:r>
            <w:r>
              <w:t xml:space="preserve"> 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95</w:t>
            </w:r>
            <w:r>
              <w:t xml:space="preserve">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00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Другие</w:t>
            </w:r>
            <w:r>
              <w:t xml:space="preserve"> 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22</w:t>
            </w:r>
            <w:r>
              <w:t xml:space="preserve">, </w:t>
            </w:r>
            <w:r w:rsidRPr="00793478">
              <w:t>86</w:t>
            </w:r>
            <w:r>
              <w:t xml:space="preserve"> 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25</w:t>
            </w:r>
            <w:r>
              <w:t xml:space="preserve">, </w:t>
            </w:r>
            <w:r w:rsidRPr="00793478">
              <w:t>42</w:t>
            </w:r>
            <w:r>
              <w:t xml:space="preserve"> 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26</w:t>
            </w:r>
            <w:r>
              <w:t xml:space="preserve">, </w:t>
            </w:r>
            <w:r w:rsidRPr="00793478">
              <w:t>67</w:t>
            </w:r>
            <w:r>
              <w:t xml:space="preserve">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21</w:t>
            </w:r>
            <w:r>
              <w:t xml:space="preserve">, </w:t>
            </w:r>
            <w:r w:rsidRPr="00793478">
              <w:t>43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Сторонние акционеры</w:t>
            </w:r>
            <w:r>
              <w:t xml:space="preserve">, </w:t>
            </w:r>
            <w:r w:rsidRPr="00793478">
              <w:t>российские граждане</w:t>
            </w:r>
            <w:r>
              <w:t xml:space="preserve"> 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48</w:t>
            </w:r>
            <w:r>
              <w:t xml:space="preserve"> 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  <w:r>
              <w:t xml:space="preserve">, </w:t>
            </w:r>
            <w:r w:rsidRPr="00793478">
              <w:t>69</w:t>
            </w:r>
            <w:r>
              <w:t xml:space="preserve"> 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00</w:t>
            </w:r>
            <w:r>
              <w:t xml:space="preserve">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00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13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Всего ответивших ОАО</w:t>
            </w:r>
            <w:r>
              <w:t xml:space="preserve"> 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98</w:t>
            </w:r>
            <w:r>
              <w:t xml:space="preserve"> </w:t>
            </w:r>
          </w:p>
        </w:tc>
        <w:tc>
          <w:tcPr>
            <w:tcW w:w="1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30*</w:t>
            </w:r>
            <w:r>
              <w:t xml:space="preserve"> </w:t>
            </w:r>
          </w:p>
        </w:tc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20*</w:t>
            </w:r>
            <w:r>
              <w:t xml:space="preserve">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15*</w:t>
            </w:r>
            <w:r>
              <w:t xml:space="preserve"> </w:t>
            </w:r>
          </w:p>
        </w:tc>
      </w:tr>
    </w:tbl>
    <w:p w:rsidR="009F3E9F" w:rsidRPr="00793478" w:rsidRDefault="009F3E9F" w:rsidP="009F3E9F">
      <w:pPr>
        <w:spacing w:before="120"/>
        <w:ind w:firstLine="567"/>
        <w:jc w:val="both"/>
      </w:pPr>
      <w:r>
        <w:t xml:space="preserve">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* Данные о группах ОАО с различной концентрацией собственности приведены по 65 компаниям</w:t>
      </w:r>
      <w:r>
        <w:t xml:space="preserve">, </w:t>
      </w:r>
      <w:r w:rsidRPr="00793478">
        <w:t>представившим данные о собственности.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Специфическая картина наблюдается в интегрированных компаниях</w:t>
      </w:r>
      <w:r>
        <w:t xml:space="preserve">, </w:t>
      </w:r>
      <w:r w:rsidRPr="00793478">
        <w:t>где в силу специфики организации крупных структур возникает реальное отделение собственности от текущего управления. Так</w:t>
      </w:r>
      <w:r>
        <w:t xml:space="preserve">, </w:t>
      </w:r>
      <w:r w:rsidRPr="00793478">
        <w:t>среди рядовых членов группы совмещение поста председателя совета и генерального директора наблюдается только в 9</w:t>
      </w:r>
      <w:r>
        <w:t xml:space="preserve"> </w:t>
      </w:r>
      <w:r w:rsidRPr="00793478">
        <w:t>% случаев</w:t>
      </w:r>
      <w:r>
        <w:t xml:space="preserve">, </w:t>
      </w:r>
      <w:r w:rsidRPr="00793478">
        <w:t>в то время как для управляющих компаний этот показатель составляет 22</w:t>
      </w:r>
      <w:r>
        <w:t xml:space="preserve">, </w:t>
      </w:r>
      <w:r w:rsidRPr="00793478">
        <w:t>52</w:t>
      </w:r>
      <w:r>
        <w:t xml:space="preserve"> </w:t>
      </w:r>
      <w:r w:rsidRPr="00793478">
        <w:t>%</w:t>
      </w:r>
      <w:r>
        <w:t xml:space="preserve">, </w:t>
      </w:r>
      <w:r w:rsidRPr="00793478">
        <w:t>а для независимых компаний 55</w:t>
      </w:r>
      <w:r>
        <w:t xml:space="preserve">, </w:t>
      </w:r>
      <w:r w:rsidRPr="00793478">
        <w:t>17</w:t>
      </w:r>
      <w:r>
        <w:t xml:space="preserve"> </w:t>
      </w:r>
      <w:r w:rsidRPr="00793478">
        <w:t>%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Доля менеджеров в советах независимых компаний в 1</w:t>
      </w:r>
      <w:r>
        <w:t xml:space="preserve">, </w:t>
      </w:r>
      <w:r w:rsidRPr="00793478">
        <w:t>27 раза выше</w:t>
      </w:r>
      <w:r>
        <w:t xml:space="preserve">, </w:t>
      </w:r>
      <w:r w:rsidRPr="00793478">
        <w:t>чем в</w:t>
      </w:r>
      <w:r>
        <w:t xml:space="preserve"> </w:t>
      </w:r>
      <w:r w:rsidRPr="00793478">
        <w:t>группах. Доминирование внешних собственников в группах и отделение собственности от управления стимулировало большее присутствие акционеров-аутсайдеров в составе советов. Представители крупных внешних инвесторов в 1</w:t>
      </w:r>
      <w:r>
        <w:t xml:space="preserve">, </w:t>
      </w:r>
      <w:r w:rsidRPr="00793478">
        <w:t>23 раза чаще участвуют в советах интегрированных компаний</w:t>
      </w:r>
      <w:r>
        <w:t xml:space="preserve">, </w:t>
      </w:r>
      <w:r w:rsidRPr="00793478">
        <w:t>чем независимых. При этом основная доля внешних собственников выше в рядовых предприятиях группы</w:t>
      </w:r>
      <w:r>
        <w:t xml:space="preserve">, </w:t>
      </w:r>
      <w:r w:rsidRPr="00793478">
        <w:t>где сложилась модель внешнего корпоративного контроля.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Концентрация собственности в группе не позволяет портфельным инвесторам в полной мере представить свои интересы в контрольном органе. Занижена по сравнению с участием в собственности доля представителей институциональных инвесторов во всех компаниях: в 3</w:t>
      </w:r>
      <w:r>
        <w:t xml:space="preserve">, </w:t>
      </w:r>
      <w:r w:rsidRPr="00793478">
        <w:t>5 раза в независимых</w:t>
      </w:r>
      <w:r>
        <w:t xml:space="preserve">, </w:t>
      </w:r>
      <w:r w:rsidRPr="00793478">
        <w:t xml:space="preserve">в 4 раза в управляющих и более чем в 7 раз в рядовых предприятиях групп.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Диспропорция между структурой собственности и составом совета наблюдается также по участию государства в собственности и в совете директоров. В управляющих компаниях государственные представители встречаются в советах в</w:t>
      </w:r>
      <w:r>
        <w:t xml:space="preserve"> </w:t>
      </w:r>
      <w:r w:rsidRPr="00793478">
        <w:t>2 раза чаще</w:t>
      </w:r>
      <w:r>
        <w:t xml:space="preserve">, </w:t>
      </w:r>
      <w:r w:rsidRPr="00793478">
        <w:t>чем в независимых компаниях</w:t>
      </w:r>
      <w:r>
        <w:t xml:space="preserve">, </w:t>
      </w:r>
      <w:r w:rsidRPr="00793478">
        <w:t>в то время как по показателю участия государства в собственности превышение составляет 1</w:t>
      </w:r>
      <w:r>
        <w:t xml:space="preserve">, </w:t>
      </w:r>
      <w:r w:rsidRPr="00793478">
        <w:t>4 раза. Такая ситуация складывается за счет нескольких факторов. С одной стороны</w:t>
      </w:r>
      <w:r>
        <w:t xml:space="preserve">, </w:t>
      </w:r>
      <w:r w:rsidRPr="00793478">
        <w:t>в советах крупных холдингов государственные представители зачастую присутствуют как независимые директора. Это позволяет использовать связи чиновников для решения стратегических вопросов компании на уровне региона и федерации. С другой стороны</w:t>
      </w:r>
      <w:r>
        <w:t xml:space="preserve">, </w:t>
      </w:r>
      <w:r w:rsidRPr="00793478">
        <w:t xml:space="preserve">государство в большей степени заинтересовано в контроле над крупным бизнесом посредством имущественных и неимущественных механизмов.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Непростым является вопрос о том</w:t>
      </w:r>
      <w:r>
        <w:t xml:space="preserve">, </w:t>
      </w:r>
      <w:r w:rsidRPr="00793478">
        <w:t>каким образом государство использует совет для поддержания своих интересов как собственника. В компаниях с государственной собственностью</w:t>
      </w:r>
      <w:r>
        <w:t xml:space="preserve">, </w:t>
      </w:r>
      <w:r w:rsidRPr="00793478">
        <w:t>даже при наличии крупных внешних акционеров</w:t>
      </w:r>
      <w:r>
        <w:t xml:space="preserve">, </w:t>
      </w:r>
      <w:r w:rsidRPr="00793478">
        <w:t>большинство директоров — менеджеры компании. Во многом это связано с качеством работы представителей государства. По российскому законодательству государственные чиновники не могут получать за эту работу денежное вознаграждение</w:t>
      </w:r>
      <w:r>
        <w:t xml:space="preserve">, </w:t>
      </w:r>
      <w:r w:rsidRPr="00793478">
        <w:t>в</w:t>
      </w:r>
      <w:r>
        <w:t xml:space="preserve"> </w:t>
      </w:r>
      <w:r w:rsidRPr="00793478">
        <w:t>связи с этим прямые финансовые стимулы к эффективной агентской деятельности отсутствуют. В то же время государство поддерживает интересы миноритарных акционеров</w:t>
      </w:r>
      <w:r>
        <w:t xml:space="preserve">, </w:t>
      </w:r>
      <w:r w:rsidRPr="00793478">
        <w:t>что проявляется в более высоком проценте представителей институциональных инвесторов и банков как представителей миноритариев в советах (10</w:t>
      </w:r>
      <w:r>
        <w:t xml:space="preserve"> </w:t>
      </w:r>
      <w:r w:rsidRPr="00793478">
        <w:t>% от общего числа директоров в советах компаний с государственным участием против 5</w:t>
      </w:r>
      <w:r>
        <w:t xml:space="preserve">, </w:t>
      </w:r>
      <w:r w:rsidRPr="00793478">
        <w:t>66</w:t>
      </w:r>
      <w:r>
        <w:t xml:space="preserve"> </w:t>
      </w:r>
      <w:r w:rsidRPr="00793478">
        <w:t>% — в частных компаниях).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Отмечаемая в различных источниках низкая эффективность государственных чиновников в качестве директоров компаний с участием государства в собственности все чаще ставит вопрос о замене их на независимых директоров — выделенных профессионалов [11</w:t>
      </w:r>
      <w:r>
        <w:t xml:space="preserve">, </w:t>
      </w:r>
      <w:r w:rsidRPr="00793478">
        <w:t>16]. Если в частных компаниях независимые директора встречаются в 19</w:t>
      </w:r>
      <w:r>
        <w:t xml:space="preserve">, </w:t>
      </w:r>
      <w:r w:rsidRPr="00793478">
        <w:t>6</w:t>
      </w:r>
      <w:r>
        <w:t xml:space="preserve"> </w:t>
      </w:r>
      <w:r w:rsidRPr="00793478">
        <w:t>% случаев</w:t>
      </w:r>
      <w:r>
        <w:t xml:space="preserve">, </w:t>
      </w:r>
      <w:r w:rsidRPr="00793478">
        <w:t>то в компаниях с государственной собственностью этот показатель достигает 32</w:t>
      </w:r>
      <w:r>
        <w:t xml:space="preserve"> </w:t>
      </w:r>
      <w:r w:rsidRPr="00793478">
        <w:t>%. Такая разница наблюдается только при выделении компаний по признаку принадлежности государству. Даже корпоративная интеграция</w:t>
      </w:r>
      <w:r>
        <w:t xml:space="preserve">, </w:t>
      </w:r>
      <w:r w:rsidRPr="00793478">
        <w:t>играющая значимую роль в определении характера работы</w:t>
      </w:r>
      <w:r>
        <w:t xml:space="preserve">, </w:t>
      </w:r>
      <w:r w:rsidRPr="00793478">
        <w:t>не вызывает значительной разницы в использовании независимых директоров (положительное отклонение по сравнению с независимыми компаниями для группы составляет всего 1</w:t>
      </w:r>
      <w:r>
        <w:t xml:space="preserve"> </w:t>
      </w:r>
      <w:r w:rsidRPr="00793478">
        <w:t>%). В то же время некоторые респонденты отмечали отсутствие какого-либо реального эффекта от наличия независимых директоров в работе компании</w:t>
      </w:r>
      <w:r>
        <w:t xml:space="preserve">, </w:t>
      </w:r>
      <w:r w:rsidRPr="00793478">
        <w:t>что сводит роль этого инструмента скорее к выполнению требований на соответствие международным стандартам.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Факт несовпадения модели корпоративного контроля и модели совета директоров может свидетельствовать</w:t>
      </w:r>
      <w:r>
        <w:t xml:space="preserve">, </w:t>
      </w:r>
      <w:r w:rsidRPr="00793478">
        <w:t>с одной стороны</w:t>
      </w:r>
      <w:r>
        <w:t xml:space="preserve">, </w:t>
      </w:r>
      <w:r w:rsidRPr="00793478">
        <w:t>о том</w:t>
      </w:r>
      <w:r>
        <w:t xml:space="preserve">, </w:t>
      </w:r>
      <w:r w:rsidRPr="00793478">
        <w:t>что происходит объединение интересов внешних собственников с менеджментом через систему представительства в совете директоров; с другой стороны</w:t>
      </w:r>
      <w:r>
        <w:t xml:space="preserve">, </w:t>
      </w:r>
      <w:r w:rsidRPr="00793478">
        <w:t>это может свидетельствовать и о том</w:t>
      </w:r>
      <w:r>
        <w:t xml:space="preserve">, </w:t>
      </w:r>
      <w:r w:rsidRPr="00793478">
        <w:t>что крупные внешние собственники приводят с собой команду наемных менеджеров</w:t>
      </w:r>
      <w:r>
        <w:t xml:space="preserve">, </w:t>
      </w:r>
      <w:r w:rsidRPr="00793478">
        <w:t>которые участвуют в работе совета директоров для исключения вмешательства иных категорий акционеров.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Структура совета директоров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Обследование показало</w:t>
      </w:r>
      <w:r>
        <w:t xml:space="preserve">, </w:t>
      </w:r>
      <w:r w:rsidRPr="00793478">
        <w:t>что обычной практикой компаний является ситуация</w:t>
      </w:r>
      <w:r>
        <w:t xml:space="preserve">, </w:t>
      </w:r>
      <w:r w:rsidRPr="00793478">
        <w:t>когда в совет директоров предприятия входит 7 человек</w:t>
      </w:r>
      <w:r>
        <w:t xml:space="preserve">, </w:t>
      </w:r>
      <w:r w:rsidRPr="00793478">
        <w:t>причем с ростом размера предприятия растет и совет (от 5 человек до 15 максимально). Это не означает роста профессионализма и компетентности членов совета</w:t>
      </w:r>
      <w:r>
        <w:t xml:space="preserve">, </w:t>
      </w:r>
      <w:r w:rsidRPr="00793478">
        <w:t>а может быть вызвано значительным количеством топ-менеджмента и различных групп акционеров в</w:t>
      </w:r>
      <w:r>
        <w:t xml:space="preserve"> </w:t>
      </w:r>
      <w:r w:rsidRPr="00793478">
        <w:t>крупных компаниях. В то же время создание комитетов практически невозможно при минимальном числе директоров</w:t>
      </w:r>
      <w:r>
        <w:t xml:space="preserve">, </w:t>
      </w:r>
      <w:r w:rsidRPr="00793478">
        <w:t>однако это совсем не обязательно ведет к эффективной работе комитетов</w:t>
      </w:r>
      <w:r>
        <w:t xml:space="preserve">, </w:t>
      </w:r>
      <w:r w:rsidRPr="00793478">
        <w:t>а может быть следствием подготовки к эмиссии ценных бумаг или текущей фондовой активности компании.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Так</w:t>
      </w:r>
      <w:r>
        <w:t xml:space="preserve">, </w:t>
      </w:r>
      <w:r w:rsidRPr="00793478">
        <w:t>наиболее развита система комитетов в советах интегрированных компаний</w:t>
      </w:r>
      <w:r>
        <w:t xml:space="preserve">, </w:t>
      </w:r>
      <w:r w:rsidRPr="00793478">
        <w:t>наибольшее отличие от независимых АО демонстрируется в использовании комитета по стратегическому управлению (36</w:t>
      </w:r>
      <w:r>
        <w:t xml:space="preserve"> </w:t>
      </w:r>
      <w:r w:rsidRPr="00793478">
        <w:t>% положительных ответов против 24</w:t>
      </w:r>
      <w:r>
        <w:t xml:space="preserve"> </w:t>
      </w:r>
      <w:r w:rsidRPr="00793478">
        <w:t>%). Комитеты по аудиту</w:t>
      </w:r>
      <w:r>
        <w:t xml:space="preserve">, </w:t>
      </w:r>
      <w:r w:rsidRPr="00793478">
        <w:t>по кадрам и вознаграждениям и по корпоративному управлению получили практически одинаковое распространение. Можно предположить</w:t>
      </w:r>
      <w:r>
        <w:t xml:space="preserve">, </w:t>
      </w:r>
      <w:r w:rsidRPr="00793478">
        <w:t>что в холдингах стратегической функции совета отдается большее предпочтение. Это согласуется с большим вниманием к стратегическим вопросам в</w:t>
      </w:r>
      <w:r>
        <w:t xml:space="preserve"> </w:t>
      </w:r>
      <w:r w:rsidRPr="00793478">
        <w:t>крупных компаниях</w:t>
      </w:r>
      <w:r>
        <w:t xml:space="preserve">, </w:t>
      </w:r>
      <w:r w:rsidRPr="00793478">
        <w:t>ведущих активную инвестиционную деятельность.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 целом практика создания комитетов в совете директоров расширилась. Такая институционализация функций совета говорит</w:t>
      </w:r>
      <w:r>
        <w:t xml:space="preserve">, </w:t>
      </w:r>
      <w:r w:rsidRPr="00793478">
        <w:t>во-первых</w:t>
      </w:r>
      <w:r>
        <w:t xml:space="preserve">, </w:t>
      </w:r>
      <w:r w:rsidRPr="00793478">
        <w:t>о фактическом использовании совета как органа управления АО; во-вторых</w:t>
      </w:r>
      <w:r>
        <w:t xml:space="preserve">, </w:t>
      </w:r>
      <w:r w:rsidRPr="00793478">
        <w:t>о повышении специализации принятия решений</w:t>
      </w:r>
      <w:r>
        <w:t xml:space="preserve">, </w:t>
      </w:r>
      <w:r w:rsidRPr="00793478">
        <w:t>хотя не следует забывать и о третьей причине распространения комитетов — формальном следовании стандартам корпоративного поведения. Наибольшее распространение получили комитет по аудиту (36</w:t>
      </w:r>
      <w:r>
        <w:t xml:space="preserve"> </w:t>
      </w:r>
      <w:r w:rsidRPr="00793478">
        <w:t>% респондентов) и комитет по стратегическому управлению и финансам (26</w:t>
      </w:r>
      <w:r>
        <w:t xml:space="preserve"> </w:t>
      </w:r>
      <w:r w:rsidRPr="00793478">
        <w:t>%). В компаниях появилась тенденция к использованию комитета по аудиту в дополнение к</w:t>
      </w:r>
      <w:r>
        <w:t xml:space="preserve"> </w:t>
      </w:r>
      <w:r w:rsidRPr="00793478">
        <w:t>внешнему аудитору. Распространение комитета по стратегическому управлению и финансам отражает сущность деятельности совета директоров как контрольно-наблюдательного органа.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 компаниях с государственным участием практика использования комитетов в составе совета распространена значительно меньше: 54</w:t>
      </w:r>
      <w:r>
        <w:t xml:space="preserve">, </w:t>
      </w:r>
      <w:r w:rsidRPr="00793478">
        <w:t>5</w:t>
      </w:r>
      <w:r>
        <w:t xml:space="preserve"> </w:t>
      </w:r>
      <w:r w:rsidRPr="00793478">
        <w:t>% случаев против 69</w:t>
      </w:r>
      <w:r>
        <w:t xml:space="preserve">, </w:t>
      </w:r>
      <w:r w:rsidRPr="00793478">
        <w:t>8</w:t>
      </w:r>
      <w:r>
        <w:t xml:space="preserve"> </w:t>
      </w:r>
      <w:r w:rsidRPr="00793478">
        <w:t>% в частных акционерных обществах. Это может служить еще одним аргументом в</w:t>
      </w:r>
      <w:r>
        <w:t xml:space="preserve"> </w:t>
      </w:r>
      <w:r w:rsidRPr="00793478">
        <w:t>пользу низкой мотивации государственных представителей на эффективность работы советов.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На большинстве предприятий состав совета директоров за 2003—2005 гг. активно менялся</w:t>
      </w:r>
      <w:r>
        <w:t xml:space="preserve">, </w:t>
      </w:r>
      <w:r w:rsidRPr="00793478">
        <w:t xml:space="preserve">причем только за </w:t>
      </w:r>
      <w:smartTag w:uri="urn:schemas-microsoft-com:office:smarttags" w:element="metricconverter">
        <w:smartTagPr>
          <w:attr w:name="ProductID" w:val="2005 г"/>
        </w:smartTagPr>
        <w:r w:rsidRPr="00793478">
          <w:t>2005 г</w:t>
        </w:r>
      </w:smartTag>
      <w:r w:rsidRPr="00793478">
        <w:t>. смена состава происходила на 44 из 100 опрошенных компаний. Происходившие изменения были связаны как с экономическими (изменения структуры собственности</w:t>
      </w:r>
      <w:r>
        <w:t xml:space="preserve">, </w:t>
      </w:r>
      <w:r w:rsidRPr="00793478">
        <w:t>интеграционные процессы)</w:t>
      </w:r>
      <w:r>
        <w:t xml:space="preserve">, </w:t>
      </w:r>
      <w:r w:rsidRPr="00793478">
        <w:t>так и с</w:t>
      </w:r>
      <w:r>
        <w:t xml:space="preserve"> </w:t>
      </w:r>
      <w:r w:rsidRPr="00793478">
        <w:t>неэкономическими причинами (возраст</w:t>
      </w:r>
      <w:r>
        <w:t xml:space="preserve">, </w:t>
      </w:r>
      <w:r w:rsidRPr="00793478">
        <w:t>состояние здоровья</w:t>
      </w:r>
      <w:r>
        <w:t xml:space="preserve">, </w:t>
      </w:r>
      <w:r w:rsidRPr="00793478">
        <w:t>ротация акционерами своих представителей без изменения состава акционеров; смена представителей государства в силу политических изменений). Нестабильность состава совета директоров в большинстве случаев была связана с решением акционеров</w:t>
      </w:r>
      <w:r>
        <w:t xml:space="preserve">, </w:t>
      </w:r>
      <w:r w:rsidRPr="00793478">
        <w:t>что подчеркивает агентскую природу совета и интерес со стороны акционеров к этому механизму корпоративного управления.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Совмещение поста председателя совета и генерального директора встречается на 22</w:t>
      </w:r>
      <w:r>
        <w:t xml:space="preserve">, </w:t>
      </w:r>
      <w:r w:rsidRPr="00793478">
        <w:t>2</w:t>
      </w:r>
      <w:r>
        <w:t xml:space="preserve"> </w:t>
      </w:r>
      <w:r w:rsidRPr="00793478">
        <w:t>% АО выборки</w:t>
      </w:r>
      <w:r>
        <w:t xml:space="preserve">, </w:t>
      </w:r>
      <w:r w:rsidRPr="00793478">
        <w:t>что противоречит агентской природе совета. Председатель совета директоров в большинстве случаев так или иначе связан с предприятием: представитель головной организации</w:t>
      </w:r>
      <w:r>
        <w:t xml:space="preserve">, </w:t>
      </w:r>
      <w:r w:rsidRPr="00793478">
        <w:t>бывший руководитель предприятия. Советы директоров на стратегически важных и крупных предприятиях возглавляются представителями органов государственной власти.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Должность председателя совета директоров более чем в половине случаев занимал не сотрудник предприятия. Вместе с тем нельзя сказать</w:t>
      </w:r>
      <w:r>
        <w:t xml:space="preserve">, </w:t>
      </w:r>
      <w:r w:rsidRPr="00793478">
        <w:t>что совет директоров возглавляет «стороннее лицо». В ряде случаев во главе совета оказывается представитель структур</w:t>
      </w:r>
      <w:r>
        <w:t xml:space="preserve">, </w:t>
      </w:r>
      <w:r w:rsidRPr="00793478">
        <w:t>в доприватизационный период руководивших предприятием.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Советы директоров на стратегически важных и крупных предприятиях возглавляются представителями власти. Как правило</w:t>
      </w:r>
      <w:r>
        <w:t xml:space="preserve">, </w:t>
      </w:r>
      <w:r w:rsidRPr="00793478">
        <w:t>это непосредственно руководители департаментов региональных администраций по управлению государственным имуществом в ранге заместителя губернатора либо лица</w:t>
      </w:r>
      <w:r>
        <w:t xml:space="preserve">, </w:t>
      </w:r>
      <w:r w:rsidRPr="00793478">
        <w:t>непосредственно стоящие за ними в административной иерархии. Необходимо отметить</w:t>
      </w:r>
      <w:r>
        <w:t xml:space="preserve">, </w:t>
      </w:r>
      <w:r w:rsidRPr="00793478">
        <w:t>что смена председателя совета директоров на таких предприятиях увязана с особенностями политической жизни региона.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Процедурные вопросы работы совета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Наиболее распространенным режимом работы совета директоров являются ежеквартальные заседания либо заседания три раза в год. Эта практика распространена в целом по России. В то же время на 7</w:t>
      </w:r>
      <w:r>
        <w:t xml:space="preserve"> </w:t>
      </w:r>
      <w:r w:rsidRPr="00793478">
        <w:t>% ответивших предприятий заседания проходят раз в месяц. Однако число заседаний не отражает качества работы компаний. Респонденты сами отмечали формальность частых заседаний</w:t>
      </w:r>
      <w:r>
        <w:t xml:space="preserve">, </w:t>
      </w:r>
      <w:r w:rsidRPr="00793478">
        <w:t>которые проводятся заочно.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 случае контроля «кооператива менеджеров» и преобладания администрации предприятия в составе директоров заседания совета проводятся довольно редко. Многие респонденты отмечали</w:t>
      </w:r>
      <w:r>
        <w:t xml:space="preserve">, </w:t>
      </w:r>
      <w:r w:rsidRPr="00793478">
        <w:t>что решают вопросы без созыва совета</w:t>
      </w:r>
      <w:r>
        <w:t xml:space="preserve">, </w:t>
      </w:r>
      <w:r w:rsidRPr="00793478">
        <w:t>«в рабочем порядке». Есть случаи формального подхода к заседаниям совета директоров: «заседание Совета официально оформляем один-два раза в год</w:t>
      </w:r>
      <w:r>
        <w:t xml:space="preserve">, </w:t>
      </w:r>
      <w:r w:rsidRPr="00793478">
        <w:t>которые необходимы по Уставу</w:t>
      </w:r>
      <w:r>
        <w:t xml:space="preserve">, </w:t>
      </w:r>
      <w:r w:rsidRPr="00793478">
        <w:t>а так — обычные совещания». Вполне очевидно</w:t>
      </w:r>
      <w:r>
        <w:t xml:space="preserve">, </w:t>
      </w:r>
      <w:r w:rsidRPr="00793478">
        <w:t>что в этом случае совет директоров как институт корпоративного управления фактически не действует. Относительно частые факты заседаний совета существует в холдинговых структурах. При таком частом созыве совета этот орган более востребован в качестве координирующего инструмента для сложной системы управления холдингом. Можно предположить</w:t>
      </w:r>
      <w:r>
        <w:t xml:space="preserve">, </w:t>
      </w:r>
      <w:r w:rsidRPr="00793478">
        <w:t>что через членство в совете директоров руководителям холдингов удается выстроить властную вертикаль.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Роль совета как института корпоративного управления заключается в системе согласований позиций всех влияющих сторон по стратегическим вопросам. Один из респондентов назвал эту систему «заочным голосованием»: «А что касается внеочередных [заседаний]</w:t>
      </w:r>
      <w:r>
        <w:t xml:space="preserve">, </w:t>
      </w:r>
      <w:r w:rsidRPr="00793478">
        <w:t>бывает и заочное голосование</w:t>
      </w:r>
      <w:r>
        <w:t xml:space="preserve">, </w:t>
      </w:r>
      <w:r w:rsidRPr="00793478">
        <w:t>оно предусмотрено Уставом. Мы проводим заочное голосование</w:t>
      </w:r>
      <w:r>
        <w:t xml:space="preserve">, </w:t>
      </w:r>
      <w:r w:rsidRPr="00793478">
        <w:t>оно может проводиться быстро</w:t>
      </w:r>
      <w:r>
        <w:t xml:space="preserve">, </w:t>
      </w:r>
      <w:r w:rsidRPr="00793478">
        <w:t>если вопрос требует быстрого решения». Таким образом</w:t>
      </w:r>
      <w:r>
        <w:t xml:space="preserve">, </w:t>
      </w:r>
      <w:r w:rsidRPr="00793478">
        <w:t>менеджмент предприятия имеет возможность проводить удобные для себя решения практически без обсуждения с внешними акционерами</w:t>
      </w:r>
      <w:r>
        <w:t xml:space="preserve">, </w:t>
      </w:r>
      <w:r w:rsidRPr="00793478">
        <w:t xml:space="preserve">если среди внешних акционеров отсутствуют крупные инвесторы. Подобная практика присутствует в компаниях с блокирующим и меньшим пакетом в руках внешних собственников.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Режим предварительных договоренностей позволяет протекать заседаниям совета на большинстве предприятий неконфликтно. Как отметил один из респондентов</w:t>
      </w:r>
      <w:r>
        <w:t xml:space="preserve">, </w:t>
      </w:r>
      <w:r w:rsidRPr="00793478">
        <w:t>«практически проведение самого совета директоров — это формальная процедура</w:t>
      </w:r>
      <w:r>
        <w:t xml:space="preserve">, </w:t>
      </w:r>
      <w:r w:rsidRPr="00793478">
        <w:t>когда нужно принять решение. Если нужно принять решение по какому-то вопросу</w:t>
      </w:r>
      <w:r>
        <w:t xml:space="preserve">, </w:t>
      </w:r>
      <w:r w:rsidRPr="00793478">
        <w:t>мы созваниваемся</w:t>
      </w:r>
      <w:r>
        <w:t xml:space="preserve">, </w:t>
      </w:r>
      <w:r w:rsidRPr="00793478">
        <w:t>если нужно</w:t>
      </w:r>
      <w:r>
        <w:t xml:space="preserve">, </w:t>
      </w:r>
      <w:r w:rsidRPr="00793478">
        <w:t>пересылаем информацию. А потом мы делаем опросный лист</w:t>
      </w:r>
      <w:r>
        <w:t xml:space="preserve">, </w:t>
      </w:r>
      <w:r w:rsidRPr="00793478">
        <w:t>и совет директоров расписывается. Когда все расписались — решение принято». Один из респондентов — генеральный директор предприятия</w:t>
      </w:r>
      <w:r>
        <w:t xml:space="preserve"> </w:t>
      </w:r>
      <w:r w:rsidRPr="00793478">
        <w:t>— упомянул о нерациональности создания комитетов в совете директоров. Фактически необходимость такой институционализации отсутствует. «У нас нет вопросов</w:t>
      </w:r>
      <w:r>
        <w:t xml:space="preserve">, </w:t>
      </w:r>
      <w:r w:rsidRPr="00793478">
        <w:t>которые нужно решить только на совете. А все</w:t>
      </w:r>
      <w:r>
        <w:t xml:space="preserve">, </w:t>
      </w:r>
      <w:r w:rsidRPr="00793478">
        <w:t>кого я приглашаю на совещание</w:t>
      </w:r>
      <w:r>
        <w:t xml:space="preserve">, </w:t>
      </w:r>
      <w:r w:rsidRPr="00793478">
        <w:t>— члены совета директоров. Ну</w:t>
      </w:r>
      <w:r>
        <w:t xml:space="preserve">, </w:t>
      </w:r>
      <w:r w:rsidRPr="00793478">
        <w:t>немножко там дополнительных людей</w:t>
      </w:r>
      <w:r>
        <w:t xml:space="preserve">, </w:t>
      </w:r>
      <w:r w:rsidRPr="00793478">
        <w:t>но мы и на совет иногда приглашаем людей</w:t>
      </w:r>
      <w:r>
        <w:t xml:space="preserve">, </w:t>
      </w:r>
      <w:r w:rsidRPr="00793478">
        <w:t>которые не являются членами совета». Подобная ситуация возникает</w:t>
      </w:r>
      <w:r>
        <w:t xml:space="preserve">, </w:t>
      </w:r>
      <w:r w:rsidRPr="00793478">
        <w:t>когда «кооператив менеджеров-собственников» не встречает серьезного противовеса в структуре собственности в лице крупного частного инвестора.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Частота заседаний в советах независимых компаний и в группах различается незначительно</w:t>
      </w:r>
      <w:r>
        <w:t xml:space="preserve">, </w:t>
      </w:r>
      <w:r w:rsidRPr="00793478">
        <w:t>хотя в группах заседания проводятся более часто: 3–4 раза в год в</w:t>
      </w:r>
      <w:r>
        <w:t xml:space="preserve"> </w:t>
      </w:r>
      <w:r w:rsidRPr="00793478">
        <w:t>сравнении с независимыми компаниями</w:t>
      </w:r>
      <w:r>
        <w:t xml:space="preserve">, </w:t>
      </w:r>
      <w:r w:rsidRPr="00793478">
        <w:t>где частота составляет 2–3 раза в год. Как отмечали сами респонденты</w:t>
      </w:r>
      <w:r>
        <w:t xml:space="preserve">, </w:t>
      </w:r>
      <w:r w:rsidRPr="00793478">
        <w:t>на советы директоров в группах зачастую возлагаются функции координатора разрозненных действий компаний</w:t>
      </w:r>
      <w:r>
        <w:t xml:space="preserve">, </w:t>
      </w:r>
      <w:r w:rsidRPr="00793478">
        <w:t>чем объясняется частота созыва советов.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Растет число случаев введения должности корпоративного секретаря в компаниях выборки</w:t>
      </w:r>
      <w:r>
        <w:t xml:space="preserve">, </w:t>
      </w:r>
      <w:r w:rsidRPr="00793478">
        <w:t>причем наблюдается сильная корреляция с фактом вхождения в</w:t>
      </w:r>
      <w:r>
        <w:t xml:space="preserve"> </w:t>
      </w:r>
      <w:r w:rsidRPr="00793478">
        <w:t>группу и размером компании. В группах 41</w:t>
      </w:r>
      <w:r>
        <w:t xml:space="preserve"> </w:t>
      </w:r>
      <w:r w:rsidRPr="00793478">
        <w:t>% компаний положительно ответили на вопрос о наличии должности корпоративного секретаря</w:t>
      </w:r>
      <w:r>
        <w:t xml:space="preserve">, </w:t>
      </w:r>
      <w:r w:rsidRPr="00793478">
        <w:t>в то время как в независимых компаниях этот показатель равен 5</w:t>
      </w:r>
      <w:r>
        <w:t xml:space="preserve"> </w:t>
      </w:r>
      <w:r w:rsidRPr="00793478">
        <w:t>%. Подобная картина свидетельствует</w:t>
      </w:r>
      <w:r>
        <w:t xml:space="preserve">, </w:t>
      </w:r>
      <w:r w:rsidRPr="00793478">
        <w:t>на наш взгляд</w:t>
      </w:r>
      <w:r>
        <w:t xml:space="preserve">, </w:t>
      </w:r>
      <w:r w:rsidRPr="00793478">
        <w:t>о двух фактах: 1) об использовании секретаря для координации деятельности крупных советов (чаще должность секретаря бывает в крупных по составу советах); 2) об использовании секретаря как дополнительного инструмента координации работы группы посредством работы совета.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Такой подход к анализу измеряемых параметров работы совета</w:t>
      </w:r>
      <w:r>
        <w:t xml:space="preserve">, </w:t>
      </w:r>
      <w:r w:rsidRPr="00793478">
        <w:t>обусловленный информационной закрытостью и сложностью разделения эффекта от работы совета и менеджмента</w:t>
      </w:r>
      <w:r>
        <w:t xml:space="preserve">, </w:t>
      </w:r>
      <w:r w:rsidRPr="00793478">
        <w:t>позволил получить следующие выводы.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Существующая высокая концентрация собственности сохраняет за доминирующими менеджерами позиции в управлении компаниями. Даже при условии</w:t>
      </w:r>
      <w:r>
        <w:t xml:space="preserve">, </w:t>
      </w:r>
      <w:r w:rsidRPr="00793478">
        <w:t>что происходит формальное отделение собственника от оперативного управления компанией</w:t>
      </w:r>
      <w:r>
        <w:t xml:space="preserve">, </w:t>
      </w:r>
      <w:r w:rsidRPr="00793478">
        <w:t>вхождение крупного собственника в состав совета директоров не гарантирует использования данного механизма корпоративного управления для мониторинга и решения стратегических вопросов. Наиболее ярко это проявляется в случае собственности физических лиц.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Использование совета как органа исполнительного управления</w:t>
      </w:r>
      <w:r>
        <w:t xml:space="preserve">, </w:t>
      </w:r>
      <w:r w:rsidRPr="00793478">
        <w:t>а не как механизма корпоративного управления подтверждается как минимум еще двумя фактами: 1) тем</w:t>
      </w:r>
      <w:r>
        <w:t xml:space="preserve">, </w:t>
      </w:r>
      <w:r w:rsidRPr="00793478">
        <w:t>что акционерам-инсайдерам требуется меньший пакет акций для достижения реального доминирования в компании; 2) широким использованием советов в интегрированных структурах для координации работы группы.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В то же время модель концентрированной внешней собственности и растущая инвестиционная деятельность компаний создают тенденцию к улучшению параметров обеспечения эффективности работы советов отечественных компаний. Так</w:t>
      </w:r>
      <w:r>
        <w:t xml:space="preserve">, </w:t>
      </w:r>
      <w:r w:rsidRPr="00793478">
        <w:t>наличие в группе компаний реального отделения собственности от управления приводит к распространению комитетов и повышению качества принимаемых решений</w:t>
      </w:r>
      <w:r>
        <w:t xml:space="preserve">, </w:t>
      </w:r>
      <w:r w:rsidRPr="00793478">
        <w:t>а также усиливает контрольную функцию совета посредством роста сторонних директоров.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Государство как крупный внешний собственник слабо использует совет для защиты своих интересов во многом из-за низкой мотивации государственных представителей. Государство скорее нацелено на поддержание формальных требований передовой практики корпоративного управления и содействие сохранению законодательной национальной модели совета</w:t>
      </w:r>
      <w:r>
        <w:t xml:space="preserve">, </w:t>
      </w:r>
      <w:r w:rsidRPr="00793478">
        <w:t>ориентированной на дисперсную собственность. Это проявляется в относительном распространении в компаниях с</w:t>
      </w:r>
      <w:r>
        <w:t xml:space="preserve"> </w:t>
      </w:r>
      <w:r w:rsidRPr="00793478">
        <w:t>государственной собственностью независимых директоров и большем представительстве миноритарных акционеров в советах.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Заинтересованность в работе совета директоров проявляют крупные холдинговые структуры</w:t>
      </w:r>
      <w:r>
        <w:t xml:space="preserve">, </w:t>
      </w:r>
      <w:r w:rsidRPr="00793478">
        <w:t>используя совет в качестве дополнительного координирующего работу крупной структуры органа. Воля доминирующего акционера в холдингах не может быть реализована столь же непосредственно</w:t>
      </w:r>
      <w:r>
        <w:t xml:space="preserve">, </w:t>
      </w:r>
      <w:r w:rsidRPr="00793478">
        <w:t>как в независимых компаниях</w:t>
      </w:r>
      <w:r>
        <w:t xml:space="preserve">, </w:t>
      </w:r>
      <w:r w:rsidRPr="00793478">
        <w:t>без участия корпоративных посредников</w:t>
      </w:r>
      <w:r>
        <w:t xml:space="preserve">, </w:t>
      </w:r>
      <w:r w:rsidRPr="00793478">
        <w:t>коими выступает совет в холдинге.</w:t>
      </w:r>
    </w:p>
    <w:p w:rsidR="009F3E9F" w:rsidRPr="00FF090F" w:rsidRDefault="009F3E9F" w:rsidP="009F3E9F">
      <w:pPr>
        <w:spacing w:before="120"/>
        <w:jc w:val="center"/>
        <w:rPr>
          <w:b/>
          <w:sz w:val="28"/>
        </w:rPr>
      </w:pPr>
      <w:r w:rsidRPr="00FF090F">
        <w:rPr>
          <w:b/>
          <w:sz w:val="28"/>
        </w:rPr>
        <w:t>Примечания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 Одним из подтверждений неустойчивости имеющейся институциональной среды корпоративных отношений является высокая подвижность структуры собственности российских АО. Так</w:t>
      </w:r>
      <w:r>
        <w:t xml:space="preserve">, </w:t>
      </w:r>
      <w:r w:rsidRPr="00793478">
        <w:t>по данным РЭБ</w:t>
      </w:r>
      <w:r>
        <w:t xml:space="preserve">, </w:t>
      </w:r>
      <w:r w:rsidRPr="00793478">
        <w:t xml:space="preserve">в период с 1995 по </w:t>
      </w:r>
      <w:smartTag w:uri="urn:schemas-microsoft-com:office:smarttags" w:element="metricconverter">
        <w:smartTagPr>
          <w:attr w:name="ProductID" w:val="2003 г"/>
        </w:smartTagPr>
        <w:r w:rsidRPr="00793478">
          <w:t>2003 г</w:t>
        </w:r>
      </w:smartTag>
      <w:r w:rsidRPr="00793478">
        <w:t>. величина этого показателя колебалась около отметки 30</w:t>
      </w:r>
      <w:r>
        <w:t xml:space="preserve"> </w:t>
      </w:r>
      <w:r w:rsidRPr="00793478">
        <w:t>%. Другими словами</w:t>
      </w:r>
      <w:r>
        <w:t xml:space="preserve">, </w:t>
      </w:r>
      <w:r w:rsidRPr="00793478">
        <w:t>примерно 15</w:t>
      </w:r>
      <w:r>
        <w:t xml:space="preserve"> </w:t>
      </w:r>
      <w:r w:rsidRPr="00793478">
        <w:t>% акций типичного российского промышленного предприятия каждый год переходили из рук в руки [12</w:t>
      </w:r>
      <w:r>
        <w:t xml:space="preserve">, </w:t>
      </w:r>
      <w:r w:rsidRPr="00793478">
        <w:t xml:space="preserve">53–68]. </w:t>
      </w:r>
      <w:r w:rsidR="0086460D">
        <w:pict>
          <v:shape id="_x0000_i1031" type="#_x0000_t75" style="width:3in;height:3in"/>
        </w:pic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 xml:space="preserve">2 Исследования проводились при финансовой поддержке Московского общественного научного фонда в </w:t>
      </w:r>
      <w:smartTag w:uri="urn:schemas-microsoft-com:office:smarttags" w:element="metricconverter">
        <w:smartTagPr>
          <w:attr w:name="ProductID" w:val="2006 г"/>
        </w:smartTagPr>
        <w:r w:rsidRPr="00793478">
          <w:t>2006 г</w:t>
        </w:r>
      </w:smartTag>
      <w:r w:rsidRPr="00793478">
        <w:t xml:space="preserve">.; обработка данных была осуществлена при финансовой поддержке Московского научного фонда экономических исследований академика Н. П. Федоренко (2006) и HCF (2007). </w:t>
      </w:r>
      <w:r w:rsidR="0086460D">
        <w:pict>
          <v:shape id="_x0000_i1033" type="#_x0000_t75" style="width:3in;height:3in"/>
        </w:pic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3 Более подробно описание техники опроса</w:t>
      </w:r>
      <w:r>
        <w:t xml:space="preserve">, </w:t>
      </w:r>
      <w:r w:rsidRPr="00793478">
        <w:t>выборки и основных результатов опроса приведено в работах [23</w:t>
      </w:r>
      <w:r>
        <w:t xml:space="preserve">, </w:t>
      </w:r>
      <w:r w:rsidRPr="00793478">
        <w:t xml:space="preserve">24]. </w:t>
      </w:r>
      <w:r w:rsidR="0086460D">
        <w:pict>
          <v:shape id="_x0000_i1035" type="#_x0000_t75" style="width:3in;height:3in"/>
        </w:pict>
      </w:r>
    </w:p>
    <w:p w:rsidR="009F3E9F" w:rsidRPr="00FF090F" w:rsidRDefault="009F3E9F" w:rsidP="009F3E9F">
      <w:pPr>
        <w:spacing w:before="120"/>
        <w:jc w:val="center"/>
        <w:rPr>
          <w:b/>
          <w:sz w:val="28"/>
        </w:rPr>
      </w:pPr>
      <w:r w:rsidRPr="00FF090F">
        <w:rPr>
          <w:b/>
          <w:sz w:val="28"/>
        </w:rPr>
        <w:t>Список литературы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 xml:space="preserve">1. Авдашева С. Б. Российские холдинги: новые эмпирические свидетельства // Вопр. экономики. 2007. № 1.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2. Авдашева С. Б.</w:t>
      </w:r>
      <w:r>
        <w:t xml:space="preserve">, </w:t>
      </w:r>
      <w:r w:rsidRPr="00793478">
        <w:t>Долгопятова Т. Г.</w:t>
      </w:r>
      <w:r>
        <w:t xml:space="preserve">, </w:t>
      </w:r>
      <w:r w:rsidRPr="00793478">
        <w:t>Пляйнес Х. Корпоративное управление в АО с государственным участием: российские проблемы в контексте мирового опыта : Препринт WP1/2007. Сер. WP1. Институциональные проблемы российской экономики. М.</w:t>
      </w:r>
      <w:r>
        <w:t xml:space="preserve">, </w:t>
      </w:r>
      <w:r w:rsidRPr="00793478">
        <w:t xml:space="preserve">2007.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3. Верников А. Совет директоров и система корпоративного управления в российских банках // Управление и устойчивое развитие бизнеса: стратегическая роль совета директоров / под ред. И. В. Ивашковской. М.</w:t>
      </w:r>
      <w:r>
        <w:t xml:space="preserve">, </w:t>
      </w:r>
      <w:r w:rsidRPr="00793478">
        <w:t xml:space="preserve">2008.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4. Голикова В. В.</w:t>
      </w:r>
      <w:r>
        <w:t xml:space="preserve">, </w:t>
      </w:r>
      <w:r w:rsidRPr="00793478">
        <w:t>Долгопятова Т. Г.</w:t>
      </w:r>
      <w:r>
        <w:t xml:space="preserve">, </w:t>
      </w:r>
      <w:r w:rsidRPr="00793478">
        <w:t>Симачев Ю. В. и др. Инсайдеры</w:t>
      </w:r>
      <w:r>
        <w:t xml:space="preserve">, </w:t>
      </w:r>
      <w:r w:rsidRPr="00793478">
        <w:t>аутсайдеры и хорошее корпоративное управление: российский опыт // Конкурентоспособность и модернизация экономики / под ред. Е. Г. Ясина. М.</w:t>
      </w:r>
      <w:r>
        <w:t xml:space="preserve">, </w:t>
      </w:r>
      <w:r w:rsidRPr="00793478">
        <w:t xml:space="preserve">2004. Кн. 1.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5. Гуриев С. М.</w:t>
      </w:r>
      <w:r>
        <w:t xml:space="preserve">, </w:t>
      </w:r>
      <w:r w:rsidRPr="00793478">
        <w:t>Лазарева О. В.</w:t>
      </w:r>
      <w:r>
        <w:t xml:space="preserve">, </w:t>
      </w:r>
      <w:r w:rsidRPr="00793478">
        <w:t>Рачинский А. А. и др. Корпоративное управление в российской промышленности. М. : МОНФ ; АНО «Проекты для будущего»</w:t>
      </w:r>
      <w:r>
        <w:t xml:space="preserve">, </w:t>
      </w:r>
      <w:r w:rsidRPr="00793478">
        <w:t>2003. (Сер. Научные доклады: независимый экономический анализ. № 149).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 xml:space="preserve">6. Долгопятова Т. Модели и механизмы корпоративного контроля в российской промышленности (опыт эмпирического исследования) // Вопр. экономики. 2001. № 5.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7. Долгопятова Т. Собственность и корпоративный контроль в российских компаниях в условиях активизации интеграционных процессов // Рос. журн. менеджмента. 2004. Т. 2</w:t>
      </w:r>
      <w:r>
        <w:t xml:space="preserve">, </w:t>
      </w:r>
      <w:r w:rsidRPr="00793478">
        <w:t>№ 2.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8. Долгопятова Т. Концентрация акционерной собственности и развитие российских компаний (эмпирическое свидетельство) // Вопр. экономики. 2007. № 1.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9. Долгопятова Т. Г.</w:t>
      </w:r>
      <w:r>
        <w:t xml:space="preserve">, </w:t>
      </w:r>
      <w:r w:rsidRPr="00793478">
        <w:t>Уварова О. М. Эмпирический анализ организации корпоративного контроля в российских компаниях : препринт WP1/2007 / ГУ ВШЭ. М.</w:t>
      </w:r>
      <w:r>
        <w:t xml:space="preserve">, </w:t>
      </w:r>
      <w:r w:rsidRPr="00793478">
        <w:t>2007. (Сер. WP1. Институциональные проблемы российской экономики).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10. Ильичук К. В. Эконометрический анализ связи между структурой совета директоров и эффективностью предприятий в российской экономике : автореф. дис. … канд. экон. наук. М.</w:t>
      </w:r>
      <w:r>
        <w:t xml:space="preserve">, </w:t>
      </w:r>
      <w:r w:rsidRPr="00793478">
        <w:t>2007.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11. Исследование информационной прозрачности российских банков: непростое движение вперед / Standard&amp;Poor’s. М.</w:t>
      </w:r>
      <w:r>
        <w:t xml:space="preserve">, </w:t>
      </w:r>
      <w:r w:rsidRPr="00793478">
        <w:t>2008. URL: http://www.standardandpoors.ru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12. Капелюшников Р.</w:t>
      </w:r>
      <w:r>
        <w:t xml:space="preserve">, </w:t>
      </w:r>
      <w:r w:rsidRPr="00793478">
        <w:t>Демина Н. Влияние характеристик собственности на результаты экономической деятельности российских промышленных предприятий // Вопр. экономики. 2005. №</w:t>
      </w:r>
      <w:r>
        <w:t xml:space="preserve"> </w:t>
      </w:r>
      <w:r w:rsidRPr="00793478">
        <w:t>2.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13. Корпоративное управление и устойчивое развитие бизнеса: стратегическая роль совета директоров / под ред. И. В. Ивашковской. М.</w:t>
      </w:r>
      <w:r>
        <w:t xml:space="preserve">, </w:t>
      </w:r>
      <w:r w:rsidRPr="00793478">
        <w:t>2008.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14. Кочетыгов Ю. Рейтинги корпоративного управления Standard &amp; Poor’s: в фокусе совета директоров // Независимый директор : ежекварт. обзор. М.</w:t>
      </w:r>
      <w:r>
        <w:t xml:space="preserve">, </w:t>
      </w:r>
      <w:r w:rsidRPr="00793478">
        <w:t>2006. Осень.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15. Кузнецов П. В.</w:t>
      </w:r>
      <w:r>
        <w:t xml:space="preserve">, </w:t>
      </w:r>
      <w:r w:rsidRPr="00793478">
        <w:t xml:space="preserve">Муравьев А. А. Механизмы участия государства в управлении акционерными обществами государственной и смешанной форм собственности в России // Вестн. СПбГУ. 2002. Сер. 8. Вып. 1 (№ 8).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 xml:space="preserve">16. Национальный совет по корпоративному управлению. Национальный доклад по корпоративному управлению. Вып. </w:t>
      </w:r>
      <w:smartTag w:uri="urn:schemas-microsoft-com:office:smarttags" w:element="metricconverter">
        <w:smartTagPr>
          <w:attr w:name="ProductID" w:val="1. М"/>
        </w:smartTagPr>
        <w:r w:rsidRPr="00793478">
          <w:t>1. М</w:t>
        </w:r>
      </w:smartTag>
      <w:r w:rsidRPr="00793478">
        <w:t>.</w:t>
      </w:r>
      <w:r>
        <w:t xml:space="preserve">, </w:t>
      </w:r>
      <w:r w:rsidRPr="00793478">
        <w:t>2008.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17. Портрет Совета директоров российской компании как отражение концентрированной структуры собственности компаний и препятствий на пути развития корпоративного управления / Standard &amp; Poor’s. М.</w:t>
      </w:r>
      <w:r>
        <w:t xml:space="preserve">, </w:t>
      </w:r>
      <w:r w:rsidRPr="00793478">
        <w:t>2006. URL: http://www.standardandpoors.ru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18. Радыгин А. Д. Эволюция форм интеграции и управленческих моделей: опыт крупных российских корпораций и групп // Рос. журн. менеджмента. 2004. Т. 2</w:t>
      </w:r>
      <w:r>
        <w:t xml:space="preserve">, </w:t>
      </w:r>
      <w:r w:rsidRPr="00793478">
        <w:t xml:space="preserve">№ 4.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19. Радыгин А. Д.</w:t>
      </w:r>
      <w:r>
        <w:t xml:space="preserve">, </w:t>
      </w:r>
      <w:r w:rsidRPr="00793478">
        <w:t>Энтов Р. М. Корпоративное управление и защита прав собственности: эмпирический анализ и актуальные направления реформ // Научн. тр. ИЭПП. М.</w:t>
      </w:r>
      <w:r>
        <w:t xml:space="preserve">, </w:t>
      </w:r>
      <w:r w:rsidRPr="00793478">
        <w:t>2001. № 36.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20. Развитие спроса на правовое регулирование корпоративного управления в частном секторе. М. : МОНФ ; АНО «Проекты для будущего»</w:t>
      </w:r>
      <w:r>
        <w:t xml:space="preserve">, </w:t>
      </w:r>
      <w:r w:rsidRPr="00793478">
        <w:t>2003. (Сер. Научные доклады: независимый экономический анализ. № 149).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21. Российская корпорация: внутренняя организация</w:t>
      </w:r>
      <w:r>
        <w:t xml:space="preserve">, </w:t>
      </w:r>
      <w:r w:rsidRPr="00793478">
        <w:t>внешние взаимодействия</w:t>
      </w:r>
      <w:r>
        <w:t xml:space="preserve">, </w:t>
      </w:r>
      <w:r w:rsidRPr="00793478">
        <w:t>перспективы развития / под ред. Т. Г. Долгопятовой</w:t>
      </w:r>
      <w:r>
        <w:t xml:space="preserve">, </w:t>
      </w:r>
      <w:r w:rsidRPr="00793478">
        <w:t>И. Ивасаки</w:t>
      </w:r>
      <w:r>
        <w:t xml:space="preserve">, </w:t>
      </w:r>
      <w:r w:rsidRPr="00793478">
        <w:t>А. А. Яковлева. М.</w:t>
      </w:r>
      <w:r>
        <w:t xml:space="preserve">, </w:t>
      </w:r>
      <w:r w:rsidRPr="00793478">
        <w:t>2007.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22. Росстат. Россия в цифрах. 2005 : краткий стат. сб. М.</w:t>
      </w:r>
      <w:r>
        <w:t xml:space="preserve">, </w:t>
      </w:r>
      <w:r w:rsidRPr="00793478">
        <w:t>2005.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23. Ружанская Л. С.</w:t>
      </w:r>
      <w:r>
        <w:t xml:space="preserve">, </w:t>
      </w:r>
      <w:r w:rsidRPr="00793478">
        <w:t>Крутиков Д. В. Эволюция корпоративного поведения уральских корпораций: первые итоги исследовательского проекта // Инструменты анализа и управления переходными состояниями в экономике. Екатеринбург</w:t>
      </w:r>
      <w:r>
        <w:t xml:space="preserve">, </w:t>
      </w:r>
      <w:r w:rsidRPr="00793478">
        <w:t xml:space="preserve">2006.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24. Ружанская Л. С.</w:t>
      </w:r>
      <w:r>
        <w:t xml:space="preserve">, </w:t>
      </w:r>
      <w:r w:rsidRPr="00793478">
        <w:t>Крутиков Дм. В. Факторы повышения рыночной стоимости уральских компаний: проблемы практики и политики. М. : МОНФ; АНО «Проекты для будущего»</w:t>
      </w:r>
      <w:r>
        <w:t xml:space="preserve">, </w:t>
      </w:r>
      <w:r w:rsidRPr="00793478">
        <w:t>2006 (Сер. «Научные доклады: независимый экономический анализ. № 183).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25. Структурные изменения в российской промышленности / под ред. Е. Г. Ясина. М.</w:t>
      </w:r>
      <w:r>
        <w:t xml:space="preserve">, </w:t>
      </w:r>
      <w:r w:rsidRPr="00793478">
        <w:t xml:space="preserve">2004.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26. Структура и организация деятельности советов директоров российских ОАО / Россий-ский институт директоров. М.</w:t>
      </w:r>
      <w:r>
        <w:t xml:space="preserve">, </w:t>
      </w:r>
      <w:r w:rsidRPr="00793478">
        <w:t>2007. URL: http://www.rid.ru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27. Яковлев А. Спрос на право в сфере корпоративного управления: эволюция стратегий экономических агентов // Вопр. экономики. 2003. № 4.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Приложение 1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9"/>
        <w:gridCol w:w="1386"/>
        <w:gridCol w:w="1386"/>
        <w:gridCol w:w="1386"/>
        <w:gridCol w:w="1386"/>
        <w:gridCol w:w="1386"/>
        <w:gridCol w:w="1386"/>
        <w:gridCol w:w="1386"/>
        <w:gridCol w:w="1386"/>
      </w:tblGrid>
      <w:tr w:rsidR="009F3E9F" w:rsidRPr="00793478" w:rsidTr="0007754F">
        <w:trPr>
          <w:tblHeader/>
          <w:tblCellSpacing w:w="0" w:type="dxa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F" w:rsidRPr="00793478" w:rsidRDefault="009F3E9F" w:rsidP="0007754F">
            <w:r w:rsidRPr="00793478">
              <w:t>Структура акционерного капитала российских компаний (по данным обследований независимых организаций)</w:t>
            </w:r>
          </w:p>
        </w:tc>
      </w:tr>
      <w:tr w:rsidR="009F3E9F" w:rsidRPr="00793478" w:rsidTr="0007754F">
        <w:trPr>
          <w:tblHeader/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ГУ ВШЭ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ГУ ВШЭ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БЭА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РЭБ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 xml:space="preserve">ГУ ВШЭ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 xml:space="preserve">ИСЭПН РАН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РЭБ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ГУ ВШЭ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Группы акционеров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Доля в акционерном капитале</w:t>
            </w:r>
            <w:r>
              <w:t xml:space="preserve">, </w:t>
            </w:r>
            <w:r w:rsidRPr="00793478">
              <w:t>%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Доля в акционерном капитале</w:t>
            </w:r>
            <w:r>
              <w:t xml:space="preserve">, </w:t>
            </w:r>
            <w:r w:rsidRPr="00793478">
              <w:t>%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Доля в акционерном капитале</w:t>
            </w:r>
            <w:r>
              <w:t xml:space="preserve">, </w:t>
            </w:r>
            <w:r w:rsidRPr="00793478">
              <w:t>%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Доля в акционерном капитале</w:t>
            </w:r>
            <w:r>
              <w:t xml:space="preserve">, </w:t>
            </w:r>
            <w:r w:rsidRPr="00793478">
              <w:t>%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Доля в акционерном капитале</w:t>
            </w:r>
            <w:r>
              <w:t xml:space="preserve">, </w:t>
            </w:r>
            <w:r w:rsidRPr="00793478">
              <w:t>%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Доля в акционерном капитале</w:t>
            </w:r>
            <w:r>
              <w:t xml:space="preserve">, </w:t>
            </w:r>
            <w:r w:rsidRPr="00793478">
              <w:t>%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Доля в акционерном капитале</w:t>
            </w:r>
            <w:r>
              <w:t xml:space="preserve">, </w:t>
            </w:r>
            <w:r w:rsidRPr="00793478">
              <w:t>%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Доля в акционерном капитале</w:t>
            </w:r>
            <w:r>
              <w:t xml:space="preserve">, </w:t>
            </w:r>
            <w:r w:rsidRPr="00793478">
              <w:t>%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/>
        </w:tc>
        <w:tc>
          <w:tcPr>
            <w:tcW w:w="5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1995</w:t>
            </w:r>
          </w:p>
        </w:tc>
        <w:tc>
          <w:tcPr>
            <w:tcW w:w="5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1998</w:t>
            </w:r>
          </w:p>
        </w:tc>
        <w:tc>
          <w:tcPr>
            <w:tcW w:w="5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2000</w:t>
            </w:r>
          </w:p>
        </w:tc>
        <w:tc>
          <w:tcPr>
            <w:tcW w:w="216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Только промышленность</w:t>
            </w:r>
          </w:p>
        </w:tc>
        <w:tc>
          <w:tcPr>
            <w:tcW w:w="5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2004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/>
        </w:tc>
        <w:tc>
          <w:tcPr>
            <w:tcW w:w="5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/>
        </w:tc>
        <w:tc>
          <w:tcPr>
            <w:tcW w:w="5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/>
        </w:tc>
        <w:tc>
          <w:tcPr>
            <w:tcW w:w="5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/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2001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2001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2002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2003</w:t>
            </w:r>
          </w:p>
        </w:tc>
        <w:tc>
          <w:tcPr>
            <w:tcW w:w="5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/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Трудовой коллектив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42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31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52</w:t>
            </w:r>
            <w:r>
              <w:t xml:space="preserve">, </w:t>
            </w:r>
            <w:r w:rsidRPr="00793478">
              <w:t>5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48</w:t>
            </w:r>
            <w:r>
              <w:t xml:space="preserve">, </w:t>
            </w:r>
            <w:r w:rsidRPr="00793478">
              <w:t>2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38</w:t>
            </w:r>
            <w:r>
              <w:t xml:space="preserve">, </w:t>
            </w:r>
            <w:r w:rsidRPr="00793478">
              <w:t>7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31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21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Администрация предприятия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7</w:t>
            </w:r>
            <w:r>
              <w:t xml:space="preserve">, </w:t>
            </w:r>
            <w:r w:rsidRPr="00793478">
              <w:t>8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9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21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25</w:t>
            </w:r>
            <w:r>
              <w:t xml:space="preserve">, </w:t>
            </w:r>
            <w:r w:rsidRPr="00793478">
              <w:t>6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Федеральные органы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5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</w:t>
            </w:r>
            <w:r>
              <w:t xml:space="preserve">, </w:t>
            </w:r>
            <w:r w:rsidRPr="00793478">
              <w:t>6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7</w:t>
            </w:r>
            <w:r>
              <w:t xml:space="preserve">, </w:t>
            </w:r>
            <w:r w:rsidRPr="00793478">
              <w:t>9*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, </w:t>
            </w:r>
            <w:r w:rsidRPr="00793478">
              <w:t>3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</w:t>
            </w:r>
            <w:r>
              <w:t xml:space="preserve">, </w:t>
            </w:r>
            <w:r w:rsidRPr="00793478">
              <w:t>5**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</w:t>
            </w:r>
            <w:r>
              <w:t xml:space="preserve">, </w:t>
            </w:r>
            <w:r w:rsidRPr="00793478">
              <w:t>7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Региональные и муниципальные органы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</w:t>
            </w:r>
            <w:r>
              <w:t xml:space="preserve">, </w:t>
            </w:r>
            <w:r w:rsidRPr="00793478">
              <w:t>6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, </w:t>
            </w:r>
            <w:r w:rsidRPr="00793478">
              <w:t>8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, </w:t>
            </w:r>
            <w:r w:rsidRPr="00793478">
              <w:t>6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5</w:t>
            </w:r>
            <w:r>
              <w:t xml:space="preserve">, </w:t>
            </w:r>
            <w:r w:rsidRPr="00793478">
              <w:t>4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  <w:r>
              <w:t xml:space="preserve">, </w:t>
            </w:r>
            <w:r w:rsidRPr="00793478">
              <w:t>9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Иностранные инвесторы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  <w:r>
              <w:t xml:space="preserve">, </w:t>
            </w:r>
            <w:r w:rsidRPr="00793478">
              <w:t>8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, </w:t>
            </w:r>
            <w:r w:rsidRPr="00793478">
              <w:t>7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, </w:t>
            </w:r>
            <w:r w:rsidRPr="00793478">
              <w:t>9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4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</w:t>
            </w:r>
            <w:r>
              <w:t xml:space="preserve">, </w:t>
            </w:r>
            <w:r w:rsidRPr="00793478">
              <w:t>6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Российские банки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  <w:r>
              <w:t xml:space="preserve">, </w:t>
            </w:r>
            <w:r w:rsidRPr="00793478">
              <w:t>6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  <w:r>
              <w:t xml:space="preserve">, </w:t>
            </w:r>
            <w:r w:rsidRPr="00793478">
              <w:t>3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</w:t>
            </w:r>
            <w:r>
              <w:t xml:space="preserve">, </w:t>
            </w:r>
            <w:r w:rsidRPr="00793478">
              <w:t>5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7</w:t>
            </w:r>
            <w:r>
              <w:t xml:space="preserve">, </w:t>
            </w:r>
            <w:r w:rsidRPr="00793478">
              <w:t>3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, </w:t>
            </w:r>
            <w:r w:rsidRPr="00793478">
              <w:t>8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9</w:t>
            </w:r>
            <w:r>
              <w:t xml:space="preserve">, </w:t>
            </w:r>
            <w:r w:rsidRPr="00793478">
              <w:t>5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  <w:r>
              <w:t xml:space="preserve">, </w:t>
            </w:r>
            <w:r w:rsidRPr="00793478">
              <w:t>5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Российские инвестиционные компании</w:t>
            </w:r>
            <w:r>
              <w:t xml:space="preserve">, </w:t>
            </w:r>
            <w:r w:rsidRPr="00793478">
              <w:t>фонды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9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11</w:t>
            </w:r>
            <w:r>
              <w:t xml:space="preserve">, </w:t>
            </w:r>
            <w:r w:rsidRPr="00793478">
              <w:t>8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, </w:t>
            </w:r>
            <w:r w:rsidRPr="00793478">
              <w:t>7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Промышленные предприятия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12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13</w:t>
            </w:r>
            <w:r>
              <w:t xml:space="preserve">, </w:t>
            </w:r>
            <w:r w:rsidRPr="00793478">
              <w:t>9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15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11</w:t>
            </w:r>
            <w:r>
              <w:t xml:space="preserve">, </w:t>
            </w:r>
            <w:r w:rsidRPr="00793478">
              <w:t>3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26</w:t>
            </w:r>
            <w:r>
              <w:t xml:space="preserve">, </w:t>
            </w:r>
            <w:r w:rsidRPr="00793478">
              <w:t>9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22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14</w:t>
            </w:r>
            <w:r>
              <w:t xml:space="preserve">, </w:t>
            </w:r>
            <w:r w:rsidRPr="00793478">
              <w:t>3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13</w:t>
            </w:r>
            <w:r>
              <w:t xml:space="preserve">, </w:t>
            </w:r>
            <w:r w:rsidRPr="00793478">
              <w:t>7**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Физические лица</w:t>
            </w:r>
            <w:r>
              <w:t xml:space="preserve">, </w:t>
            </w:r>
            <w:r w:rsidRPr="00793478">
              <w:t>не работающие на предприятии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13</w:t>
            </w:r>
            <w:r>
              <w:t xml:space="preserve">, </w:t>
            </w:r>
            <w:r w:rsidRPr="00793478">
              <w:t>5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18</w:t>
            </w:r>
            <w:r>
              <w:t xml:space="preserve">, </w:t>
            </w:r>
            <w:r w:rsidRPr="00793478">
              <w:t>6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19</w:t>
            </w:r>
            <w:r>
              <w:t xml:space="preserve">, </w:t>
            </w:r>
            <w:r w:rsidRPr="00793478">
              <w:t>3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25</w:t>
            </w:r>
            <w:r>
              <w:t xml:space="preserve">, </w:t>
            </w:r>
            <w:r w:rsidRPr="00793478">
              <w:t>3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20</w:t>
            </w:r>
            <w:r>
              <w:t xml:space="preserve">, </w:t>
            </w:r>
            <w:r w:rsidRPr="00793478">
              <w:t>7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14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20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34</w:t>
            </w:r>
            <w:r>
              <w:t xml:space="preserve">, </w:t>
            </w:r>
            <w:r w:rsidRPr="00793478">
              <w:t>8***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Другие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, </w:t>
            </w:r>
            <w:r w:rsidRPr="00793478">
              <w:t>6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, </w:t>
            </w:r>
            <w:r w:rsidRPr="00793478">
              <w:t>2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5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—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8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Выборка АО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260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260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350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150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243</w:t>
            </w:r>
            <w:r>
              <w:t xml:space="preserve">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Оборонные АО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102</w:t>
            </w:r>
            <w:r>
              <w:t xml:space="preserve">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698–720</w:t>
            </w:r>
            <w:r>
              <w:t xml:space="preserve"> </w:t>
            </w:r>
          </w:p>
        </w:tc>
      </w:tr>
    </w:tbl>
    <w:p w:rsidR="009F3E9F" w:rsidRPr="00793478" w:rsidRDefault="009F3E9F" w:rsidP="009F3E9F">
      <w:pPr>
        <w:spacing w:before="120"/>
        <w:ind w:firstLine="567"/>
        <w:jc w:val="both"/>
      </w:pPr>
      <w:r>
        <w:t xml:space="preserve">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* — все акции без выделения уровней; ** — крупные нефинансовые предприятия; *** — крупные физические лица.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Примечание. ГУ ВШЭ — Государственный университет Высшая школа экономики; БЭА — Бюро экономического анализа; РЭБ — независимый аналитический центр «Российский экономический барометр»; ИСЭПН РАН — Институт социально-экономических проблем народонаселения РАН.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Приложение 2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Характеристики выборки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Таблица 1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8"/>
        <w:gridCol w:w="933"/>
        <w:gridCol w:w="1083"/>
        <w:gridCol w:w="1083"/>
        <w:gridCol w:w="1081"/>
      </w:tblGrid>
      <w:tr w:rsidR="009F3E9F" w:rsidRPr="00793478" w:rsidTr="0007754F">
        <w:trPr>
          <w:tblHeader/>
          <w:tblCellSpacing w:w="0" w:type="dxa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F" w:rsidRPr="00793478" w:rsidRDefault="009F3E9F" w:rsidP="0007754F">
            <w:r w:rsidRPr="00793478">
              <w:t>Распределение предприятий по отраслям промышленности: сопоставление статистических данных и обследования предприятий</w:t>
            </w:r>
            <w:r>
              <w:t xml:space="preserve">, </w:t>
            </w:r>
            <w:r w:rsidRPr="00793478">
              <w:t>% к числу предприятий*</w:t>
            </w:r>
          </w:p>
        </w:tc>
      </w:tr>
      <w:tr w:rsidR="009F3E9F" w:rsidRPr="00793478" w:rsidTr="0007754F">
        <w:trPr>
          <w:tblHeader/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Отрасль промышленности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Топливно-энергетический комплекс</w:t>
            </w:r>
            <w:r>
              <w:t xml:space="preserve"> 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, </w:t>
            </w:r>
            <w:r w:rsidRPr="00793478">
              <w:t>9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, </w:t>
            </w:r>
            <w:r w:rsidRPr="00793478">
              <w:t>8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, </w:t>
            </w:r>
            <w:r w:rsidRPr="00793478">
              <w:t>2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Металлургия (черная и цветная)</w:t>
            </w:r>
            <w:r>
              <w:t xml:space="preserve"> 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21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</w:t>
            </w:r>
            <w:r>
              <w:t xml:space="preserve">, </w:t>
            </w:r>
            <w:r w:rsidRPr="00793478">
              <w:t>3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Машиностроение и металлообработка</w:t>
            </w:r>
            <w:r>
              <w:t xml:space="preserve"> 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23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32</w:t>
            </w:r>
            <w:r>
              <w:t xml:space="preserve">, </w:t>
            </w:r>
            <w:r w:rsidRPr="00793478">
              <w:t>4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32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36</w:t>
            </w:r>
            <w:r>
              <w:t xml:space="preserve">, </w:t>
            </w:r>
            <w:r w:rsidRPr="00793478">
              <w:t>5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Химическая и нефтехимическая промышленность</w:t>
            </w:r>
            <w:r>
              <w:t xml:space="preserve"> 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5</w:t>
            </w:r>
            <w:r>
              <w:t xml:space="preserve">, </w:t>
            </w:r>
            <w:r w:rsidRPr="00793478">
              <w:t>7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5</w:t>
            </w:r>
            <w:r>
              <w:t xml:space="preserve">, </w:t>
            </w:r>
            <w:r w:rsidRPr="00793478">
              <w:t>2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6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Лесная</w:t>
            </w:r>
            <w:r>
              <w:t xml:space="preserve">, </w:t>
            </w:r>
            <w:r w:rsidRPr="00793478">
              <w:t>целлюлозно-бумажная и дерево-обрабатывающая промышленность</w:t>
            </w:r>
            <w:r>
              <w:t xml:space="preserve"> 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15</w:t>
            </w:r>
            <w:r>
              <w:t xml:space="preserve">, </w:t>
            </w:r>
            <w:r w:rsidRPr="00793478">
              <w:t>3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15</w:t>
            </w:r>
            <w:r>
              <w:t xml:space="preserve">, </w:t>
            </w:r>
            <w:r w:rsidRPr="00793478">
              <w:t>4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17</w:t>
            </w:r>
            <w:r>
              <w:t xml:space="preserve">, </w:t>
            </w:r>
            <w:r w:rsidRPr="00793478">
              <w:t>5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Легкая промышленность</w:t>
            </w:r>
            <w:r>
              <w:t xml:space="preserve"> 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6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9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10</w:t>
            </w:r>
            <w:r>
              <w:t xml:space="preserve">, </w:t>
            </w:r>
            <w:r w:rsidRPr="00793478">
              <w:t>4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Пищевая промышленность</w:t>
            </w:r>
            <w:r>
              <w:t xml:space="preserve"> 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19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15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15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17</w:t>
            </w:r>
            <w:r>
              <w:t xml:space="preserve">, </w:t>
            </w:r>
            <w:r w:rsidRPr="00793478">
              <w:t>2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Строительство</w:t>
            </w:r>
            <w:r>
              <w:t xml:space="preserve">, </w:t>
            </w:r>
            <w:r w:rsidRPr="00793478">
              <w:t>промышленность строительных материалов</w:t>
            </w:r>
            <w:r>
              <w:t xml:space="preserve"> 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13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19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6</w:t>
            </w:r>
            <w:r>
              <w:t xml:space="preserve">, </w:t>
            </w:r>
            <w:r w:rsidRPr="00793478">
              <w:t>2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7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28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Прочие отрасли</w:t>
            </w:r>
            <w:r>
              <w:t xml:space="preserve"> 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10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</w:t>
            </w:r>
            <w:r>
              <w:t xml:space="preserve">, </w:t>
            </w:r>
            <w:r w:rsidRPr="00793478">
              <w:t>6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12</w:t>
            </w:r>
            <w:r>
              <w:t xml:space="preserve">, </w:t>
            </w:r>
            <w:r w:rsidRPr="00793478">
              <w:t>1</w:t>
            </w:r>
            <w: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0</w:t>
            </w:r>
            <w:r>
              <w:t xml:space="preserve"> </w:t>
            </w:r>
          </w:p>
        </w:tc>
      </w:tr>
    </w:tbl>
    <w:p w:rsidR="009F3E9F" w:rsidRPr="00793478" w:rsidRDefault="009F3E9F" w:rsidP="009F3E9F">
      <w:pPr>
        <w:spacing w:before="120"/>
        <w:ind w:firstLine="567"/>
        <w:jc w:val="both"/>
      </w:pPr>
      <w:r>
        <w:t xml:space="preserve"> 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 xml:space="preserve">* Источник: данные на конец </w:t>
      </w:r>
      <w:smartTag w:uri="urn:schemas-microsoft-com:office:smarttags" w:element="metricconverter">
        <w:smartTagPr>
          <w:attr w:name="ProductID" w:val="2004 г"/>
        </w:smartTagPr>
        <w:r w:rsidRPr="00793478">
          <w:t>2004 г</w:t>
        </w:r>
      </w:smartTag>
      <w:r w:rsidRPr="00793478">
        <w:t>. [22</w:t>
      </w:r>
      <w:r>
        <w:t xml:space="preserve">, </w:t>
      </w:r>
      <w:r w:rsidRPr="00793478">
        <w:t>185–205]. Расчет в графе 2 сделан по генеральной выборке промышленных предприятий в Уральском федеральном округе</w:t>
      </w:r>
      <w:r>
        <w:t xml:space="preserve">, </w:t>
      </w:r>
      <w:r w:rsidRPr="00793478">
        <w:t xml:space="preserve">в графе 3 — применительно ко всем 151 тыс. отчитавшихся в </w:t>
      </w:r>
      <w:smartTag w:uri="urn:schemas-microsoft-com:office:smarttags" w:element="metricconverter">
        <w:smartTagPr>
          <w:attr w:name="ProductID" w:val="2004 г"/>
        </w:smartTagPr>
        <w:r w:rsidRPr="00793478">
          <w:t>2004 г</w:t>
        </w:r>
      </w:smartTag>
      <w:r w:rsidRPr="00793478">
        <w:t>. предприятий промышленности</w:t>
      </w:r>
      <w:r>
        <w:t xml:space="preserve">, </w:t>
      </w:r>
      <w:r w:rsidRPr="00793478">
        <w:t>а в графе 4 — применительно к 136 тыс. предприятий</w:t>
      </w:r>
      <w:r>
        <w:t xml:space="preserve">, </w:t>
      </w:r>
      <w:r w:rsidRPr="00793478">
        <w:t>включенных в выборку отраслей промышленности.</w:t>
      </w:r>
    </w:p>
    <w:p w:rsidR="009F3E9F" w:rsidRPr="00793478" w:rsidRDefault="009F3E9F" w:rsidP="009F3E9F">
      <w:pPr>
        <w:spacing w:before="120"/>
        <w:ind w:firstLine="567"/>
        <w:jc w:val="both"/>
      </w:pPr>
      <w:r w:rsidRPr="00793478">
        <w:t>Таблица 2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9"/>
        <w:gridCol w:w="3429"/>
      </w:tblGrid>
      <w:tr w:rsidR="009F3E9F" w:rsidRPr="00793478" w:rsidTr="0007754F">
        <w:trPr>
          <w:tblHeader/>
          <w:tblCellSpacing w:w="0" w:type="dxa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F" w:rsidRPr="00793478" w:rsidRDefault="009F3E9F" w:rsidP="0007754F">
            <w:r w:rsidRPr="00793478">
              <w:t>Среднесписочная численность работников предприятий</w:t>
            </w:r>
            <w:r>
              <w:t xml:space="preserve">, </w:t>
            </w:r>
            <w:r w:rsidRPr="00793478">
              <w:t>принявших участие в обследовании</w:t>
            </w:r>
            <w:r>
              <w:t xml:space="preserve">, </w:t>
            </w:r>
            <w:r w:rsidRPr="00793478">
              <w:t>%</w:t>
            </w:r>
          </w:p>
        </w:tc>
      </w:tr>
      <w:tr w:rsidR="009F3E9F" w:rsidRPr="00793478" w:rsidTr="0007754F">
        <w:trPr>
          <w:tblHeader/>
          <w:tblCellSpacing w:w="0" w:type="dxa"/>
        </w:trPr>
        <w:tc>
          <w:tcPr>
            <w:tcW w:w="32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Среднесписочная численность</w:t>
            </w:r>
            <w:r>
              <w:t xml:space="preserve">, </w:t>
            </w:r>
            <w:r w:rsidRPr="00793478">
              <w:t>чел.</w:t>
            </w:r>
          </w:p>
        </w:tc>
        <w:tc>
          <w:tcPr>
            <w:tcW w:w="1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Доля выборки</w:t>
            </w:r>
            <w:r>
              <w:t xml:space="preserve">, </w:t>
            </w:r>
            <w:r w:rsidRPr="00793478">
              <w:t>%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32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100-299</w:t>
            </w:r>
            <w:r>
              <w:t xml:space="preserve"> </w:t>
            </w:r>
          </w:p>
        </w:tc>
        <w:tc>
          <w:tcPr>
            <w:tcW w:w="1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25</w:t>
            </w:r>
            <w:r>
              <w:t xml:space="preserve">, </w:t>
            </w:r>
            <w:r w:rsidRPr="00793478">
              <w:t>86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32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300–599</w:t>
            </w:r>
            <w:r>
              <w:t xml:space="preserve"> </w:t>
            </w:r>
          </w:p>
        </w:tc>
        <w:tc>
          <w:tcPr>
            <w:tcW w:w="1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6</w:t>
            </w:r>
            <w:r>
              <w:t xml:space="preserve">, </w:t>
            </w:r>
            <w:r w:rsidRPr="00793478">
              <w:t>45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32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600–999</w:t>
            </w:r>
            <w:r>
              <w:t xml:space="preserve"> </w:t>
            </w:r>
          </w:p>
        </w:tc>
        <w:tc>
          <w:tcPr>
            <w:tcW w:w="1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6</w:t>
            </w:r>
            <w:r>
              <w:t xml:space="preserve">, </w:t>
            </w:r>
            <w:r w:rsidRPr="00793478">
              <w:t>45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32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1000–2999</w:t>
            </w:r>
            <w:r>
              <w:t xml:space="preserve"> </w:t>
            </w:r>
          </w:p>
        </w:tc>
        <w:tc>
          <w:tcPr>
            <w:tcW w:w="1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41</w:t>
            </w:r>
            <w:r>
              <w:t xml:space="preserve">, </w:t>
            </w:r>
            <w:r w:rsidRPr="00793478">
              <w:t>94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32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3000 и более</w:t>
            </w:r>
            <w:r>
              <w:t xml:space="preserve"> </w:t>
            </w:r>
          </w:p>
        </w:tc>
        <w:tc>
          <w:tcPr>
            <w:tcW w:w="1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19</w:t>
            </w:r>
            <w:r>
              <w:t xml:space="preserve">, </w:t>
            </w:r>
            <w:r w:rsidRPr="00793478">
              <w:t>35</w:t>
            </w:r>
            <w:r>
              <w:t xml:space="preserve"> </w:t>
            </w:r>
          </w:p>
        </w:tc>
      </w:tr>
      <w:tr w:rsidR="009F3E9F" w:rsidRPr="00793478" w:rsidTr="0007754F">
        <w:trPr>
          <w:tblCellSpacing w:w="0" w:type="dxa"/>
        </w:trPr>
        <w:tc>
          <w:tcPr>
            <w:tcW w:w="32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Всего</w:t>
            </w:r>
            <w:r>
              <w:t xml:space="preserve"> </w:t>
            </w:r>
          </w:p>
        </w:tc>
        <w:tc>
          <w:tcPr>
            <w:tcW w:w="1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3E9F" w:rsidRPr="00793478" w:rsidRDefault="009F3E9F" w:rsidP="0007754F">
            <w:r w:rsidRPr="00793478">
              <w:t>100</w:t>
            </w:r>
            <w:r>
              <w:t xml:space="preserve">, </w:t>
            </w:r>
            <w:r w:rsidRPr="00793478">
              <w:t>00</w:t>
            </w:r>
            <w:r>
              <w:t xml:space="preserve"> </w:t>
            </w:r>
          </w:p>
        </w:tc>
      </w:tr>
    </w:tbl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C11E3"/>
    <w:multiLevelType w:val="multilevel"/>
    <w:tmpl w:val="3E383D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19"/>
        </w:tabs>
        <w:ind w:left="1219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1">
    <w:nsid w:val="1B7171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E554CA6"/>
    <w:multiLevelType w:val="multilevel"/>
    <w:tmpl w:val="5F220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4E588A"/>
    <w:multiLevelType w:val="multilevel"/>
    <w:tmpl w:val="F4980E4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2160"/>
      </w:pPr>
      <w:rPr>
        <w:rFonts w:cs="Times New Roman" w:hint="default"/>
      </w:rPr>
    </w:lvl>
  </w:abstractNum>
  <w:abstractNum w:abstractNumId="4">
    <w:nsid w:val="2A65119E"/>
    <w:multiLevelType w:val="hybridMultilevel"/>
    <w:tmpl w:val="3B8CD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6738A8"/>
    <w:multiLevelType w:val="hybridMultilevel"/>
    <w:tmpl w:val="CEBC76E6"/>
    <w:lvl w:ilvl="0" w:tplc="CA7A60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1B3D9F"/>
    <w:multiLevelType w:val="hybridMultilevel"/>
    <w:tmpl w:val="5818F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C3197"/>
    <w:multiLevelType w:val="hybridMultilevel"/>
    <w:tmpl w:val="543A9D22"/>
    <w:lvl w:ilvl="0" w:tplc="0419000F">
      <w:start w:val="1"/>
      <w:numFmt w:val="decimal"/>
      <w:lvlText w:val="%1."/>
      <w:lvlJc w:val="left"/>
      <w:pPr>
        <w:ind w:left="23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>
    <w:nsid w:val="4CE375CA"/>
    <w:multiLevelType w:val="hybridMultilevel"/>
    <w:tmpl w:val="C908C6C0"/>
    <w:lvl w:ilvl="0" w:tplc="E4C26C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1A270F2"/>
    <w:multiLevelType w:val="hybridMultilevel"/>
    <w:tmpl w:val="EAFE9A64"/>
    <w:lvl w:ilvl="0" w:tplc="9926F14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2D27F95"/>
    <w:multiLevelType w:val="hybridMultilevel"/>
    <w:tmpl w:val="915CEC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164920"/>
    <w:multiLevelType w:val="hybridMultilevel"/>
    <w:tmpl w:val="3160A438"/>
    <w:lvl w:ilvl="0" w:tplc="0419000F">
      <w:start w:val="1"/>
      <w:numFmt w:val="decimal"/>
      <w:lvlText w:val="%1."/>
      <w:lvlJc w:val="left"/>
      <w:pPr>
        <w:ind w:left="33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4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  <w:rPr>
        <w:rFonts w:cs="Times New Roman"/>
      </w:rPr>
    </w:lvl>
  </w:abstractNum>
  <w:abstractNum w:abstractNumId="12">
    <w:nsid w:val="628F5489"/>
    <w:multiLevelType w:val="hybridMultilevel"/>
    <w:tmpl w:val="C5C46794"/>
    <w:lvl w:ilvl="0" w:tplc="BFA6E2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CB47E77"/>
    <w:multiLevelType w:val="multilevel"/>
    <w:tmpl w:val="D62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7DE585E"/>
    <w:multiLevelType w:val="hybridMultilevel"/>
    <w:tmpl w:val="3B00C64C"/>
    <w:lvl w:ilvl="0" w:tplc="EAF0B9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9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  <w:num w:numId="13">
    <w:abstractNumId w:val="2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E9F"/>
    <w:rsid w:val="0007754F"/>
    <w:rsid w:val="001A35F6"/>
    <w:rsid w:val="002F6CF6"/>
    <w:rsid w:val="00793478"/>
    <w:rsid w:val="00811DD4"/>
    <w:rsid w:val="0086460D"/>
    <w:rsid w:val="009F3E9F"/>
    <w:rsid w:val="00FF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D9005396-D77B-4961-8104-F2137B13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9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F3E9F"/>
    <w:pPr>
      <w:spacing w:before="100" w:beforeAutospacing="1" w:after="100" w:afterAutospacing="1" w:line="350" w:lineRule="atLeast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9F3E9F"/>
    <w:pPr>
      <w:keepNext/>
      <w:spacing w:before="240" w:after="6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9F3E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F3E9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9F3E9F"/>
    <w:rPr>
      <w:sz w:val="20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styleId="a5">
    <w:name w:val="Normal (Web)"/>
    <w:basedOn w:val="a"/>
    <w:uiPriority w:val="99"/>
    <w:rsid w:val="009F3E9F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rsid w:val="009F3E9F"/>
    <w:rPr>
      <w:rFonts w:cs="Times New Roman"/>
      <w:color w:val="0000FF"/>
      <w:u w:val="single"/>
    </w:rPr>
  </w:style>
  <w:style w:type="character" w:styleId="a7">
    <w:name w:val="Emphasis"/>
    <w:basedOn w:val="a0"/>
    <w:uiPriority w:val="99"/>
    <w:qFormat/>
    <w:rsid w:val="009F3E9F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9F3E9F"/>
    <w:rPr>
      <w:rFonts w:cs="Times New Roman"/>
      <w:b/>
      <w:bCs/>
    </w:rPr>
  </w:style>
  <w:style w:type="paragraph" w:styleId="a9">
    <w:name w:val="header"/>
    <w:basedOn w:val="a"/>
    <w:link w:val="aa"/>
    <w:uiPriority w:val="99"/>
    <w:rsid w:val="009F3E9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9"/>
    <w:locked/>
    <w:rsid w:val="009F3E9F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ab">
    <w:name w:val="footer"/>
    <w:basedOn w:val="a"/>
    <w:link w:val="ac"/>
    <w:uiPriority w:val="99"/>
    <w:rsid w:val="009F3E9F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Pr>
      <w:sz w:val="24"/>
      <w:szCs w:val="24"/>
    </w:rPr>
  </w:style>
  <w:style w:type="character" w:customStyle="1" w:styleId="aa">
    <w:name w:val="Верхній колонтитул Знак"/>
    <w:basedOn w:val="a0"/>
    <w:link w:val="a9"/>
    <w:uiPriority w:val="99"/>
    <w:locked/>
    <w:rsid w:val="009F3E9F"/>
    <w:rPr>
      <w:rFonts w:cs="Times New Roman"/>
      <w:sz w:val="24"/>
      <w:szCs w:val="24"/>
      <w:lang w:val="ru-RU" w:eastAsia="ru-RU" w:bidi="ar-SA"/>
    </w:rPr>
  </w:style>
  <w:style w:type="character" w:customStyle="1" w:styleId="a4">
    <w:name w:val="Текст виноски Знак"/>
    <w:basedOn w:val="a0"/>
    <w:link w:val="a3"/>
    <w:uiPriority w:val="99"/>
    <w:semiHidden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9F3E9F"/>
    <w:rPr>
      <w:rFonts w:cs="Times New Roman"/>
      <w:vertAlign w:val="superscript"/>
    </w:rPr>
  </w:style>
  <w:style w:type="paragraph" w:styleId="ae">
    <w:name w:val="Body Text Indent"/>
    <w:basedOn w:val="a"/>
    <w:link w:val="af"/>
    <w:uiPriority w:val="99"/>
    <w:rsid w:val="009F3E9F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">
    <w:name w:val="Основний текст з відступом Знак"/>
    <w:basedOn w:val="a0"/>
    <w:link w:val="ae"/>
    <w:uiPriority w:val="99"/>
    <w:semiHidden/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9F3E9F"/>
    <w:pPr>
      <w:jc w:val="center"/>
    </w:pPr>
    <w:rPr>
      <w:b/>
      <w:sz w:val="28"/>
    </w:rPr>
  </w:style>
  <w:style w:type="character" w:customStyle="1" w:styleId="af1">
    <w:name w:val="Назва Знак"/>
    <w:basedOn w:val="a0"/>
    <w:link w:val="af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9F3E9F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9F3E9F"/>
  </w:style>
  <w:style w:type="paragraph" w:styleId="23">
    <w:name w:val="toc 2"/>
    <w:basedOn w:val="a"/>
    <w:next w:val="a"/>
    <w:autoRedefine/>
    <w:uiPriority w:val="99"/>
    <w:semiHidden/>
    <w:rsid w:val="009F3E9F"/>
    <w:pPr>
      <w:ind w:left="240"/>
    </w:pPr>
  </w:style>
  <w:style w:type="paragraph" w:styleId="af2">
    <w:name w:val="Body Text"/>
    <w:basedOn w:val="a"/>
    <w:link w:val="af3"/>
    <w:uiPriority w:val="99"/>
    <w:rsid w:val="009F3E9F"/>
    <w:pPr>
      <w:spacing w:after="120"/>
    </w:pPr>
  </w:style>
  <w:style w:type="character" w:customStyle="1" w:styleId="af3">
    <w:name w:val="Основний текст Знак"/>
    <w:basedOn w:val="a0"/>
    <w:link w:val="af2"/>
    <w:uiPriority w:val="99"/>
    <w:semiHidden/>
    <w:rPr>
      <w:sz w:val="24"/>
      <w:szCs w:val="24"/>
    </w:rPr>
  </w:style>
  <w:style w:type="character" w:customStyle="1" w:styleId="apple-style-span">
    <w:name w:val="apple-style-span"/>
    <w:basedOn w:val="a0"/>
    <w:uiPriority w:val="99"/>
    <w:rsid w:val="009F3E9F"/>
    <w:rPr>
      <w:rFonts w:cs="Times New Roman"/>
    </w:rPr>
  </w:style>
  <w:style w:type="paragraph" w:styleId="af4">
    <w:name w:val="List Paragraph"/>
    <w:basedOn w:val="a"/>
    <w:uiPriority w:val="99"/>
    <w:qFormat/>
    <w:rsid w:val="009F3E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mw-headline">
    <w:name w:val="mw-headline"/>
    <w:basedOn w:val="a0"/>
    <w:uiPriority w:val="99"/>
    <w:rsid w:val="009F3E9F"/>
    <w:rPr>
      <w:rFonts w:cs="Times New Roman"/>
    </w:rPr>
  </w:style>
  <w:style w:type="character" w:styleId="af5">
    <w:name w:val="FollowedHyperlink"/>
    <w:basedOn w:val="a0"/>
    <w:uiPriority w:val="99"/>
    <w:rsid w:val="009F3E9F"/>
    <w:rPr>
      <w:rFonts w:cs="Times New Roman"/>
      <w:color w:val="0000FF"/>
      <w:u w:val="single"/>
    </w:rPr>
  </w:style>
  <w:style w:type="paragraph" w:customStyle="1" w:styleId="elementnumber">
    <w:name w:val="elementnumber"/>
    <w:basedOn w:val="a"/>
    <w:uiPriority w:val="99"/>
    <w:rsid w:val="009F3E9F"/>
    <w:pPr>
      <w:spacing w:before="100" w:beforeAutospacing="1" w:after="100" w:afterAutospacing="1"/>
    </w:pPr>
  </w:style>
  <w:style w:type="paragraph" w:styleId="af6">
    <w:name w:val="Signature"/>
    <w:basedOn w:val="a"/>
    <w:link w:val="af7"/>
    <w:uiPriority w:val="99"/>
    <w:rsid w:val="009F3E9F"/>
    <w:pPr>
      <w:spacing w:before="100" w:beforeAutospacing="1" w:after="100" w:afterAutospacing="1"/>
    </w:pPr>
  </w:style>
  <w:style w:type="character" w:customStyle="1" w:styleId="af7">
    <w:name w:val="Підпис Знак"/>
    <w:basedOn w:val="a0"/>
    <w:link w:val="af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6587</Words>
  <Characters>37549</Characters>
  <Application>Microsoft Office Word</Application>
  <DocSecurity>0</DocSecurity>
  <Lines>312</Lines>
  <Paragraphs>88</Paragraphs>
  <ScaleCrop>false</ScaleCrop>
  <Company>Home</Company>
  <LinksUpToDate>false</LinksUpToDate>
  <CharactersWithSpaces>44048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Нужен ли крупным российским акционерам совет директоров: практика уральских компаний</dc:title>
  <dc:subject/>
  <dc:creator>User</dc:creator>
  <cp:keywords/>
  <dc:description/>
  <cp:lastModifiedBy>Irina</cp:lastModifiedBy>
  <cp:revision>2</cp:revision>
  <dcterms:created xsi:type="dcterms:W3CDTF">2014-07-19T05:18:00Z</dcterms:created>
  <dcterms:modified xsi:type="dcterms:W3CDTF">2014-07-19T05:18:00Z</dcterms:modified>
</cp:coreProperties>
</file>