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267" w:rsidRDefault="000E0267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</w:p>
    <w:p w:rsidR="008273CB" w:rsidRPr="006E48B2" w:rsidRDefault="00642349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Аудит</w:t>
      </w:r>
      <w:r w:rsidR="007F49D3">
        <w:rPr>
          <w:sz w:val="28"/>
          <w:szCs w:val="28"/>
        </w:rPr>
        <w:t xml:space="preserve"> – особая</w:t>
      </w:r>
      <w:r w:rsidR="008273CB" w:rsidRPr="006E48B2">
        <w:rPr>
          <w:sz w:val="28"/>
          <w:szCs w:val="28"/>
        </w:rPr>
        <w:t xml:space="preserve"> с</w:t>
      </w:r>
      <w:r>
        <w:rPr>
          <w:sz w:val="28"/>
          <w:szCs w:val="28"/>
        </w:rPr>
        <w:t>амостоятельная форма контроля, представляющая</w:t>
      </w:r>
      <w:r w:rsidR="008273CB" w:rsidRPr="006E48B2">
        <w:rPr>
          <w:sz w:val="28"/>
          <w:szCs w:val="28"/>
        </w:rPr>
        <w:t xml:space="preserve"> собой независимую экспертизу и анализ финансовой отчетности хозяйствующего субъекта в целях определения ее достоверности, полноты и соответствия действующему законодательству и требованиям, предъявленным к ведению бухгалтерского учета и финансовой отчетности.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Основная цель аудита – объективная оценка полноты, достоверности и точности отражения в отчетности активов, обязательств, собственных средств и финансовых результатов деятельности предприятия за определенный период, проверка соответствия принятой на предприятии учетной политики действующему законодательству и нормативным актам.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Аудиту вообще внутренне присущ риск выдачи ошибочного заключения в силу объективных обстоятельств, который может быть существенно снижен только проведением проверки в объемах, совпадающих или больших, чем объемы работы, ранее проведенной бухгалтерией клиента.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 xml:space="preserve">Аудиторский риск – риск, который берет на себя аудитор, давая заключение о полной достоверности данных внешней отчетности, в то время как там возможны ошибки и пропуски, не попавшие в поле зрения аудитора. </w:t>
      </w:r>
      <w:r w:rsidR="006E48B2">
        <w:rPr>
          <w:sz w:val="28"/>
          <w:szCs w:val="28"/>
        </w:rPr>
        <w:t xml:space="preserve">    </w:t>
      </w:r>
      <w:r w:rsidRPr="006E48B2">
        <w:rPr>
          <w:sz w:val="28"/>
          <w:szCs w:val="28"/>
        </w:rPr>
        <w:t xml:space="preserve">Обычно </w:t>
      </w:r>
      <w:r w:rsidR="000F5E8D">
        <w:rPr>
          <w:sz w:val="28"/>
          <w:szCs w:val="28"/>
        </w:rPr>
        <w:t>различают следующие виды рисков.</w:t>
      </w:r>
    </w:p>
    <w:p w:rsidR="00A614CD" w:rsidRDefault="00A614CD" w:rsidP="00A614CD">
      <w:pPr>
        <w:keepNext/>
        <w:keepLines/>
        <w:numPr>
          <w:ilvl w:val="0"/>
          <w:numId w:val="16"/>
        </w:numPr>
        <w:spacing w:before="28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273CB" w:rsidRPr="006E48B2">
        <w:rPr>
          <w:sz w:val="28"/>
          <w:szCs w:val="28"/>
        </w:rPr>
        <w:t xml:space="preserve">иск профессиональной способности аудитора. </w:t>
      </w:r>
    </w:p>
    <w:p w:rsidR="00A614CD" w:rsidRDefault="008273CB" w:rsidP="00A614CD">
      <w:pPr>
        <w:keepNext/>
        <w:keepLines/>
        <w:spacing w:before="280"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Он определ</w:t>
      </w:r>
      <w:r w:rsidR="00642349">
        <w:rPr>
          <w:sz w:val="28"/>
          <w:szCs w:val="28"/>
        </w:rPr>
        <w:t>яется</w:t>
      </w:r>
      <w:r w:rsidR="00A614CD">
        <w:rPr>
          <w:sz w:val="28"/>
          <w:szCs w:val="28"/>
        </w:rPr>
        <w:t xml:space="preserve"> </w:t>
      </w:r>
      <w:r w:rsidRPr="006E48B2">
        <w:rPr>
          <w:sz w:val="28"/>
          <w:szCs w:val="28"/>
        </w:rPr>
        <w:t>строгим подходом к выбору проверяемой фирмы, с учетом ее репутации (порядочность, честность фирмы, степень риска совершаемых операций данн</w:t>
      </w:r>
      <w:r w:rsidR="000F5E8D">
        <w:rPr>
          <w:sz w:val="28"/>
          <w:szCs w:val="28"/>
        </w:rPr>
        <w:t>ой организацией</w:t>
      </w:r>
      <w:r w:rsidRPr="006E48B2">
        <w:rPr>
          <w:sz w:val="28"/>
          <w:szCs w:val="28"/>
        </w:rPr>
        <w:t>). Берясь за проверку той или иной фирмы, аудиторская компания прежде всего обращает внимание на ее репутацию. Таким образом, проверка данной фирмы не должна нанести ущерб ауд</w:t>
      </w:r>
      <w:r w:rsidR="00F25BF4">
        <w:rPr>
          <w:sz w:val="28"/>
          <w:szCs w:val="28"/>
        </w:rPr>
        <w:t>иторской компании и ее клиентам.</w:t>
      </w:r>
    </w:p>
    <w:p w:rsidR="00A614CD" w:rsidRDefault="00A614CD" w:rsidP="00A614CD">
      <w:pPr>
        <w:keepNext/>
        <w:keepLines/>
        <w:numPr>
          <w:ilvl w:val="0"/>
          <w:numId w:val="16"/>
        </w:numPr>
        <w:spacing w:before="28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273CB" w:rsidRPr="006E48B2">
        <w:rPr>
          <w:sz w:val="28"/>
          <w:szCs w:val="28"/>
        </w:rPr>
        <w:t xml:space="preserve">иск ожидания клиента </w:t>
      </w:r>
      <w:r w:rsidR="000F5E8D">
        <w:rPr>
          <w:sz w:val="28"/>
          <w:szCs w:val="28"/>
        </w:rPr>
        <w:t>(риск не удовлетворить ожиданиям</w:t>
      </w:r>
      <w:r w:rsidR="008273CB" w:rsidRPr="006E48B2">
        <w:rPr>
          <w:sz w:val="28"/>
          <w:szCs w:val="28"/>
        </w:rPr>
        <w:t xml:space="preserve"> своего клиента</w:t>
      </w:r>
      <w:r w:rsidR="000F5E8D">
        <w:rPr>
          <w:sz w:val="28"/>
          <w:szCs w:val="28"/>
        </w:rPr>
        <w:t>)</w:t>
      </w:r>
      <w:r w:rsidR="008273CB" w:rsidRPr="006E48B2">
        <w:rPr>
          <w:sz w:val="28"/>
          <w:szCs w:val="28"/>
        </w:rPr>
        <w:t>.</w:t>
      </w:r>
    </w:p>
    <w:p w:rsidR="008273CB" w:rsidRPr="006E48B2" w:rsidRDefault="008273CB" w:rsidP="00A614CD">
      <w:pPr>
        <w:keepNext/>
        <w:keepLines/>
        <w:spacing w:before="280" w:line="360" w:lineRule="auto"/>
        <w:ind w:left="79" w:firstLine="629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 xml:space="preserve"> В случаях, когда клиент не доволен аудиторской проверкой, он может в дальнейшем отказаться от </w:t>
      </w:r>
      <w:r w:rsidR="00A614CD">
        <w:rPr>
          <w:sz w:val="28"/>
          <w:szCs w:val="28"/>
        </w:rPr>
        <w:t>услуг этой аудиторской компании.</w:t>
      </w:r>
    </w:p>
    <w:p w:rsidR="00A614CD" w:rsidRDefault="00A614CD" w:rsidP="00A614CD">
      <w:pPr>
        <w:keepNext/>
        <w:keepLines/>
        <w:numPr>
          <w:ilvl w:val="0"/>
          <w:numId w:val="16"/>
        </w:numPr>
        <w:spacing w:after="28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F25BF4">
        <w:rPr>
          <w:sz w:val="28"/>
          <w:szCs w:val="28"/>
        </w:rPr>
        <w:t>удиторский риск</w:t>
      </w:r>
      <w:r>
        <w:rPr>
          <w:sz w:val="28"/>
          <w:szCs w:val="28"/>
        </w:rPr>
        <w:t>.</w:t>
      </w:r>
    </w:p>
    <w:p w:rsidR="008273CB" w:rsidRPr="006E48B2" w:rsidRDefault="000F5E8D" w:rsidP="00A614CD">
      <w:pPr>
        <w:keepNext/>
        <w:keepLines/>
        <w:spacing w:after="280" w:line="360" w:lineRule="auto"/>
        <w:ind w:left="79" w:firstLine="62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Данный вид рисков заключается в вероятности</w:t>
      </w:r>
      <w:r w:rsidR="008273CB" w:rsidRPr="006E48B2">
        <w:rPr>
          <w:sz w:val="28"/>
          <w:szCs w:val="28"/>
        </w:rPr>
        <w:t xml:space="preserve"> того</w:t>
      </w:r>
      <w:r>
        <w:rPr>
          <w:sz w:val="28"/>
          <w:szCs w:val="28"/>
        </w:rPr>
        <w:t>,</w:t>
      </w:r>
      <w:r w:rsidR="008273CB" w:rsidRPr="006E48B2">
        <w:rPr>
          <w:sz w:val="28"/>
          <w:szCs w:val="28"/>
        </w:rPr>
        <w:t xml:space="preserve"> что аудиторское заключение может быть неверным по причинам: бухгалтерская отчетность экономического субъекта может содержать не выявленные существенные ошибки и (или) искажения после подтверждения ее достоверности, или признать, что она содержит существенные искажения, когда на самом деле таких искажений в бухгалтерской отчетности нет.</w:t>
      </w:r>
    </w:p>
    <w:p w:rsidR="008273CB" w:rsidRPr="006E48B2" w:rsidRDefault="008273CB" w:rsidP="00A27F4A">
      <w:pPr>
        <w:keepNext/>
        <w:keepLines/>
        <w:spacing w:before="280" w:after="280" w:line="360" w:lineRule="auto"/>
        <w:ind w:firstLine="709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 xml:space="preserve">Рассмотрим наиболее подробно последний вид риска – </w:t>
      </w:r>
      <w:r w:rsidRPr="006C0BF8">
        <w:rPr>
          <w:b/>
          <w:sz w:val="28"/>
          <w:szCs w:val="28"/>
        </w:rPr>
        <w:t>аудиторский</w:t>
      </w:r>
      <w:r w:rsidRPr="006E48B2">
        <w:rPr>
          <w:sz w:val="28"/>
          <w:szCs w:val="28"/>
        </w:rPr>
        <w:t>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 xml:space="preserve">Сущность аудиторского риска состоит в том, что аудитор может допустить некоторые погрешности в своей работе (осуществив тестирование контрольных моментов и другие аудиторские процедуры) и при подведении общих итогов сделать неверные выводы. </w:t>
      </w:r>
    </w:p>
    <w:p w:rsidR="008273CB" w:rsidRPr="006E48B2" w:rsidRDefault="008273CB" w:rsidP="00A27F4A">
      <w:pPr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С практической точки зрения данный вид рисков можно раздробить на три компонента:</w:t>
      </w:r>
    </w:p>
    <w:p w:rsidR="008273CB" w:rsidRPr="006E48B2" w:rsidRDefault="008273CB" w:rsidP="00A27F4A">
      <w:pPr>
        <w:pStyle w:val="1"/>
        <w:keepNext/>
        <w:keepLines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внутрихозяйственный риск;</w:t>
      </w:r>
    </w:p>
    <w:p w:rsidR="008273CB" w:rsidRPr="006E48B2" w:rsidRDefault="008273CB" w:rsidP="00A27F4A">
      <w:pPr>
        <w:pStyle w:val="1"/>
        <w:keepNext/>
        <w:keepLines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риск средств контроля;</w:t>
      </w:r>
    </w:p>
    <w:p w:rsidR="008273CB" w:rsidRPr="006E48B2" w:rsidRDefault="008273CB" w:rsidP="00A27F4A">
      <w:pPr>
        <w:pStyle w:val="1"/>
        <w:keepNext/>
        <w:keepLines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риск необнаружения.</w:t>
      </w:r>
    </w:p>
    <w:p w:rsidR="00900405" w:rsidRDefault="008273CB" w:rsidP="00900405">
      <w:pPr>
        <w:keepNext/>
        <w:keepLine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Аудитор обязан изучать эти риски в ходе работы, оценивать их и документировать результаты оценки. При оценке рисков необходимо использовать не менее трех градаций: высокий</w:t>
      </w:r>
      <w:r w:rsidR="000F5E8D">
        <w:rPr>
          <w:sz w:val="28"/>
          <w:szCs w:val="28"/>
        </w:rPr>
        <w:t xml:space="preserve"> риск, средний и</w:t>
      </w:r>
      <w:r w:rsidRPr="006E48B2">
        <w:rPr>
          <w:sz w:val="28"/>
          <w:szCs w:val="28"/>
        </w:rPr>
        <w:t xml:space="preserve"> низкий. Аудиторские организации могут принять решение о применении в своей деятельности большего количества градаций при оценках рисков, чем три вышеупомянутые, либо об использовании для оценки рисков количественных показателей (процентов или долей единицы).</w:t>
      </w:r>
      <w:r w:rsidR="00900405">
        <w:rPr>
          <w:sz w:val="28"/>
          <w:szCs w:val="28"/>
        </w:rPr>
        <w:t xml:space="preserve"> </w:t>
      </w:r>
    </w:p>
    <w:p w:rsidR="007416B9" w:rsidRDefault="007416B9" w:rsidP="00900405">
      <w:pPr>
        <w:keepNext/>
        <w:keepLine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Приемлемый аудиторский риск – это субъективно установленный уровень риска, котрый готов взять на себя аудитор.</w:t>
      </w:r>
      <w:r w:rsidR="00F96154">
        <w:rPr>
          <w:sz w:val="28"/>
          <w:szCs w:val="28"/>
        </w:rPr>
        <w:t xml:space="preserve"> Если аудитор определит для себя меньший уровень аудиторского риска, то это означает, что он стремится к большей уверенности в том, что финансовая отчетность не содержит существенных ошибок.</w:t>
      </w:r>
    </w:p>
    <w:p w:rsidR="00C63343" w:rsidRDefault="00F96154" w:rsidP="00F96154">
      <w:pPr>
        <w:keepNext/>
        <w:keepLine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Нулевой риск – полная уверенность аулитора в том, что финансовая отчетность не содержит существенных ошибок. Аудитор не может гарантировать полного отсутствия существенных ошибок. Большинство аудиторов считают, что величина приемлемого аудиторского риска не должна превышать 5%.</w:t>
      </w:r>
    </w:p>
    <w:p w:rsidR="00F96154" w:rsidRDefault="00F96154" w:rsidP="00F96154">
      <w:pPr>
        <w:keepNext/>
        <w:keepLine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63343" w:rsidRDefault="007416B9" w:rsidP="00C63343">
      <w:pPr>
        <w:keepNext/>
        <w:keepLines/>
        <w:numPr>
          <w:ilvl w:val="0"/>
          <w:numId w:val="17"/>
        </w:numPr>
        <w:suppressAutoHyphens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Внутрихозяйственный риск</w:t>
      </w:r>
    </w:p>
    <w:p w:rsidR="00F96154" w:rsidRPr="00C63343" w:rsidRDefault="00F96154" w:rsidP="00F96154">
      <w:pPr>
        <w:keepNext/>
        <w:keepLines/>
        <w:suppressAutoHyphens/>
        <w:spacing w:line="360" w:lineRule="auto"/>
        <w:ind w:left="709"/>
        <w:jc w:val="both"/>
        <w:rPr>
          <w:b/>
          <w:sz w:val="28"/>
          <w:szCs w:val="28"/>
        </w:rPr>
      </w:pPr>
    </w:p>
    <w:p w:rsidR="008273CB" w:rsidRPr="006E48B2" w:rsidRDefault="008273CB" w:rsidP="00900405">
      <w:pPr>
        <w:keepNext/>
        <w:keepLine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Под внутрихоз</w:t>
      </w:r>
      <w:r w:rsidR="00642349">
        <w:rPr>
          <w:sz w:val="28"/>
          <w:szCs w:val="28"/>
        </w:rPr>
        <w:t xml:space="preserve">яйственным </w:t>
      </w:r>
      <w:r w:rsidR="00900405">
        <w:rPr>
          <w:sz w:val="28"/>
          <w:szCs w:val="28"/>
        </w:rPr>
        <w:t xml:space="preserve">риском (чистым или неотъемлемым </w:t>
      </w:r>
      <w:r w:rsidR="00642349">
        <w:rPr>
          <w:sz w:val="28"/>
          <w:szCs w:val="28"/>
        </w:rPr>
        <w:t>риском</w:t>
      </w:r>
      <w:r w:rsidRPr="006E48B2">
        <w:rPr>
          <w:sz w:val="28"/>
          <w:szCs w:val="28"/>
        </w:rPr>
        <w:t>) понимают субъективно определяемую аудитором вероятность появления существенных искажений в данном бухгалтерском счете, статье баланса, однотипной группе хозяйственных операций, отчетности экономического субъекта в целом до того, как такие искажения будут выявлены средствами системы внутреннего контроля или при условии допущения отсутствия таких средств.</w:t>
      </w:r>
    </w:p>
    <w:p w:rsidR="008273CB" w:rsidRPr="006E48B2" w:rsidRDefault="008273CB" w:rsidP="00900405">
      <w:pPr>
        <w:keepNext/>
        <w:keepLines/>
        <w:spacing w:line="360" w:lineRule="auto"/>
        <w:ind w:firstLine="709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Внутрихозяйственный риск характеризует степень подверженности существенным нарушениям счета бухгалтерского учета, статьи баланса, однотипной группы хозяйственных операций и отчетности в целом у проверяемого экономического субъекта.</w:t>
      </w:r>
    </w:p>
    <w:p w:rsidR="008273CB" w:rsidRPr="006E48B2" w:rsidRDefault="008273CB" w:rsidP="00A27F4A">
      <w:pPr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Этот риск во многом определяется спецификой клиента и обусловлен теми его внутренними характеристиками, а также условиями внешней среды, которые иногда и невозможно проверить средствами внутрихозяйственного контроля. По существу это вероятность того, что хозяйственная система не может постоянно находится на оптимальной траектории своего развития.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При оценке внутрихозяйственного риска в отношении баланса и отчетности аудитору необходимо принимать во внимание такие факторы, как: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а) особенности функционирования и текущего экономического положения отрасли, в которой действует экономический субъект;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б) специфические особенности деятельности, осуществляемой данным экономическим субъектом;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в) честность персонала экономического субъекта, осуществляющего руководство и ответственного за ведение учета и подготовку отчетности;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г) опыт и квалификацию работников, ответственных за ведение учета и подготовку отчетности;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д) возможность наличия внешнего давления на руководителей и персонал экономического субъекта с целью достижения любой ценой определенных показателей бухгалтерской отчетности;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е) возможность контроля за деятельностью предприятия со стороны его собственников.</w:t>
      </w:r>
    </w:p>
    <w:p w:rsidR="008273CB" w:rsidRPr="006E48B2" w:rsidRDefault="008273CB" w:rsidP="00A27F4A">
      <w:pPr>
        <w:keepNext/>
        <w:keepLines/>
        <w:spacing w:line="360" w:lineRule="auto"/>
        <w:ind w:firstLine="492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При оценке внутрихозяйственного риска аудитор может использовать данные аудита прошлых лет, однако при этом он обязан убедиться в том, что оценки величины этого риска, сделанные в предыдущем году, справедливы и для проверяемого года.</w:t>
      </w:r>
    </w:p>
    <w:p w:rsidR="008273CB" w:rsidRPr="006E48B2" w:rsidRDefault="008273CB" w:rsidP="00C63343">
      <w:pPr>
        <w:pStyle w:val="2"/>
        <w:numPr>
          <w:ilvl w:val="0"/>
          <w:numId w:val="17"/>
        </w:numPr>
        <w:contextualSpacing/>
        <w:jc w:val="both"/>
        <w:rPr>
          <w:szCs w:val="28"/>
        </w:rPr>
      </w:pPr>
      <w:r w:rsidRPr="006E48B2">
        <w:rPr>
          <w:szCs w:val="28"/>
        </w:rPr>
        <w:t>Риск средств контроля</w:t>
      </w:r>
    </w:p>
    <w:p w:rsidR="008273CB" w:rsidRPr="006E48B2" w:rsidRDefault="008273CB" w:rsidP="00A27F4A">
      <w:pPr>
        <w:keepNext/>
        <w:keepLines/>
        <w:spacing w:before="240" w:after="240" w:line="360" w:lineRule="auto"/>
        <w:ind w:firstLine="709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Под риском средств контроля (контрольным риском) понимают субъективно определяемую аудитором вероятность того, что существующие на предприятии и регулярно применяемые средства системы бухгалтерского учета и системы внутреннего контроля не будут своевременно обнаруживать и исправлять нарушения, являющиеся существенными по отдельности или в совокупности, и (или) препятствовать возникновению таких нарушений.</w:t>
      </w:r>
    </w:p>
    <w:p w:rsidR="008273CB" w:rsidRPr="006E48B2" w:rsidRDefault="008273CB" w:rsidP="00A27F4A">
      <w:pPr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Система учета и контроля, организованная у любого экономического субъекта, должна быть действенной, но одновременно достаточно дешевой. Следовательно, изначально существует и определенный риск не предупреждения или необнаружения ошибок или других существенных некорректностей в этой системе.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Риск средств контроля характеризует степень надежности системы бухгалтерского учета и системы внутреннего контроля экономического субъекта, которые являются взаимодополняющими категориями: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а) высокой надежности соответствует низкий риск;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б) средней надежности соответствует средний риск;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в) низкой надежности соответствует высокий риск.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Аудитор обязан в ходе аудита изучить и оценить систему внутреннего контроля экономического субъекта, контрольную сред</w:t>
      </w:r>
      <w:r w:rsidR="006C0BF8">
        <w:rPr>
          <w:sz w:val="28"/>
          <w:szCs w:val="28"/>
        </w:rPr>
        <w:t>у и отдельные средства контроля.</w:t>
      </w:r>
      <w:r w:rsidRPr="006E48B2">
        <w:rPr>
          <w:sz w:val="28"/>
          <w:szCs w:val="28"/>
        </w:rPr>
        <w:t xml:space="preserve"> Эту работу необходимо проводить в три этапа: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а) общее знакомство с системой внутреннего контроля;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б) первичная оценка надежности системы внутреннего контроля;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в) подтверждение достоверности оценки надежности системы внутреннего контроля.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Для оценки риска средств контроля применяются специальные аудиторские процедуры, называемые тестированием средств контроля, которые позволяют убедится в том: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а) надежно ли работают предусмотренные на предприятии системы бухгалтерского учета и внутреннего контроля и способны ли эти системы эффективно препятствовать появлению существенных искажений бухгалтерской отчетности и выявлять их;</w:t>
      </w:r>
    </w:p>
    <w:p w:rsidR="008273CB" w:rsidRPr="006E48B2" w:rsidRDefault="008273CB" w:rsidP="00A27F4A">
      <w:pPr>
        <w:keepNext/>
        <w:keepLines/>
        <w:spacing w:line="360" w:lineRule="auto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б) работают ли средства контроля с одинаковой эффективностью на протяжении всего отчетного периода.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Тестирование средств контроля производится во всех случаях, кроме тех, когда риск средств контроля оценивается как высокий. Чем в большей степени аудитор собирается опираться при подготовке своего мнения на определенные средства контроля, тем тщательнее он должен проверять их надежность и эффективность.</w:t>
      </w:r>
    </w:p>
    <w:p w:rsidR="008273CB" w:rsidRPr="006E48B2" w:rsidRDefault="008273CB" w:rsidP="00A27F4A">
      <w:pPr>
        <w:keepNext/>
        <w:keepLines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Результаты оценки риска средств контроля аудитор должен отразить в общем плане аудита, а уточняющие оценки (если таковые имеются) – в рабочей документации по проверке.</w:t>
      </w:r>
    </w:p>
    <w:p w:rsidR="00A27F4A" w:rsidRDefault="00A27F4A" w:rsidP="00C63343">
      <w:pPr>
        <w:pStyle w:val="2"/>
        <w:numPr>
          <w:ilvl w:val="0"/>
          <w:numId w:val="17"/>
        </w:numPr>
        <w:contextualSpacing/>
        <w:jc w:val="both"/>
        <w:rPr>
          <w:szCs w:val="28"/>
        </w:rPr>
      </w:pPr>
      <w:r>
        <w:rPr>
          <w:szCs w:val="28"/>
        </w:rPr>
        <w:t xml:space="preserve"> Риск необнаружения</w:t>
      </w:r>
    </w:p>
    <w:p w:rsidR="00FE20DD" w:rsidRDefault="006E48B2" w:rsidP="00FE20DD">
      <w:pPr>
        <w:spacing w:line="360" w:lineRule="auto"/>
        <w:ind w:firstLine="708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Под риском необнаружения понимают субъективно</w:t>
      </w:r>
      <w:r w:rsidR="006C0BF8">
        <w:rPr>
          <w:sz w:val="28"/>
          <w:szCs w:val="28"/>
        </w:rPr>
        <w:t xml:space="preserve"> определяемую </w:t>
      </w:r>
      <w:r w:rsidRPr="006E48B2">
        <w:rPr>
          <w:sz w:val="28"/>
          <w:szCs w:val="28"/>
        </w:rPr>
        <w:t>аудитором вероятность того, что применяемые аудитором в ходе проверки аудиторские процедуры не позволят обнаружить реально существующие нарушения, имеющие существенный характер по отдельности либо в совокупности.</w:t>
      </w:r>
    </w:p>
    <w:p w:rsidR="00FE20DD" w:rsidRDefault="008273CB" w:rsidP="00FE20DD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6E48B2">
        <w:rPr>
          <w:bCs/>
          <w:sz w:val="28"/>
          <w:szCs w:val="28"/>
        </w:rPr>
        <w:t xml:space="preserve">Оценка внутрихозяйственного и контрольного риска, а также их влияние на вероятность обнаружения существенных искажений могут оказать решающее воздействие на объем проверки и на уровень риска необнаружения. </w:t>
      </w:r>
    </w:p>
    <w:p w:rsidR="00FE20DD" w:rsidRDefault="008273CB" w:rsidP="00FE20DD">
      <w:pPr>
        <w:spacing w:line="360" w:lineRule="auto"/>
        <w:ind w:firstLine="708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Риск необнаружения является показателем эффективности и качества работы аудитора. Он зависит от порядка проведения конкретной аудиторской проверки, определения репрезентативной выборки, применения необходимых и достаточных аудиторских процедур, а также от таких факторов, как квалификация аудиторов и степень их предыдущего знакомства с деятельностью проверяемого экономического субъекта.</w:t>
      </w:r>
    </w:p>
    <w:p w:rsidR="00FE20DD" w:rsidRDefault="008273CB" w:rsidP="00FE20DD">
      <w:pPr>
        <w:spacing w:line="360" w:lineRule="auto"/>
        <w:ind w:firstLine="708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Аудитор обязан на основе оценки внутрихозяйственного риска и риска средств контроля определить допустимый в своей работе риск необнаружения и с учетом минимизации риска необнаружения спланировать соответствующие аудиторские процедуры.</w:t>
      </w:r>
    </w:p>
    <w:p w:rsidR="00FE20DD" w:rsidRDefault="008273CB" w:rsidP="00FE20DD">
      <w:pPr>
        <w:spacing w:line="360" w:lineRule="auto"/>
        <w:ind w:firstLine="708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В отличие от внутрихозяйственного риска и риска контроля, величину которых аудитор может лишь оценить, риск необнаружения можно контролировать, изменяя характер, время и масштабы отдельных проверок по существу.</w:t>
      </w:r>
    </w:p>
    <w:p w:rsidR="00FE20DD" w:rsidRDefault="008273CB" w:rsidP="00FE20DD">
      <w:pPr>
        <w:spacing w:line="360" w:lineRule="auto"/>
        <w:ind w:firstLine="708"/>
        <w:jc w:val="both"/>
        <w:rPr>
          <w:sz w:val="28"/>
          <w:szCs w:val="28"/>
        </w:rPr>
      </w:pPr>
      <w:r w:rsidRPr="006E48B2">
        <w:rPr>
          <w:sz w:val="28"/>
          <w:szCs w:val="28"/>
        </w:rPr>
        <w:t>Существует обратная связь между риском необнаружения и комбинацией внутрихозяйственного риска и риска средств контроля:</w:t>
      </w:r>
    </w:p>
    <w:p w:rsidR="00FE20DD" w:rsidRDefault="00FE20DD" w:rsidP="00FE20D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CB" w:rsidRPr="006E48B2">
        <w:rPr>
          <w:sz w:val="28"/>
          <w:szCs w:val="28"/>
        </w:rPr>
        <w:t>высокие значения внутрихозяйственного риска и риска средств контроля обязывают аудитора организовать проверку так, чтобы снизить, насколько возможно, величину риска необнаружения и тем самым свести общий аудиторский риск до приемлемого значения;</w:t>
      </w:r>
    </w:p>
    <w:p w:rsidR="008273CB" w:rsidRPr="006E48B2" w:rsidRDefault="00FE20DD" w:rsidP="00FE20D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CB" w:rsidRPr="006E48B2">
        <w:rPr>
          <w:sz w:val="28"/>
          <w:szCs w:val="28"/>
        </w:rPr>
        <w:t>низкие значения внутрихозяйственного риска и риска средств контроля позволяют аудитору допустить в ходе проверки более высокий риск необнаружения и при этом получить приемлемое значение общего аудиторского риска.</w:t>
      </w:r>
    </w:p>
    <w:p w:rsidR="008273CB" w:rsidRPr="006E48B2" w:rsidRDefault="008273CB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На величину уровня риска необнаружения оказывает влияние фактор повторности проверки. Если аудитор проводит проверку у клиента уже не в первый раз, то он лучше знаком с особенностями бизнеса и знает большинство "узких мест". Если же проверка проходит в первый раз, то риск необнаружения ошибки аудитором более высок.</w:t>
      </w:r>
    </w:p>
    <w:p w:rsidR="006E48B2" w:rsidRDefault="008273CB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При расчете риска необнаружения аудиторы обычно используют логический подход. Последний применительно к оценке контроля за бухгалтерским учетом и отчетностью заключается в концентрации внимания непосредственно на предотвращении или обнаружении существенных ошибок или нарушений в бухгалтерской отчетности. С этой целью необходимо предпринять следующие действия:</w:t>
      </w:r>
    </w:p>
    <w:p w:rsidR="006E48B2" w:rsidRDefault="006E48B2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CB" w:rsidRPr="006E48B2">
        <w:rPr>
          <w:sz w:val="28"/>
          <w:szCs w:val="28"/>
        </w:rPr>
        <w:t>проанализировать типичные ошибки или нарушения, которые могут возникнуть (это относится, главным образом, к оценке внутрихозяйственного риска);</w:t>
      </w:r>
    </w:p>
    <w:p w:rsidR="006E48B2" w:rsidRDefault="006E48B2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CB" w:rsidRPr="006E48B2">
        <w:rPr>
          <w:sz w:val="28"/>
          <w:szCs w:val="28"/>
        </w:rPr>
        <w:t>определить процедуры контроля за бухгалтерским учетом и отчетностью, которые могли бы предотвратить либо обнаружить ошибки или злоупотребления;</w:t>
      </w:r>
    </w:p>
    <w:p w:rsidR="006E48B2" w:rsidRDefault="006E48B2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CB" w:rsidRPr="006E48B2">
        <w:rPr>
          <w:sz w:val="28"/>
          <w:szCs w:val="28"/>
        </w:rPr>
        <w:t>выяснить применяются ли должным образом процедуры контроля (оценка риска контроля);</w:t>
      </w:r>
    </w:p>
    <w:p w:rsidR="006E48B2" w:rsidRDefault="006E48B2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3CB" w:rsidRPr="006E48B2">
        <w:rPr>
          <w:sz w:val="28"/>
          <w:szCs w:val="28"/>
        </w:rPr>
        <w:t>установить степень воздействия недостатков управления (риск контроля) на характер, сроки проведения и объем процедур аудита (рассмотрение допустимой вероятности риска необнаружения, которое базируется на оценке внутрихозяйственного риска и риска контроля).</w:t>
      </w:r>
    </w:p>
    <w:p w:rsidR="006C0BF8" w:rsidRDefault="008273CB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E48B2">
        <w:rPr>
          <w:sz w:val="28"/>
          <w:szCs w:val="28"/>
        </w:rPr>
        <w:t>Первые две меры реализуются путем разработки тестов, анкет, проверочных листов, третья осуществляется на основе анализа информации, полученной в результате использования обобщающих материалов и их проверок на соответствие.</w:t>
      </w:r>
    </w:p>
    <w:p w:rsidR="006C0BF8" w:rsidRDefault="006C0BF8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Таким образом, существуют отдельные виды аудиторских рисков, которые необходимо учитывать при проведении аудиторских проверок.</w:t>
      </w:r>
    </w:p>
    <w:p w:rsidR="006C0BF8" w:rsidRDefault="006C0BF8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Следует иметь ввиду, что при проведении аудита необходимо предпринимать меры для того, чтобы аудиторский риск был снижен до разумно-минимального уровня.</w:t>
      </w:r>
    </w:p>
    <w:p w:rsidR="006C0BF8" w:rsidRDefault="006C0BF8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Если аудитор не в состоянии снизить аудиторский риск до приемлемого уровня, то это может повлечь за собой выдачу ошибочного заключения или служить основанием для подготовки по итогам проверки заключения, отличного от безусловно положительного.</w:t>
      </w:r>
    </w:p>
    <w:p w:rsidR="006C0BF8" w:rsidRDefault="006C0BF8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Подобное присутствие постоянного риска выдачи ошибочного заключения повышает значение правильного юридического оформления договора на предоставление аудиторских услуг.</w:t>
      </w:r>
    </w:p>
    <w:p w:rsidR="006C0BF8" w:rsidRDefault="006C0BF8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Необходимо четко разграничить и зафиксировать обязанности и ответственность клиента и обязанности и ответственность аудитора, с тем, чтобы впоследствии при возникновении спорной ситуации стороны могли надежно защитить свои интересы. </w:t>
      </w: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501797" w:rsidRDefault="00501797" w:rsidP="00A27F4A">
      <w:pPr>
        <w:pStyle w:val="3f3f3f3f3f3f3f3f3f3f"/>
        <w:keepNext/>
        <w:keepLines/>
        <w:spacing w:line="360" w:lineRule="auto"/>
        <w:ind w:firstLine="709"/>
        <w:contextualSpacing/>
        <w:jc w:val="both"/>
        <w:rPr>
          <w:sz w:val="28"/>
        </w:rPr>
      </w:pPr>
    </w:p>
    <w:p w:rsidR="00E03905" w:rsidRDefault="00E03905" w:rsidP="006C0BF8">
      <w:pPr>
        <w:pStyle w:val="3f3f3f3f3f3f3f3f3f3f"/>
        <w:keepNext/>
        <w:keepLines/>
        <w:ind w:firstLine="709"/>
        <w:contextualSpacing/>
        <w:jc w:val="both"/>
        <w:rPr>
          <w:sz w:val="28"/>
        </w:rPr>
      </w:pPr>
    </w:p>
    <w:p w:rsidR="00E03905" w:rsidRPr="00A27F4A" w:rsidRDefault="00E03905" w:rsidP="00A27F4A">
      <w:pPr>
        <w:pStyle w:val="3f3f3f3f3f3f3f3f3f3f"/>
        <w:keepNext/>
        <w:keepLines/>
        <w:spacing w:line="480" w:lineRule="auto"/>
        <w:ind w:firstLine="709"/>
        <w:contextualSpacing/>
        <w:jc w:val="center"/>
        <w:rPr>
          <w:sz w:val="36"/>
          <w:szCs w:val="36"/>
        </w:rPr>
      </w:pPr>
      <w:r w:rsidRPr="00A27F4A">
        <w:rPr>
          <w:sz w:val="36"/>
          <w:szCs w:val="36"/>
        </w:rPr>
        <w:t>Список используемой литературы</w:t>
      </w:r>
    </w:p>
    <w:p w:rsidR="00770CDB" w:rsidRPr="00770CDB" w:rsidRDefault="00770CDB" w:rsidP="00770CDB">
      <w:pPr>
        <w:pStyle w:val="3f3f3f3f3f3f3f3f3f3f"/>
        <w:keepNext/>
        <w:keepLines/>
        <w:numPr>
          <w:ilvl w:val="0"/>
          <w:numId w:val="15"/>
        </w:numPr>
        <w:spacing w:line="480" w:lineRule="auto"/>
        <w:contextualSpacing/>
        <w:jc w:val="both"/>
        <w:rPr>
          <w:rStyle w:val="apple-style-span"/>
          <w:sz w:val="28"/>
          <w:szCs w:val="28"/>
        </w:rPr>
      </w:pPr>
      <w:r w:rsidRPr="00770CDB">
        <w:rPr>
          <w:rStyle w:val="apple-style-span"/>
          <w:color w:val="000000"/>
          <w:sz w:val="28"/>
          <w:szCs w:val="28"/>
        </w:rPr>
        <w:t>Федеральный закон от 30 декабря 2008 г. N 307-ФЗ "Об аудиторской деятельности"</w:t>
      </w:r>
      <w:r w:rsidR="00A27F4A">
        <w:rPr>
          <w:rStyle w:val="apple-style-span"/>
          <w:color w:val="000000"/>
          <w:sz w:val="28"/>
          <w:szCs w:val="28"/>
        </w:rPr>
        <w:t>.</w:t>
      </w:r>
    </w:p>
    <w:p w:rsidR="00770CDB" w:rsidRPr="00DF183F" w:rsidRDefault="00DF183F" w:rsidP="00770CDB">
      <w:pPr>
        <w:pStyle w:val="3f3f3f3f3f3f3f3f3f3f"/>
        <w:keepNext/>
        <w:keepLines/>
        <w:numPr>
          <w:ilvl w:val="0"/>
          <w:numId w:val="15"/>
        </w:numPr>
        <w:spacing w:line="480" w:lineRule="auto"/>
        <w:contextualSpacing/>
        <w:jc w:val="both"/>
        <w:rPr>
          <w:rStyle w:val="apple-style-span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Горожанкина Е.А. Аудит: у</w:t>
      </w:r>
      <w:r w:rsidR="00770CDB" w:rsidRPr="00770CDB">
        <w:rPr>
          <w:rStyle w:val="apple-style-span"/>
          <w:color w:val="000000"/>
          <w:sz w:val="28"/>
          <w:szCs w:val="28"/>
        </w:rPr>
        <w:t>чебник. - М.: ИТК «Дашков и К», 2007. – 368 с.</w:t>
      </w:r>
    </w:p>
    <w:p w:rsidR="00DF183F" w:rsidRPr="00770CDB" w:rsidRDefault="00DF183F" w:rsidP="00770CDB">
      <w:pPr>
        <w:pStyle w:val="3f3f3f3f3f3f3f3f3f3f"/>
        <w:keepNext/>
        <w:keepLines/>
        <w:numPr>
          <w:ilvl w:val="0"/>
          <w:numId w:val="15"/>
        </w:numPr>
        <w:spacing w:line="480" w:lineRule="auto"/>
        <w:contextualSpacing/>
        <w:jc w:val="both"/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Суглобое А.Е., Жарылгасова Б.Т. Бухгалтерский учет и аудит: учебное пособие. – М.: КНОРУС, 2007. – 496 с.</w:t>
      </w:r>
    </w:p>
    <w:p w:rsidR="00770CDB" w:rsidRPr="00770CDB" w:rsidRDefault="00E03905" w:rsidP="00770CDB">
      <w:pPr>
        <w:pStyle w:val="3f3f3f3f3f3f3f3f3f3f"/>
        <w:keepNext/>
        <w:keepLines/>
        <w:numPr>
          <w:ilvl w:val="0"/>
          <w:numId w:val="15"/>
        </w:numPr>
        <w:spacing w:line="480" w:lineRule="auto"/>
        <w:contextualSpacing/>
        <w:jc w:val="both"/>
        <w:rPr>
          <w:sz w:val="28"/>
          <w:szCs w:val="28"/>
        </w:rPr>
      </w:pPr>
      <w:r w:rsidRPr="00770CDB">
        <w:rPr>
          <w:sz w:val="28"/>
          <w:szCs w:val="28"/>
        </w:rPr>
        <w:t>Суйц В.П., Шеремет А.Д. Аудит: учебник</w:t>
      </w:r>
      <w:r w:rsidR="00DF183F">
        <w:rPr>
          <w:sz w:val="28"/>
          <w:szCs w:val="28"/>
        </w:rPr>
        <w:t xml:space="preserve">. </w:t>
      </w:r>
      <w:r w:rsidRPr="00770CDB">
        <w:rPr>
          <w:sz w:val="28"/>
          <w:szCs w:val="28"/>
        </w:rPr>
        <w:t xml:space="preserve">– М.: </w:t>
      </w:r>
      <w:r w:rsidR="00770CDB" w:rsidRPr="00770CDB">
        <w:rPr>
          <w:sz w:val="28"/>
          <w:szCs w:val="28"/>
        </w:rPr>
        <w:t>ИНФРА-М, 2007. – 448с.</w:t>
      </w:r>
    </w:p>
    <w:p w:rsidR="00E03905" w:rsidRPr="00770CDB" w:rsidRDefault="00DF183F" w:rsidP="00770CDB">
      <w:pPr>
        <w:pStyle w:val="3f3f3f3f3f3f3f3f3f3f"/>
        <w:keepNext/>
        <w:keepLines/>
        <w:numPr>
          <w:ilvl w:val="0"/>
          <w:numId w:val="15"/>
        </w:numPr>
        <w:spacing w:line="480" w:lineRule="auto"/>
        <w:contextualSpacing/>
        <w:jc w:val="both"/>
        <w:rPr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Шлендер П.Э. Аудит: у</w:t>
      </w:r>
      <w:r w:rsidR="00770CDB" w:rsidRPr="00770CDB">
        <w:rPr>
          <w:rStyle w:val="apple-style-span"/>
          <w:color w:val="000000"/>
          <w:sz w:val="28"/>
          <w:szCs w:val="28"/>
        </w:rPr>
        <w:t xml:space="preserve">чебник. - М.: </w:t>
      </w:r>
      <w:r w:rsidR="00A27F4A">
        <w:rPr>
          <w:rStyle w:val="apple-style-span"/>
          <w:color w:val="000000"/>
          <w:sz w:val="28"/>
          <w:szCs w:val="28"/>
        </w:rPr>
        <w:t xml:space="preserve"> </w:t>
      </w:r>
      <w:r w:rsidR="00770CDB" w:rsidRPr="00770CDB">
        <w:rPr>
          <w:rStyle w:val="apple-style-span"/>
          <w:color w:val="000000"/>
          <w:sz w:val="28"/>
          <w:szCs w:val="28"/>
        </w:rPr>
        <w:t>Вузовский учебник, 2007. – 197 с.</w:t>
      </w:r>
      <w:r w:rsidR="00E03905" w:rsidRPr="00770CDB">
        <w:rPr>
          <w:sz w:val="28"/>
          <w:szCs w:val="28"/>
        </w:rPr>
        <w:t xml:space="preserve"> </w:t>
      </w:r>
      <w:bookmarkStart w:id="0" w:name="_GoBack"/>
      <w:bookmarkEnd w:id="0"/>
    </w:p>
    <w:sectPr w:rsidR="00E03905" w:rsidRPr="00770CDB" w:rsidSect="0068505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E77" w:rsidRDefault="00A31E77" w:rsidP="006E48B2">
      <w:r>
        <w:separator/>
      </w:r>
    </w:p>
  </w:endnote>
  <w:endnote w:type="continuationSeparator" w:id="0">
    <w:p w:rsidR="00A31E77" w:rsidRDefault="00A31E77" w:rsidP="006E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8B2" w:rsidRDefault="006E48B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0267">
      <w:rPr>
        <w:noProof/>
      </w:rPr>
      <w:t>1</w:t>
    </w:r>
    <w:r>
      <w:fldChar w:fldCharType="end"/>
    </w:r>
  </w:p>
  <w:p w:rsidR="006E48B2" w:rsidRDefault="006E48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E77" w:rsidRDefault="00A31E77" w:rsidP="006E48B2">
      <w:r>
        <w:separator/>
      </w:r>
    </w:p>
  </w:footnote>
  <w:footnote w:type="continuationSeparator" w:id="0">
    <w:p w:rsidR="00A31E77" w:rsidRDefault="00A31E77" w:rsidP="006E4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00000004"/>
    <w:name w:val="WW8Num1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  <w:sz w:val="20"/>
      </w:rPr>
    </w:lvl>
  </w:abstractNum>
  <w:abstractNum w:abstractNumId="2">
    <w:nsid w:val="00000006"/>
    <w:multiLevelType w:val="multilevel"/>
    <w:tmpl w:val="00000006"/>
    <w:name w:val="WW8Num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  <w:sz w:val="20"/>
      </w:rPr>
    </w:lvl>
  </w:abstractNum>
  <w:abstractNum w:abstractNumId="3">
    <w:nsid w:val="00000009"/>
    <w:multiLevelType w:val="multilevel"/>
    <w:tmpl w:val="00000009"/>
    <w:name w:val="WW8Num13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  <w:sz w:val="20"/>
      </w:rPr>
    </w:lvl>
  </w:abstractNum>
  <w:abstractNum w:abstractNumId="4">
    <w:nsid w:val="0000000A"/>
    <w:multiLevelType w:val="multilevel"/>
    <w:tmpl w:val="0000000A"/>
    <w:name w:val="WW8Num1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  <w:sz w:val="20"/>
      </w:r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  <w:sz w:val="20"/>
      </w:rPr>
    </w:lvl>
  </w:abstractNum>
  <w:abstractNum w:abstractNumId="6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ind w:left="1418" w:hanging="990"/>
      </w:pPr>
    </w:lvl>
  </w:abstractNum>
  <w:abstractNum w:abstractNumId="7">
    <w:nsid w:val="00000010"/>
    <w:multiLevelType w:val="singleLevel"/>
    <w:tmpl w:val="00000010"/>
    <w:name w:val="WW8Num6"/>
    <w:lvl w:ilvl="0">
      <w:start w:val="1"/>
      <w:numFmt w:val="decimal"/>
      <w:lvlText w:val="%1)"/>
      <w:lvlJc w:val="left"/>
      <w:pPr>
        <w:ind w:left="1418" w:hanging="990"/>
      </w:pPr>
    </w:lvl>
  </w:abstractNum>
  <w:abstractNum w:abstractNumId="8">
    <w:nsid w:val="00000011"/>
    <w:multiLevelType w:val="multilevel"/>
    <w:tmpl w:val="00000011"/>
    <w:name w:val="WW8Num5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  <w:sz w:val="20"/>
      </w:rPr>
    </w:lvl>
  </w:abstractNum>
  <w:abstractNum w:abstractNumId="9">
    <w:nsid w:val="00000012"/>
    <w:multiLevelType w:val="multilevel"/>
    <w:tmpl w:val="00000012"/>
    <w:name w:val="WW8Num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  <w:sz w:val="20"/>
      </w:rPr>
    </w:lvl>
  </w:abstractNum>
  <w:abstractNum w:abstractNumId="10">
    <w:nsid w:val="00000013"/>
    <w:multiLevelType w:val="multilevel"/>
    <w:tmpl w:val="00000013"/>
    <w:name w:val="WW8Num3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  <w:sz w:val="20"/>
      </w:rPr>
    </w:lvl>
  </w:abstractNum>
  <w:abstractNum w:abstractNumId="11">
    <w:nsid w:val="00000015"/>
    <w:multiLevelType w:val="singleLevel"/>
    <w:tmpl w:val="00000015"/>
    <w:name w:val="WW8Num1"/>
    <w:lvl w:ilvl="0">
      <w:start w:val="1"/>
      <w:numFmt w:val="decimal"/>
      <w:lvlText w:val="%1)"/>
      <w:lvlJc w:val="left"/>
      <w:pPr>
        <w:ind w:left="709" w:hanging="990"/>
      </w:pPr>
    </w:lvl>
  </w:abstractNum>
  <w:abstractNum w:abstractNumId="12">
    <w:nsid w:val="362A238C"/>
    <w:multiLevelType w:val="hybridMultilevel"/>
    <w:tmpl w:val="A2F64B3A"/>
    <w:lvl w:ilvl="0" w:tplc="07406D96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3">
    <w:nsid w:val="42E468DD"/>
    <w:multiLevelType w:val="hybridMultilevel"/>
    <w:tmpl w:val="48CAE8F2"/>
    <w:lvl w:ilvl="0" w:tplc="D97E69C0">
      <w:start w:val="1"/>
      <w:numFmt w:val="decimal"/>
      <w:lvlText w:val="%1."/>
      <w:lvlJc w:val="left"/>
      <w:pPr>
        <w:ind w:left="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9" w:hanging="360"/>
      </w:pPr>
    </w:lvl>
    <w:lvl w:ilvl="2" w:tplc="0419001B" w:tentative="1">
      <w:start w:val="1"/>
      <w:numFmt w:val="lowerRoman"/>
      <w:lvlText w:val="%3."/>
      <w:lvlJc w:val="right"/>
      <w:pPr>
        <w:ind w:left="1519" w:hanging="180"/>
      </w:pPr>
    </w:lvl>
    <w:lvl w:ilvl="3" w:tplc="0419000F" w:tentative="1">
      <w:start w:val="1"/>
      <w:numFmt w:val="decimal"/>
      <w:lvlText w:val="%4."/>
      <w:lvlJc w:val="left"/>
      <w:pPr>
        <w:ind w:left="2239" w:hanging="360"/>
      </w:pPr>
    </w:lvl>
    <w:lvl w:ilvl="4" w:tplc="04190019" w:tentative="1">
      <w:start w:val="1"/>
      <w:numFmt w:val="lowerLetter"/>
      <w:lvlText w:val="%5."/>
      <w:lvlJc w:val="left"/>
      <w:pPr>
        <w:ind w:left="2959" w:hanging="360"/>
      </w:pPr>
    </w:lvl>
    <w:lvl w:ilvl="5" w:tplc="0419001B" w:tentative="1">
      <w:start w:val="1"/>
      <w:numFmt w:val="lowerRoman"/>
      <w:lvlText w:val="%6."/>
      <w:lvlJc w:val="right"/>
      <w:pPr>
        <w:ind w:left="3679" w:hanging="180"/>
      </w:pPr>
    </w:lvl>
    <w:lvl w:ilvl="6" w:tplc="0419000F" w:tentative="1">
      <w:start w:val="1"/>
      <w:numFmt w:val="decimal"/>
      <w:lvlText w:val="%7."/>
      <w:lvlJc w:val="left"/>
      <w:pPr>
        <w:ind w:left="4399" w:hanging="360"/>
      </w:pPr>
    </w:lvl>
    <w:lvl w:ilvl="7" w:tplc="04190019" w:tentative="1">
      <w:start w:val="1"/>
      <w:numFmt w:val="lowerLetter"/>
      <w:lvlText w:val="%8."/>
      <w:lvlJc w:val="left"/>
      <w:pPr>
        <w:ind w:left="5119" w:hanging="360"/>
      </w:pPr>
    </w:lvl>
    <w:lvl w:ilvl="8" w:tplc="0419001B" w:tentative="1">
      <w:start w:val="1"/>
      <w:numFmt w:val="lowerRoman"/>
      <w:lvlText w:val="%9."/>
      <w:lvlJc w:val="right"/>
      <w:pPr>
        <w:ind w:left="5839" w:hanging="180"/>
      </w:pPr>
    </w:lvl>
  </w:abstractNum>
  <w:abstractNum w:abstractNumId="14">
    <w:nsid w:val="5C4C241A"/>
    <w:multiLevelType w:val="hybridMultilevel"/>
    <w:tmpl w:val="432C42A0"/>
    <w:lvl w:ilvl="0" w:tplc="86F01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0154E43"/>
    <w:multiLevelType w:val="hybridMultilevel"/>
    <w:tmpl w:val="502AB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12781"/>
    <w:multiLevelType w:val="hybridMultilevel"/>
    <w:tmpl w:val="F8624A8E"/>
    <w:lvl w:ilvl="0" w:tplc="4A286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6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3CB"/>
    <w:rsid w:val="000D2E1D"/>
    <w:rsid w:val="000E0267"/>
    <w:rsid w:val="000F5E8D"/>
    <w:rsid w:val="001900DC"/>
    <w:rsid w:val="001B7CB2"/>
    <w:rsid w:val="001D7D3C"/>
    <w:rsid w:val="00296F6C"/>
    <w:rsid w:val="003B5CED"/>
    <w:rsid w:val="00501797"/>
    <w:rsid w:val="00544763"/>
    <w:rsid w:val="0057344F"/>
    <w:rsid w:val="00642349"/>
    <w:rsid w:val="0068505A"/>
    <w:rsid w:val="006C0BF8"/>
    <w:rsid w:val="006E48B2"/>
    <w:rsid w:val="007416B9"/>
    <w:rsid w:val="007419A6"/>
    <w:rsid w:val="00770CDB"/>
    <w:rsid w:val="007F49D3"/>
    <w:rsid w:val="008273CB"/>
    <w:rsid w:val="008B6F5C"/>
    <w:rsid w:val="00900405"/>
    <w:rsid w:val="009B02B1"/>
    <w:rsid w:val="00A27F4A"/>
    <w:rsid w:val="00A31E77"/>
    <w:rsid w:val="00A614CD"/>
    <w:rsid w:val="00B37CEB"/>
    <w:rsid w:val="00B5254E"/>
    <w:rsid w:val="00C62351"/>
    <w:rsid w:val="00C62A36"/>
    <w:rsid w:val="00C63343"/>
    <w:rsid w:val="00DF183F"/>
    <w:rsid w:val="00E03905"/>
    <w:rsid w:val="00F142CF"/>
    <w:rsid w:val="00F25BF4"/>
    <w:rsid w:val="00F96154"/>
    <w:rsid w:val="00FE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C272E-F99D-45DD-8C27-6F7398A0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3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273CB"/>
    <w:pPr>
      <w:keepNext/>
      <w:keepLines/>
      <w:spacing w:before="200" w:line="360" w:lineRule="auto"/>
      <w:ind w:left="708"/>
      <w:outlineLvl w:val="1"/>
    </w:pPr>
    <w:rPr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8273CB"/>
  </w:style>
  <w:style w:type="character" w:customStyle="1" w:styleId="apple-converted-space">
    <w:name w:val="apple-converted-space"/>
    <w:basedOn w:val="a0"/>
    <w:rsid w:val="008273CB"/>
  </w:style>
  <w:style w:type="character" w:customStyle="1" w:styleId="20">
    <w:name w:val="Заголовок 2 Знак"/>
    <w:basedOn w:val="a0"/>
    <w:link w:val="2"/>
    <w:uiPriority w:val="99"/>
    <w:rsid w:val="008273CB"/>
    <w:rPr>
      <w:rFonts w:ascii="Times New Roman" w:eastAsia="Times New Roman" w:hAnsi="Times New Roman" w:cs="Times New Roman"/>
      <w:b/>
      <w:bCs/>
      <w:sz w:val="28"/>
      <w:szCs w:val="26"/>
      <w:lang w:eastAsia="zh-CN"/>
    </w:rPr>
  </w:style>
  <w:style w:type="paragraph" w:customStyle="1" w:styleId="3f3f3f3f3f3f3f3f3f3f">
    <w:name w:val="О3fб3fы3fч3fн3fы3fй3f (в3fе3fб3f)"/>
    <w:basedOn w:val="a"/>
    <w:uiPriority w:val="99"/>
    <w:rsid w:val="008273CB"/>
    <w:pPr>
      <w:spacing w:before="280" w:after="280"/>
    </w:pPr>
  </w:style>
  <w:style w:type="paragraph" w:customStyle="1" w:styleId="1">
    <w:name w:val="Абзац списку1"/>
    <w:basedOn w:val="a"/>
    <w:uiPriority w:val="34"/>
    <w:qFormat/>
    <w:rsid w:val="008273CB"/>
    <w:pPr>
      <w:ind w:left="720"/>
      <w:contextualSpacing/>
    </w:pPr>
  </w:style>
  <w:style w:type="paragraph" w:styleId="a3">
    <w:name w:val="header"/>
    <w:basedOn w:val="a"/>
    <w:link w:val="a4"/>
    <w:uiPriority w:val="99"/>
    <w:semiHidden/>
    <w:unhideWhenUsed/>
    <w:rsid w:val="006E48B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6E48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6E48B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E48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ody Text"/>
    <w:basedOn w:val="a"/>
    <w:link w:val="a8"/>
    <w:uiPriority w:val="99"/>
    <w:rsid w:val="006C0BF8"/>
    <w:pPr>
      <w:spacing w:line="360" w:lineRule="auto"/>
      <w:ind w:firstLine="709"/>
    </w:pPr>
    <w:rPr>
      <w:sz w:val="28"/>
      <w:szCs w:val="28"/>
    </w:rPr>
  </w:style>
  <w:style w:type="character" w:customStyle="1" w:styleId="a8">
    <w:name w:val="Основний текст Знак"/>
    <w:basedOn w:val="a0"/>
    <w:link w:val="a7"/>
    <w:uiPriority w:val="99"/>
    <w:rsid w:val="006C0BF8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10">
    <w:name w:val="Без інтервалів1"/>
    <w:link w:val="NoSpacingChar"/>
    <w:uiPriority w:val="1"/>
    <w:qFormat/>
    <w:rsid w:val="00642349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a0"/>
    <w:link w:val="10"/>
    <w:uiPriority w:val="1"/>
    <w:rsid w:val="00642349"/>
    <w:rPr>
      <w:rFonts w:eastAsia="Times New Roman"/>
      <w:sz w:val="22"/>
      <w:szCs w:val="22"/>
      <w:lang w:val="en-US"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642349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4234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1940</Words>
  <Characters>11063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cp:lastModifiedBy>Irina</cp:lastModifiedBy>
  <cp:revision>2</cp:revision>
  <dcterms:created xsi:type="dcterms:W3CDTF">2014-07-13T06:13:00Z</dcterms:created>
  <dcterms:modified xsi:type="dcterms:W3CDTF">2014-07-13T06:13:00Z</dcterms:modified>
</cp:coreProperties>
</file>