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05" w:rsidRPr="00D564A0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b/>
          <w:color w:val="000000"/>
          <w:sz w:val="28"/>
          <w:szCs w:val="28"/>
          <w:lang w:eastAsia="uk-UA"/>
        </w:rPr>
        <w:t>Содержание</w:t>
      </w:r>
    </w:p>
    <w:p w:rsidR="007A2605" w:rsidRPr="00D564A0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7A2605" w:rsidRPr="00D564A0" w:rsidRDefault="007A2605" w:rsidP="00F04E9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>Введение</w:t>
      </w:r>
    </w:p>
    <w:p w:rsidR="007A2605" w:rsidRPr="00D564A0" w:rsidRDefault="007A2605" w:rsidP="00F04E9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>Развитие конкуренции в Украине</w:t>
      </w:r>
    </w:p>
    <w:p w:rsidR="007A2605" w:rsidRPr="00D564A0" w:rsidRDefault="007A2605" w:rsidP="00F04E9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>Выводы</w:t>
      </w:r>
    </w:p>
    <w:p w:rsidR="007A2605" w:rsidRPr="00D564A0" w:rsidRDefault="007A2605" w:rsidP="00F04E9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>Литература</w:t>
      </w:r>
    </w:p>
    <w:p w:rsidR="00F04E9D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F04E9D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7A2605" w:rsidRPr="00D564A0" w:rsidRDefault="007A2605" w:rsidP="00F04E9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b/>
          <w:color w:val="000000"/>
          <w:sz w:val="28"/>
          <w:szCs w:val="28"/>
          <w:lang w:eastAsia="uk-UA"/>
        </w:rPr>
        <w:br w:type="page"/>
        <w:t>Введение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564A0">
        <w:rPr>
          <w:rFonts w:ascii="Times New Roman" w:hAnsi="Times New Roman"/>
          <w:color w:val="000000"/>
          <w:sz w:val="28"/>
          <w:szCs w:val="28"/>
          <w:lang w:val="uk-UA" w:eastAsia="uk-UA"/>
        </w:rPr>
        <w:t>При переходе</w:t>
      </w: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постсоветских стран к рыночной экономике декларировался принцип </w:t>
      </w:r>
      <w:r w:rsidR="00D564A0"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uk-UA"/>
        </w:rPr>
        <w:t>предоставить равные возможности всем желающим заниматься предпринимательской деятельностью на началах определенной экономической свободы. Реализацию этой цели и существование рыночных отношений определяют два главных постулата: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7A2605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частная собственность на средства производства, производимую продукцию, работы и услуги;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7A2605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свободное ценообразование при условии вмешательства государства в этот процесс только в каких-то экстраординарных случаях, чреватых снижением экономической безопасности страны.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рынках тех или иных типов сталкивается множество товаропроизводителей, которые, действуя на основе закона спроса и предложения, конкурируют друг с другом. Если этот процесс не регулировать, то он приобретает характер хаоса; но самый существенный вред национальной экономике может нанести чистая монополия или близкое к ней состояние, например олигополия. Структурными аспектами конкуренции занимались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И.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Кирцнер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Робинсон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Дж Стиглер,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Э.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Чемберлин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другие известные зарубежные ученые, которые заложили фундамент теории конкуренции и конкурентных отношений, представили оценку пользы и вреда от монополии.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iCs/>
          <w:color w:val="000000"/>
          <w:sz w:val="28"/>
          <w:szCs w:val="28"/>
          <w:lang w:eastAsia="ru-RU"/>
        </w:rPr>
        <w:t>В работе выполнен теоретико-практический анализ развития конкуренции в Украине за типами рыночных структур и видами экономической деятельности, выполнена оценка влиянию конкуренции на финансово-экономические результаты в некоторых видах экономической деятельности.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F04E9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F04E9D" w:rsidRPr="00D564A0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Развитие конкуренции в Украине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Рыночные преобразования в Украине, сопровождавшиеся разгосударствлением собственности и появлением новых структурных единиц, должны были привести к повышению уровня конкуренции между субъектами национальной экономики. Для анализа структурных предпосылок конкуренции предлагается выделять четыре типа рынков, а именно: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истой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монополии (доля наибольшего предприятия превышает 9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с признаками индивидуального доминирования (доля самого большого предприятия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от 35 до 9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с признаками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есткой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олигополии (доля трех наибольших предприятий превышает 5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) и, наконец, с конкурентной структурой. Данные таблицы 1 показывают, что за период 2000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заметно уменьшилась доля рынков с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истой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монополией (с 15,2 до 9,7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). Развились рынки с конкурентной структурой, доля которых возросла с 31,4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до 36,0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2005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Менее заметно уменьшение доли рынков с признаками доминирования, но зато увеличилось количество рынков, представленных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есткой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олигополией. То есть периодически рынки одного типа структуры преобразуются в рынки других типов.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r w:rsidRP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1</w:t>
      </w:r>
      <w:r w:rsidR="00F04E9D" w:rsidRP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  <w:r w:rsidR="00F04E9D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Динамика рынков различной структуры в Украине в период 2000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005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гг.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(%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4849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72"/>
        <w:gridCol w:w="1788"/>
        <w:gridCol w:w="1788"/>
        <w:gridCol w:w="1634"/>
      </w:tblGrid>
      <w:tr w:rsidR="007A2605" w:rsidRPr="00C368AD" w:rsidTr="00C368AD">
        <w:trPr>
          <w:cantSplit/>
          <w:trHeight w:val="211"/>
        </w:trPr>
        <w:tc>
          <w:tcPr>
            <w:tcW w:w="219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Тип рынка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2000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2004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88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7A2605" w:rsidRPr="00C368AD" w:rsidTr="00C368AD">
        <w:trPr>
          <w:cantSplit/>
          <w:trHeight w:val="230"/>
        </w:trPr>
        <w:tc>
          <w:tcPr>
            <w:tcW w:w="2193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«Чистая»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монополия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………………………….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15,20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8,88</w:t>
            </w:r>
          </w:p>
        </w:tc>
        <w:tc>
          <w:tcPr>
            <w:tcW w:w="88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9,75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219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признаками доминирования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38,86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38,17</w:t>
            </w:r>
          </w:p>
        </w:tc>
        <w:tc>
          <w:tcPr>
            <w:tcW w:w="88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36,34</w:t>
            </w:r>
          </w:p>
        </w:tc>
      </w:tr>
      <w:tr w:rsidR="007A2605" w:rsidRPr="00C368AD" w:rsidTr="00C368AD">
        <w:trPr>
          <w:cantSplit/>
          <w:trHeight w:val="197"/>
        </w:trPr>
        <w:tc>
          <w:tcPr>
            <w:tcW w:w="2193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«Жесткая»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олигополия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14,44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18,51</w:t>
            </w:r>
          </w:p>
        </w:tc>
        <w:tc>
          <w:tcPr>
            <w:tcW w:w="88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17,90</w:t>
            </w:r>
          </w:p>
        </w:tc>
      </w:tr>
      <w:tr w:rsidR="007A2605" w:rsidRPr="00C368AD" w:rsidTr="00C368AD">
        <w:trPr>
          <w:cantSplit/>
          <w:trHeight w:val="226"/>
        </w:trPr>
        <w:tc>
          <w:tcPr>
            <w:tcW w:w="219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конкурентной структурой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31,49</w:t>
            </w:r>
          </w:p>
        </w:tc>
        <w:tc>
          <w:tcPr>
            <w:tcW w:w="96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34,44</w:t>
            </w:r>
          </w:p>
        </w:tc>
        <w:tc>
          <w:tcPr>
            <w:tcW w:w="88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36,01</w:t>
            </w:r>
          </w:p>
        </w:tc>
      </w:tr>
    </w:tbl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Динамика распределения рынков</w:t>
      </w:r>
      <w:r w:rsidRPr="00D564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 признаку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конкуренции</w:t>
      </w:r>
      <w:r w:rsidRPr="00D564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общегосударственном и региональном уровнях показана в таблице 2. В 2005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заметно увеличилась доля рынков с конкурентной структурой и, соответственно, уменьшились доли рынков с признаками доминирования и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истой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монополии. Однако и на общегосударственном, и на региональном уровне увеличилась доля рынков с олигополистической структурой. Вместе с тем соотношение между общегосударственными и региональными рынками с различными уровнями конкуренции колеблется незначительно. Отмечается некоторый рост региональных рынков с признаками доминирования и олигополии (табл. 3). За 5 лет уменьшилась доля общегосударственных рынков с конкурентной структурой и возросла доля региональных рынков с такой же структурой.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2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Распределение рынков Украины по уровню конкуренции на общегосударственном и региональном уровнях в период 2000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005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гг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(%)</w:t>
      </w:r>
    </w:p>
    <w:tbl>
      <w:tblPr>
        <w:tblW w:w="4810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84"/>
        <w:gridCol w:w="1302"/>
        <w:gridCol w:w="784"/>
        <w:gridCol w:w="1302"/>
        <w:gridCol w:w="1009"/>
        <w:gridCol w:w="1302"/>
        <w:gridCol w:w="924"/>
      </w:tblGrid>
      <w:tr w:rsidR="007A2605" w:rsidRPr="00C368AD" w:rsidTr="00C368AD">
        <w:trPr>
          <w:cantSplit/>
          <w:trHeight w:val="206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33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2000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255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2004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209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F04E9D" w:rsidRPr="00C368AD" w:rsidTr="00C368AD">
        <w:trPr>
          <w:cantSplit/>
          <w:trHeight w:val="566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Тип рынка</w:t>
            </w: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осудар-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val="en-US" w:eastAsia="ru-RU"/>
              </w:rPr>
              <w:t xml:space="preserve"> III.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1С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нки</w:t>
            </w:r>
          </w:p>
        </w:tc>
        <w:tc>
          <w:tcPr>
            <w:tcW w:w="426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[альные нки</w:t>
            </w: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осудар-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нные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нки</w:t>
            </w:r>
          </w:p>
        </w:tc>
        <w:tc>
          <w:tcPr>
            <w:tcW w:w="548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альные нки</w:t>
            </w: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осудар-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нные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нки</w:t>
            </w:r>
          </w:p>
        </w:tc>
        <w:tc>
          <w:tcPr>
            <w:tcW w:w="502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альные нки</w:t>
            </w:r>
          </w:p>
        </w:tc>
      </w:tr>
      <w:tr w:rsidR="00F04E9D" w:rsidRPr="00C368AD" w:rsidTr="00C368AD">
        <w:trPr>
          <w:cantSplit/>
          <w:trHeight w:val="504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 стве ры</w:t>
            </w:r>
          </w:p>
        </w:tc>
        <w:tc>
          <w:tcPr>
            <w:tcW w:w="426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Региог</w:t>
            </w: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 стве ры</w:t>
            </w:r>
          </w:p>
        </w:tc>
        <w:tc>
          <w:tcPr>
            <w:tcW w:w="548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Регион</w:t>
            </w:r>
          </w:p>
        </w:tc>
        <w:tc>
          <w:tcPr>
            <w:tcW w:w="707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 стве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РЫ</w:t>
            </w:r>
          </w:p>
        </w:tc>
        <w:tc>
          <w:tcPr>
            <w:tcW w:w="502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Регион ры</w:t>
            </w:r>
          </w:p>
        </w:tc>
      </w:tr>
      <w:tr w:rsidR="00F04E9D" w:rsidRPr="00C368AD" w:rsidTr="00C368AD">
        <w:trPr>
          <w:cantSplit/>
          <w:trHeight w:val="226"/>
        </w:trPr>
        <w:tc>
          <w:tcPr>
            <w:tcW w:w="1403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«Чистая»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монополия.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7,27</w:t>
            </w: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16,48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4,55</w:t>
            </w: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9,46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5,24</w:t>
            </w: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10,36</w:t>
            </w:r>
          </w:p>
        </w:tc>
      </w:tr>
      <w:tr w:rsidR="00F04E9D" w:rsidRPr="00C368AD" w:rsidTr="00C368AD">
        <w:trPr>
          <w:cantSplit/>
          <w:trHeight w:val="202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признаками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04E9D" w:rsidRPr="00C368AD" w:rsidTr="00C368AD">
        <w:trPr>
          <w:cantSplit/>
          <w:trHeight w:val="202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доминирования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38,48</w:t>
            </w: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38,92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37,06</w:t>
            </w: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38,32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33,57</w:t>
            </w: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36,72</w:t>
            </w:r>
          </w:p>
        </w:tc>
      </w:tr>
      <w:tr w:rsidR="00F04E9D" w:rsidRPr="00C368AD" w:rsidTr="00C368AD">
        <w:trPr>
          <w:cantSplit/>
          <w:trHeight w:val="192"/>
        </w:trPr>
        <w:tc>
          <w:tcPr>
            <w:tcW w:w="1403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«Жесткая»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олигополия.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14,55</w:t>
            </w: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14,43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20,63</w:t>
            </w: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18,22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17,13</w:t>
            </w: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18,00</w:t>
            </w:r>
          </w:p>
        </w:tc>
      </w:tr>
      <w:tr w:rsidR="00F04E9D" w:rsidRPr="00C368AD" w:rsidTr="00C368AD">
        <w:trPr>
          <w:cantSplit/>
          <w:trHeight w:val="216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конкурентной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04E9D" w:rsidRPr="00C368AD" w:rsidTr="00C368AD">
        <w:trPr>
          <w:cantSplit/>
          <w:trHeight w:val="206"/>
        </w:trPr>
        <w:tc>
          <w:tcPr>
            <w:tcW w:w="140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структурой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39,70</w:t>
            </w:r>
          </w:p>
        </w:tc>
        <w:tc>
          <w:tcPr>
            <w:tcW w:w="4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30,17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37,76</w:t>
            </w:r>
          </w:p>
        </w:tc>
        <w:tc>
          <w:tcPr>
            <w:tcW w:w="54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33,99</w:t>
            </w:r>
          </w:p>
        </w:tc>
        <w:tc>
          <w:tcPr>
            <w:tcW w:w="70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44,06</w:t>
            </w:r>
          </w:p>
        </w:tc>
        <w:tc>
          <w:tcPr>
            <w:tcW w:w="50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34,91</w:t>
            </w:r>
          </w:p>
        </w:tc>
      </w:tr>
    </w:tbl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Среди видов экономической деятельности самым высоким уровнем конкуренции характеризуются торговля и посредничество </w:t>
      </w:r>
      <w:r w:rsidRPr="00D564A0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Доля таких рынков увеличилась с 90,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до 96,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2004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Продолжалось развитие конкуренции в горно-металлургическом комплексе, в то время как в агропродовольственном секторе и машиностроении доля рынков с конкурентной структурой уменьшилась; в первом случае уменьшение компенсировалось увеличением доли рынков олигополистических и с признаками доминирования, во втором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акже резко возросло количество рынков с признаками доминирования. Самым низким уровнем конкуренции характеризовались рынки топливно-энергетического комплекса, транспорта и связи, хотя в 2003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004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ситуация несколько улучшилась. По-прежнему самым высоким уровнем монополизации отличались рынки транспорта и связи, так как эти виды экономической деятельности относятся к естественной монополии и труднее всего поддаются государственному регулированию.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3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Распределение рынков с различными уровнями конкуренции между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государством и регионами в период 2000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005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="00F04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tbl>
      <w:tblPr>
        <w:tblW w:w="4876" w:type="pct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10"/>
        <w:gridCol w:w="950"/>
        <w:gridCol w:w="950"/>
        <w:gridCol w:w="950"/>
        <w:gridCol w:w="950"/>
        <w:gridCol w:w="952"/>
        <w:gridCol w:w="872"/>
      </w:tblGrid>
      <w:tr w:rsidR="007A2605" w:rsidRPr="00C368AD" w:rsidTr="00C368AD">
        <w:trPr>
          <w:cantSplit/>
          <w:trHeight w:val="355"/>
        </w:trPr>
        <w:tc>
          <w:tcPr>
            <w:tcW w:w="198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Тип рынка</w:t>
            </w:r>
          </w:p>
        </w:tc>
        <w:tc>
          <w:tcPr>
            <w:tcW w:w="1018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2000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18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2004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7A2605" w:rsidRPr="00C368AD" w:rsidTr="00C368AD">
        <w:trPr>
          <w:cantSplit/>
          <w:trHeight w:val="1080"/>
        </w:trPr>
        <w:tc>
          <w:tcPr>
            <w:tcW w:w="198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Общегосударственные рынки</w:t>
            </w:r>
          </w:p>
        </w:tc>
        <w:tc>
          <w:tcPr>
            <w:tcW w:w="509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Региональные рынки</w:t>
            </w:r>
          </w:p>
        </w:tc>
        <w:tc>
          <w:tcPr>
            <w:tcW w:w="509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Общегосударственные рынки</w:t>
            </w:r>
          </w:p>
        </w:tc>
        <w:tc>
          <w:tcPr>
            <w:tcW w:w="509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Региональные рынки</w:t>
            </w:r>
          </w:p>
        </w:tc>
        <w:tc>
          <w:tcPr>
            <w:tcW w:w="510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Общегосударственные рынки</w:t>
            </w:r>
          </w:p>
        </w:tc>
        <w:tc>
          <w:tcPr>
            <w:tcW w:w="468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Региональные рынки</w:t>
            </w:r>
          </w:p>
        </w:tc>
      </w:tr>
      <w:tr w:rsidR="007A2605" w:rsidRPr="00C368AD" w:rsidTr="00C368AD">
        <w:trPr>
          <w:cantSplit/>
          <w:trHeight w:val="341"/>
        </w:trPr>
        <w:tc>
          <w:tcPr>
            <w:tcW w:w="1987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«Чистая»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монополия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6,65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93,35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6,07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93,93</w:t>
            </w:r>
          </w:p>
        </w:tc>
        <w:tc>
          <w:tcPr>
            <w:tcW w:w="51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6,47</w:t>
            </w:r>
          </w:p>
        </w:tc>
        <w:tc>
          <w:tcPr>
            <w:tcW w:w="4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93,53</w:t>
            </w:r>
          </w:p>
        </w:tc>
      </w:tr>
      <w:tr w:rsidR="007A2605" w:rsidRPr="00C368AD" w:rsidTr="00C368AD">
        <w:trPr>
          <w:cantSplit/>
          <w:trHeight w:val="240"/>
        </w:trPr>
        <w:tc>
          <w:tcPr>
            <w:tcW w:w="198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признаками доминирования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13,76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86,24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11,52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88,48</w:t>
            </w:r>
          </w:p>
        </w:tc>
        <w:tc>
          <w:tcPr>
            <w:tcW w:w="51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11,10</w:t>
            </w:r>
          </w:p>
        </w:tc>
        <w:tc>
          <w:tcPr>
            <w:tcW w:w="4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88,90</w:t>
            </w:r>
          </w:p>
        </w:tc>
      </w:tr>
      <w:tr w:rsidR="007A2605" w:rsidRPr="00C368AD" w:rsidTr="00C368AD">
        <w:trPr>
          <w:cantSplit/>
          <w:trHeight w:val="192"/>
        </w:trPr>
        <w:tc>
          <w:tcPr>
            <w:tcW w:w="1987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«Жесткая» 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олигополия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13,99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86,01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13,23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86,77</w:t>
            </w:r>
          </w:p>
        </w:tc>
        <w:tc>
          <w:tcPr>
            <w:tcW w:w="51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11,50</w:t>
            </w:r>
          </w:p>
        </w:tc>
        <w:tc>
          <w:tcPr>
            <w:tcW w:w="4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88,50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198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 конкурентной структурой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17,51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82,49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13,01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86,99</w:t>
            </w:r>
          </w:p>
        </w:tc>
        <w:tc>
          <w:tcPr>
            <w:tcW w:w="51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14,70</w:t>
            </w:r>
          </w:p>
        </w:tc>
        <w:tc>
          <w:tcPr>
            <w:tcW w:w="4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85,30</w:t>
            </w:r>
          </w:p>
        </w:tc>
      </w:tr>
      <w:tr w:rsidR="007A2605" w:rsidRPr="00C368AD" w:rsidTr="00C368AD">
        <w:trPr>
          <w:cantSplit/>
          <w:trHeight w:val="211"/>
        </w:trPr>
        <w:tc>
          <w:tcPr>
            <w:tcW w:w="198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Всего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13,89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86,11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11,87</w:t>
            </w:r>
          </w:p>
        </w:tc>
        <w:tc>
          <w:tcPr>
            <w:tcW w:w="5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88,13</w:t>
            </w:r>
          </w:p>
        </w:tc>
        <w:tc>
          <w:tcPr>
            <w:tcW w:w="51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12,02</w:t>
            </w:r>
          </w:p>
        </w:tc>
        <w:tc>
          <w:tcPr>
            <w:tcW w:w="4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87,98</w:t>
            </w:r>
          </w:p>
        </w:tc>
      </w:tr>
    </w:tbl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Как показывают данные таблиц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, несмотря на увеличение доли рынков с конкурентной структурой, в национальной экономике преобладают рынки, для которых требуется постоянный контроль со стороны Антимонопольного комитета Украины, чтобы предотвратить злоупотребления, участившиеся к концу рассматриваемого периода (см. табл. 4).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4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Динамика злоупотр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>еблений монопольным положением</w:t>
      </w:r>
    </w:p>
    <w:tbl>
      <w:tblPr>
        <w:tblW w:w="4768" w:type="pct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42"/>
        <w:gridCol w:w="1594"/>
        <w:gridCol w:w="2032"/>
        <w:gridCol w:w="2322"/>
        <w:gridCol w:w="2037"/>
      </w:tblGrid>
      <w:tr w:rsidR="007A2605" w:rsidRPr="00C368AD" w:rsidTr="00C368AD">
        <w:trPr>
          <w:cantSplit/>
          <w:trHeight w:val="206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4374" w:type="pct"/>
            <w:gridSpan w:val="4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Разновидность злоупотреблений</w:t>
            </w:r>
          </w:p>
        </w:tc>
      </w:tr>
      <w:tr w:rsidR="007A2605" w:rsidRPr="00C368AD" w:rsidTr="00C368AD">
        <w:trPr>
          <w:cantSplit/>
          <w:trHeight w:val="739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ценового характера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договорного характера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направленное на сокращение производства или продажи продукции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прочие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2000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60,7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4,5</w:t>
            </w:r>
          </w:p>
        </w:tc>
      </w:tr>
      <w:tr w:rsidR="007A2605" w:rsidRPr="00C368AD" w:rsidTr="00C368AD">
        <w:trPr>
          <w:cantSplit/>
          <w:trHeight w:val="221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2001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58,4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28,8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10,9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1,9</w:t>
            </w:r>
          </w:p>
        </w:tc>
      </w:tr>
      <w:tr w:rsidR="007A2605" w:rsidRPr="00C368AD" w:rsidTr="00C368AD">
        <w:trPr>
          <w:cantSplit/>
          <w:trHeight w:val="221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2002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67,3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15,7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10,4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6,6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2003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71,6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2,4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9,5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16,5</w:t>
            </w:r>
          </w:p>
        </w:tc>
      </w:tr>
      <w:tr w:rsidR="007A2605" w:rsidRPr="00C368AD" w:rsidTr="00C368AD">
        <w:trPr>
          <w:cantSplit/>
          <w:trHeight w:val="221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2004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66,8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3,6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11,4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18,2</w:t>
            </w:r>
          </w:p>
        </w:tc>
      </w:tr>
      <w:tr w:rsidR="007A2605" w:rsidRPr="00C368AD" w:rsidTr="00C368AD">
        <w:trPr>
          <w:cantSplit/>
          <w:trHeight w:val="230"/>
        </w:trPr>
        <w:tc>
          <w:tcPr>
            <w:tcW w:w="62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</w:p>
        </w:tc>
        <w:tc>
          <w:tcPr>
            <w:tcW w:w="87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66,9</w:t>
            </w:r>
          </w:p>
        </w:tc>
        <w:tc>
          <w:tcPr>
            <w:tcW w:w="11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1.9</w:t>
            </w:r>
          </w:p>
        </w:tc>
        <w:tc>
          <w:tcPr>
            <w:tcW w:w="12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6,2</w:t>
            </w:r>
          </w:p>
        </w:tc>
        <w:tc>
          <w:tcPr>
            <w:tcW w:w="11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25</w:t>
            </w:r>
          </w:p>
        </w:tc>
      </w:tr>
    </w:tbl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Чаще всего злоупотребления связаны с завышением цен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самым легким способом получения дополнительной прибыли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носят договорный характер (сопровождаются картельными сговорами). Рост доли рынков с олигополистической структурой может привести к распространению именно таких злоупотреблений, ибо картельный сговор является одной из существенных черт олигополии. Экономический ущерб, нанесенный завышением цен, может быть значительным. Добыть неопровержимые доказательства картельного сговора сложно: ведь повышение цен может иметь и рыночную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природу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Косвенным подтверждением сговора служит согласованность действий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фирм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на рынках товаров. Если на практике доля такого рода злоупотреблений в динамике уменьшается, то растет доля других видов нарушений конкуренции, но число картельных сговоров не уменьшается. Так, в 2003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их было выявлено 75, в 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2005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77, в 2007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88. Поэтому необходима совместная работа Антимонопольного комитета Украины и силовых структур, подкрепленная соответствующим законодательством. Если, например, в США антимонопольные меры предусматривают жесткие санкции, вплоть до тюремного заключения, то в Украине такая норма не применяется.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Картельный сговор является следствием увеличения экономической концентрации. Чем меньше субъектов конкурирует на одном и том же рынке и чем они крупнее, чем чаще пересекаются их интересы, тем сильнее желание договориться о ценах, объемах продаж или о согласовании иных антиконкурентных действий, перечень которых приведен в Законе Украины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защите экономической конкуренции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Уровень концентрации в промышленности Украины отражают данные таблицы 5, которые показывают, что в 2006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10 самых крупных предприятий составили всего 0,01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общего числа, но их доля в продаже продукции достигла 20,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относительно невысокой численности работников. Следовательно, для таких предприятий должен быть характерным и более высокий уровень производительности труда, однако этот вывод неоднозначен, в чем убеждают показатели таблицы 6, которые свидетельствуют, что доля наибольших предприятий в объеме реализованной продукции с 2000 по 2006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увеличилась ненамного, а численность работников росла заметно более высокими темпами. Следовательно, можно считать, что на самых крупных предприятиях производительность труда в динамике уменьшилась.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5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Показатели концентрации в промышленности Украины в 2006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tbl>
      <w:tblPr>
        <w:tblW w:w="4849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22"/>
        <w:gridCol w:w="1410"/>
        <w:gridCol w:w="1484"/>
        <w:gridCol w:w="1299"/>
        <w:gridCol w:w="1288"/>
        <w:gridCol w:w="1337"/>
        <w:gridCol w:w="1142"/>
      </w:tblGrid>
      <w:tr w:rsidR="007A2605" w:rsidRPr="00C368AD" w:rsidTr="00C368AD">
        <w:trPr>
          <w:cantSplit/>
          <w:trHeight w:val="240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Число самых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крупных предприятий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(ед.)</w:t>
            </w:r>
          </w:p>
        </w:tc>
        <w:tc>
          <w:tcPr>
            <w:tcW w:w="4288" w:type="pct"/>
            <w:gridSpan w:val="6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Доля наибольших предприятий (%)</w:t>
            </w:r>
          </w:p>
        </w:tc>
      </w:tr>
      <w:tr w:rsidR="00F04E9D" w:rsidRPr="00C368AD" w:rsidTr="00C368AD">
        <w:trPr>
          <w:cantSplit/>
          <w:trHeight w:val="557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общем числе предприятий **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объеме реализованной продукции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численности работников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фонде оплаты труда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валовых капитальных инвестициях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расходах на инновации</w:t>
            </w:r>
          </w:p>
        </w:tc>
      </w:tr>
      <w:tr w:rsidR="00F04E9D" w:rsidRPr="00C368AD" w:rsidTr="00C368AD">
        <w:trPr>
          <w:cantSplit/>
          <w:trHeight w:val="230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0,018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20,1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6,9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11,3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14,1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173</w:t>
            </w:r>
          </w:p>
        </w:tc>
      </w:tr>
      <w:tr w:rsidR="00F04E9D" w:rsidRPr="00C368AD" w:rsidTr="00C368AD">
        <w:trPr>
          <w:cantSplit/>
          <w:trHeight w:val="235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0,037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28,5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15,7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25,8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17,8</w:t>
            </w:r>
          </w:p>
        </w:tc>
      </w:tr>
      <w:tr w:rsidR="00F04E9D" w:rsidRPr="00C368AD" w:rsidTr="00C368AD">
        <w:trPr>
          <w:cantSplit/>
          <w:trHeight w:val="230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0,092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15,4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23,9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35,8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28,8</w:t>
            </w:r>
          </w:p>
        </w:tc>
      </w:tr>
      <w:tr w:rsidR="00F04E9D" w:rsidRPr="00C368AD" w:rsidTr="00C368AD">
        <w:trPr>
          <w:cantSplit/>
          <w:trHeight w:val="235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0,184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52,4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23,2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34,9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46,5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39,1</w:t>
            </w:r>
          </w:p>
        </w:tc>
      </w:tr>
      <w:tr w:rsidR="00F04E9D" w:rsidRPr="00C368AD" w:rsidTr="00C368AD">
        <w:trPr>
          <w:cantSplit/>
          <w:trHeight w:val="230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0,276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58,1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28,6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42,1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53,9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523</w:t>
            </w:r>
          </w:p>
        </w:tc>
      </w:tr>
      <w:tr w:rsidR="00F04E9D" w:rsidRPr="00C368AD" w:rsidTr="00C368AD">
        <w:trPr>
          <w:cantSplit/>
          <w:trHeight w:val="250"/>
        </w:trPr>
        <w:tc>
          <w:tcPr>
            <w:tcW w:w="7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76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0.68</w:t>
            </w:r>
          </w:p>
        </w:tc>
        <w:tc>
          <w:tcPr>
            <w:tcW w:w="79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70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33.1</w:t>
            </w:r>
          </w:p>
        </w:tc>
        <w:tc>
          <w:tcPr>
            <w:tcW w:w="6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47,4</w:t>
            </w:r>
          </w:p>
        </w:tc>
        <w:tc>
          <w:tcPr>
            <w:tcW w:w="72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57,5</w:t>
            </w:r>
          </w:p>
        </w:tc>
        <w:tc>
          <w:tcPr>
            <w:tcW w:w="61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54,9</w:t>
            </w:r>
          </w:p>
        </w:tc>
      </w:tr>
    </w:tbl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Крупный бизнес</w:t>
      </w:r>
      <w:r w:rsidRPr="00D564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состоянии инвестировать средства в развитие, основанное на инновациях. Валовые капитальные инвестиции 10 самых крупных предприятий составляют седьмую часть инвестиций всех промышленных предприятий и почти шестую часть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в инновационных расходах (см. табл. 5); 200 самых крупных предприятий составляют всего 0,36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их общего числа, реализуя 61,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суммарного объема продукции. Оплата труда на них примерно вдвое выше, чем на остальных, так как при доле численности работников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33,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на фонд оплаты труда приходится 47,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Крупные предприятия могут получать в достаточном объеме финансовые ресурсы для капитальных инвестиций и инновационной деятельности. Доли расходов на эти цели составляют, соответственно, 57,5 и 54,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Таким образом, крупный бизнес имеет существенные конкурентные преимущества.</w:t>
      </w:r>
    </w:p>
    <w:p w:rsidR="00F04E9D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6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Динамика уровня концентрации в промышленности Украины в период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2000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2006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="00F04E9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tbl>
      <w:tblPr>
        <w:tblW w:w="4849" w:type="pct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728"/>
        <w:gridCol w:w="581"/>
        <w:gridCol w:w="581"/>
        <w:gridCol w:w="583"/>
        <w:gridCol w:w="876"/>
        <w:gridCol w:w="731"/>
        <w:gridCol w:w="1023"/>
        <w:gridCol w:w="876"/>
        <w:gridCol w:w="1171"/>
        <w:gridCol w:w="1183"/>
      </w:tblGrid>
      <w:tr w:rsidR="007A2605" w:rsidRPr="00C368AD" w:rsidTr="00C368AD">
        <w:trPr>
          <w:cantSplit/>
          <w:trHeight w:val="274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4"/>
                <w:lang w:eastAsia="ru-RU"/>
              </w:rPr>
              <w:t>а</w:t>
            </w:r>
          </w:p>
        </w:tc>
        <w:tc>
          <w:tcPr>
            <w:tcW w:w="4489" w:type="pct"/>
            <w:gridSpan w:val="10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Доля наибольших предприятий (%)</w:t>
            </w:r>
          </w:p>
        </w:tc>
      </w:tr>
      <w:tr w:rsidR="007A2605" w:rsidRPr="00C368AD" w:rsidTr="00C368AD">
        <w:trPr>
          <w:cantSplit/>
          <w:trHeight w:val="374"/>
        </w:trPr>
        <w:tc>
          <w:tcPr>
            <w:tcW w:w="511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Число самых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крупных гдприятий (е,</w:t>
            </w:r>
          </w:p>
        </w:tc>
        <w:tc>
          <w:tcPr>
            <w:tcW w:w="1332" w:type="pct"/>
            <w:gridSpan w:val="4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 объеме реализованной продукции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048" w:type="pct"/>
            <w:gridSpan w:val="4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uk-UA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  <w:t>в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uk-UA"/>
              </w:rPr>
              <w:t xml:space="preserve"> численности работников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04E9D" w:rsidRPr="00C368AD" w:rsidTr="00C368AD">
        <w:trPr>
          <w:cantSplit/>
          <w:trHeight w:val="504"/>
        </w:trPr>
        <w:tc>
          <w:tcPr>
            <w:tcW w:w="511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b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 о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U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СЧ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U</w:t>
            </w: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|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  <w:t>І</w:t>
            </w:r>
          </w:p>
        </w:tc>
        <w:tc>
          <w:tcPr>
            <w:tcW w:w="472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  <w:t xml:space="preserve">'емп рої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uk-UA"/>
              </w:rPr>
              <w:t>(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uk-UA"/>
              </w:rPr>
              <w:t xml:space="preserve">2006 г.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uk-UA"/>
              </w:rPr>
              <w:t>к 2000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uk-UA"/>
              </w:rPr>
              <w:t xml:space="preserve"> і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й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en-US"/>
              </w:rPr>
              <w:t>S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4"/>
                <w:lang w:eastAsia="ru-RU"/>
              </w:rPr>
              <w:t xml:space="preserve">и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о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en-US"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'емп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рої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(2006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val="uk-UA" w:eastAsia="ru-RU"/>
              </w:rPr>
              <w:t xml:space="preserve">1 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к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en-US" w:eastAsia="ru-RU"/>
              </w:rPr>
              <w:t xml:space="preserve"> 2000i</w:t>
            </w:r>
          </w:p>
        </w:tc>
      </w:tr>
      <w:tr w:rsidR="00F04E9D" w:rsidRPr="00C368AD" w:rsidTr="00C368AD">
        <w:trPr>
          <w:cantSplit/>
          <w:trHeight w:val="259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223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18,8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20,9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23,5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105,38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6,7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7,1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5,7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6,9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102,99</w:t>
            </w:r>
          </w:p>
        </w:tc>
      </w:tr>
      <w:tr w:rsidR="00F04E9D" w:rsidRPr="00C368AD" w:rsidTr="00C368AD">
        <w:trPr>
          <w:cantSplit/>
          <w:trHeight w:val="264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26,5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29,5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31,8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106,00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8,6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93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8,9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11638</w:t>
            </w:r>
          </w:p>
        </w:tc>
      </w:tr>
      <w:tr w:rsidR="00F04E9D" w:rsidRPr="00C368AD" w:rsidTr="00C368AD">
        <w:trPr>
          <w:cantSplit/>
          <w:trHeight w:val="264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42,5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38,4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41,9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43,2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101,65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14,4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14,9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143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15,4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106,94</w:t>
            </w:r>
          </w:p>
        </w:tc>
      </w:tr>
      <w:tr w:rsidR="00F04E9D" w:rsidRPr="00C368AD" w:rsidTr="00C368AD">
        <w:trPr>
          <w:cantSplit/>
          <w:trHeight w:val="259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51,1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47,8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52,7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101,57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20,8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22,7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233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122,11</w:t>
            </w:r>
          </w:p>
        </w:tc>
      </w:tr>
      <w:tr w:rsidR="00F04E9D" w:rsidRPr="00C368AD" w:rsidTr="00C368AD">
        <w:trPr>
          <w:cantSplit/>
          <w:trHeight w:val="264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150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56,1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58,6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56,9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101,43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22,9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24,9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283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28,6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124,89</w:t>
            </w:r>
          </w:p>
        </w:tc>
      </w:tr>
      <w:tr w:rsidR="00F04E9D" w:rsidRPr="00C368AD" w:rsidTr="00C368AD">
        <w:trPr>
          <w:cantSplit/>
          <w:trHeight w:val="293"/>
        </w:trPr>
        <w:tc>
          <w:tcPr>
            <w:tcW w:w="51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39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59,6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57,1</w:t>
            </w:r>
          </w:p>
        </w:tc>
        <w:tc>
          <w:tcPr>
            <w:tcW w:w="3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62,4</w:t>
            </w:r>
          </w:p>
        </w:tc>
        <w:tc>
          <w:tcPr>
            <w:tcW w:w="31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101,17</w:t>
            </w:r>
          </w:p>
        </w:tc>
        <w:tc>
          <w:tcPr>
            <w:tcW w:w="39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25,9</w:t>
            </w:r>
          </w:p>
        </w:tc>
        <w:tc>
          <w:tcPr>
            <w:tcW w:w="55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28,3</w:t>
            </w:r>
          </w:p>
        </w:tc>
        <w:tc>
          <w:tcPr>
            <w:tcW w:w="47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313</w:t>
            </w:r>
          </w:p>
        </w:tc>
        <w:tc>
          <w:tcPr>
            <w:tcW w:w="63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33,1</w:t>
            </w:r>
          </w:p>
        </w:tc>
        <w:tc>
          <w:tcPr>
            <w:tcW w:w="63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127,80</w:t>
            </w:r>
          </w:p>
        </w:tc>
      </w:tr>
    </w:tbl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Pr="00D564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одним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преимуществом</w:t>
      </w:r>
      <w:r w:rsidRPr="00D564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крупного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бизнеса является концентрация капитала, что служит барьером для вхождения на данный рынок других субъектов хозяйствования. Но концентрированный капитал требует и расширения сфер приложения. Для создания принципиально нового бизнеса, который принесет не одномоментные, а продолжительные конкурентные преимущества, требуются время и деньги, причем этот процесс характеризуется высокой степенью риска. Гораздо легче путем слияния или поглощения приобрести готовый бизнес и после снижения доходности перепродать его, а затем приобрести новый, более эффективный. О динамике таких явлений в экономике страны свидетельствуют данные Антимонопольного комитета (табл. 7).</w:t>
      </w:r>
    </w:p>
    <w:p w:rsidR="007A2605" w:rsidRPr="00D564A0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7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Динамика процессов концентрации в экономике Украины за период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2002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007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="00F04E9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tbl>
      <w:tblPr>
        <w:tblW w:w="4768" w:type="pct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19"/>
        <w:gridCol w:w="1161"/>
        <w:gridCol w:w="1451"/>
        <w:gridCol w:w="1595"/>
        <w:gridCol w:w="1886"/>
        <w:gridCol w:w="1915"/>
      </w:tblGrid>
      <w:tr w:rsidR="007A2605" w:rsidRPr="00C368AD" w:rsidTr="00C368AD">
        <w:trPr>
          <w:cantSplit/>
          <w:trHeight w:val="216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4387" w:type="pct"/>
            <w:gridSpan w:val="5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Способ концентрации</w:t>
            </w:r>
          </w:p>
        </w:tc>
      </w:tr>
      <w:tr w:rsidR="007A2605" w:rsidRPr="00C368AD" w:rsidTr="00C368AD">
        <w:trPr>
          <w:cantSplit/>
          <w:trHeight w:val="610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Слияние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Совместное образование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Приобретение контроля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Приобретение акций (долей, паев)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Другие способы</w:t>
            </w:r>
          </w:p>
        </w:tc>
      </w:tr>
      <w:tr w:rsidR="007A2605" w:rsidRPr="00C368AD" w:rsidTr="00C368AD">
        <w:trPr>
          <w:cantSplit/>
          <w:trHeight w:val="211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2002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13,57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4,02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236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5839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21,86</w:t>
            </w:r>
          </w:p>
        </w:tc>
      </w:tr>
      <w:tr w:rsidR="007A2605" w:rsidRPr="00C368AD" w:rsidTr="00C368AD">
        <w:trPr>
          <w:cantSplit/>
          <w:trHeight w:val="202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2003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17,02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6,99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2,13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55,02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18,84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2004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9,26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533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3,09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73,63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8,79</w:t>
            </w:r>
          </w:p>
        </w:tc>
      </w:tr>
      <w:tr w:rsidR="007A2605" w:rsidRPr="00C368AD" w:rsidTr="00C368AD">
        <w:trPr>
          <w:cantSplit/>
          <w:trHeight w:val="211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8,64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3,34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4,46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69,36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1431</w:t>
            </w:r>
          </w:p>
        </w:tc>
      </w:tr>
      <w:tr w:rsidR="007A2605" w:rsidRPr="00C368AD" w:rsidTr="00C368AD">
        <w:trPr>
          <w:cantSplit/>
          <w:trHeight w:val="211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2006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3,94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4,54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8,09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81,85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1,58</w:t>
            </w:r>
          </w:p>
        </w:tc>
      </w:tr>
      <w:tr w:rsidR="007A2605" w:rsidRPr="00C368AD" w:rsidTr="00C368AD">
        <w:trPr>
          <w:cantSplit/>
          <w:trHeight w:val="206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2007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1,81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2,92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1,53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9231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1,53</w:t>
            </w:r>
          </w:p>
        </w:tc>
      </w:tr>
      <w:tr w:rsidR="007A2605" w:rsidRPr="00C368AD" w:rsidTr="00C368AD">
        <w:trPr>
          <w:cantSplit/>
          <w:trHeight w:val="216"/>
        </w:trPr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6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7,79</w:t>
            </w:r>
          </w:p>
        </w:tc>
        <w:tc>
          <w:tcPr>
            <w:tcW w:w="79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4,28</w:t>
            </w:r>
          </w:p>
        </w:tc>
        <w:tc>
          <w:tcPr>
            <w:tcW w:w="87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3,55</w:t>
            </w:r>
          </w:p>
        </w:tc>
        <w:tc>
          <w:tcPr>
            <w:tcW w:w="103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75,01</w:t>
            </w:r>
          </w:p>
        </w:tc>
        <w:tc>
          <w:tcPr>
            <w:tcW w:w="105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9,37</w:t>
            </w:r>
          </w:p>
        </w:tc>
      </w:tr>
    </w:tbl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Данные таблицы 7 показывают, что такая форма приобретения бизнеса, как слияние, теряет свою значимость, ибо ее доля в общем количестве проявлений концентрации снизилась с 13,5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2002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до 1,8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2007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Зато существенно участились случаи приобретения акций (долей, паев), что можно считать в определенной мере поглощением предприятий посредством отчуждения корпоративных прав (сведений о дифференциации приобретенных пакетов акций либо долей в уставном капитале нет).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судя по данным таблиц 2, 5 и 6, уровень монополизации национальной экономики в динамике повышается, что так или иначе снижает уровень конкуренции. Одним из факторов, которые могут повлиять на этот процесс, является ускорение темпов развития малого бизнеса, доля которого в ВВП Украины составляет всего около 1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(в развитых странах -50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70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Самой объективной информацией о состоянии внутренней и внешней конкуренции «можно считать самооценку предприятий. Данные таблицы 8 показывают, что к 2007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все меньше предприятий оценивали конкуренцию как значительную. Соответственно возрастала оценка конкуренции как умеренной.</w:t>
      </w:r>
    </w:p>
    <w:p w:rsidR="007A2605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8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Степень ощутимости внутренней кон</w:t>
      </w:r>
      <w:r w:rsidR="00F04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куренции предприятиями Украины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(%)</w:t>
      </w:r>
    </w:p>
    <w:tbl>
      <w:tblPr>
        <w:tblW w:w="4849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16"/>
        <w:gridCol w:w="1886"/>
        <w:gridCol w:w="1595"/>
        <w:gridCol w:w="2174"/>
        <w:gridCol w:w="2311"/>
      </w:tblGrid>
      <w:tr w:rsidR="007A2605" w:rsidRPr="00C368AD" w:rsidTr="00C368AD">
        <w:trPr>
          <w:cantSplit/>
          <w:trHeight w:val="394"/>
        </w:trPr>
        <w:tc>
          <w:tcPr>
            <w:tcW w:w="7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4291" w:type="pct"/>
            <w:gridSpan w:val="4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Доля предприятий, оценивших внутреннюю конкуренцию как:</w:t>
            </w:r>
          </w:p>
        </w:tc>
      </w:tr>
      <w:tr w:rsidR="007A2605" w:rsidRPr="00C368AD" w:rsidTr="00C368AD">
        <w:trPr>
          <w:cantSplit/>
          <w:trHeight w:val="378"/>
        </w:trPr>
        <w:tc>
          <w:tcPr>
            <w:tcW w:w="7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значительную</w:t>
            </w:r>
          </w:p>
        </w:tc>
        <w:tc>
          <w:tcPr>
            <w:tcW w:w="85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умеренную</w:t>
            </w:r>
          </w:p>
        </w:tc>
        <w:tc>
          <w:tcPr>
            <w:tcW w:w="117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слабую</w:t>
            </w:r>
          </w:p>
        </w:tc>
        <w:tc>
          <w:tcPr>
            <w:tcW w:w="124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отсутствующую</w:t>
            </w:r>
          </w:p>
        </w:tc>
      </w:tr>
      <w:tr w:rsidR="007A2605" w:rsidRPr="00C368AD" w:rsidTr="00C368AD">
        <w:trPr>
          <w:cantSplit/>
          <w:trHeight w:val="240"/>
        </w:trPr>
        <w:tc>
          <w:tcPr>
            <w:tcW w:w="7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2005</w:t>
            </w:r>
          </w:p>
        </w:tc>
        <w:tc>
          <w:tcPr>
            <w:tcW w:w="10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85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17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</w:tr>
      <w:tr w:rsidR="007A2605" w:rsidRPr="00C368AD" w:rsidTr="00C368AD">
        <w:trPr>
          <w:cantSplit/>
          <w:trHeight w:val="230"/>
        </w:trPr>
        <w:tc>
          <w:tcPr>
            <w:tcW w:w="7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2006</w:t>
            </w:r>
          </w:p>
        </w:tc>
        <w:tc>
          <w:tcPr>
            <w:tcW w:w="10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85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117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4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7A2605" w:rsidRPr="00C368AD" w:rsidTr="00C368AD">
        <w:trPr>
          <w:cantSplit/>
          <w:trHeight w:val="254"/>
        </w:trPr>
        <w:tc>
          <w:tcPr>
            <w:tcW w:w="70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2007</w:t>
            </w:r>
          </w:p>
        </w:tc>
        <w:tc>
          <w:tcPr>
            <w:tcW w:w="101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85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1171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44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</w:tr>
    </w:tbl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В то же время увеличивается доля предприятий, отмечающих, что конкуренция в соответствующем виде экономической деятельности усиливается (табл. 9). В промышленности и строительстве с 1998 по 2007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. уровень ощущаемой конкуренции повысился, а на транспорте остался неизменным. Единственным видом деятельности со слабой ощутимостью конкуренции является сельское хозяйство, хотя в динамике наблюдается повышение. Снизилась конкуренция в торговле, что можно объяснить ростом количества супермаркетов в городах: малые предприятия, попавшие в зону их охвата, естественно, не выдержали конкуренции и были вынуждены закрываться или перемещаться в менее удобные, с точки зрения притока покупателей, пункты.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7A2605" w:rsidRP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Таблица 9</w:t>
      </w:r>
      <w:r w:rsidR="00F04E9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Степень ощутимости внутренней конкуренции предприятиями отдельных ви</w:t>
      </w:r>
      <w:r w:rsidR="00F04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дов экономической деятельности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(%)</w:t>
      </w:r>
    </w:p>
    <w:tbl>
      <w:tblPr>
        <w:tblW w:w="4863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68"/>
        <w:gridCol w:w="1140"/>
        <w:gridCol w:w="998"/>
        <w:gridCol w:w="1434"/>
        <w:gridCol w:w="1577"/>
        <w:gridCol w:w="1592"/>
      </w:tblGrid>
      <w:tr w:rsidR="007A2605" w:rsidRPr="00C368AD" w:rsidTr="00C368AD">
        <w:trPr>
          <w:cantSplit/>
          <w:trHeight w:val="394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3621" w:type="pct"/>
            <w:gridSpan w:val="5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Доля предприятий, которые ощущали значительное давление со стороны отечественных конкурентов</w:t>
            </w:r>
          </w:p>
        </w:tc>
      </w:tr>
      <w:tr w:rsidR="00F04E9D" w:rsidRPr="00C368AD" w:rsidTr="00C368AD">
        <w:trPr>
          <w:cantSplit/>
          <w:trHeight w:val="250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1998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2002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2005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2006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2007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F04E9D" w:rsidRPr="00C368AD" w:rsidTr="00C368AD">
        <w:trPr>
          <w:cantSplit/>
          <w:trHeight w:val="269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Промышленность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………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36</w:t>
            </w:r>
          </w:p>
        </w:tc>
      </w:tr>
      <w:tr w:rsidR="00F04E9D" w:rsidRPr="00C368AD" w:rsidTr="00C368AD">
        <w:trPr>
          <w:cantSplit/>
          <w:trHeight w:val="245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Строительство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……………</w:t>
            </w: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36</w:t>
            </w:r>
          </w:p>
        </w:tc>
      </w:tr>
      <w:tr w:rsidR="00F04E9D" w:rsidRPr="00C368AD" w:rsidTr="00C368AD">
        <w:trPr>
          <w:cantSplit/>
          <w:trHeight w:val="240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Транспорт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………………….</w:t>
            </w: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54</w:t>
            </w:r>
          </w:p>
        </w:tc>
      </w:tr>
      <w:tr w:rsidR="00F04E9D" w:rsidRPr="00C368AD" w:rsidTr="00C368AD">
        <w:trPr>
          <w:cantSplit/>
          <w:trHeight w:val="226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Сельское хозяйство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……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</w:tr>
      <w:tr w:rsidR="00F04E9D" w:rsidRPr="00C368AD" w:rsidTr="00C368AD">
        <w:trPr>
          <w:cantSplit/>
          <w:trHeight w:val="250"/>
        </w:trPr>
        <w:tc>
          <w:tcPr>
            <w:tcW w:w="1379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Розничная торговля</w:t>
            </w:r>
            <w:r w:rsidR="00D564A0"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……</w:t>
            </w: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613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53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770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84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855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50</w:t>
            </w:r>
          </w:p>
        </w:tc>
      </w:tr>
    </w:tbl>
    <w:p w:rsidR="007A2605" w:rsidRPr="00D564A0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br w:type="page"/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Украинские предприниматели испытывают конкурентное давление также со стороны товаропроизводителей ближнего и дальнего зарубежья. В частности, как показано на рисунке, виды экономической деятельности с 1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noBreakHyphen/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 по 7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-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й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сильнее всего ощущают конкуренцию со стороны отечественных товаропроизводителей и в меньшей степени 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 стороны зарубежных экономических агентов. Легкая, химическая и нефтехимическая промышленность, машиностроение больше, чем другие отрасли, ощущают внешнее конкурентное давление.</w:t>
      </w:r>
    </w:p>
    <w:p w:rsidR="00F04E9D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Оценка ощутимости конкуренции по видам экономической деятельности со стороны отечественных и з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>арубежных товаропроизводителей: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финансовая деятельность;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пищевая промышленность и обработка сельскохозяйственных продуктов;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транспорт;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строительство; 5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сельское, охотничье и лесное хозяйство;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авиационный транспорт;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водный транспорт;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="00D564A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легкая промышленность;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 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химическая и нефтехимическая промышленность;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10 – машиностроение.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Следовательно, за время перехода Украины к рыночным условиям хозяйствования уровень конкуренции возрос, но темпы роста были неодинаковы на различных рынках и в разных сферах деятельности. Сопоставление данных о динамике финансово-экономических показателей (табл. 10) и данных по ощутимости внутренней конкуренции (см. табл. 9) позволяет сделать предположение об их взаимосвязи: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 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хотя в промышленности ощутимость внутренней конкуренции ниже, чем на транспорте и в торговле, ее уровень повысился к концу 2006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., что явилось одним из факторов роста финансово-экономических показателей на фоне почти неизменных убытков;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 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строительстве наблюдается аналогичная ситуация;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 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транспорт и розничная торговля характеризуются примерно одинаковым уровнем ощутимости конкуренции, наблюдаются незначительные колебания финансово-экономические показателей;</w:t>
      </w:r>
    </w:p>
    <w:p w:rsidR="007A2605" w:rsidRPr="00D564A0" w:rsidRDefault="00D564A0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 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самый низкий уровень ощутимости конкуренции наблюдается в сельском хозяйстве, но в 2005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006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гг</w:t>
      </w:r>
      <w:r w:rsidR="007A2605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 резко увеличились финансовый результат и рентабельность. Определенную роль в этом сыграл фактор роста ощутимости конкуренции.</w:t>
      </w:r>
    </w:p>
    <w:p w:rsidR="007A2605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04E9D" w:rsidRPr="00D564A0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2605" w:rsidRPr="00D564A0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r w:rsidR="007A2605" w:rsidRPr="00D564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Выводы</w:t>
      </w:r>
    </w:p>
    <w:p w:rsidR="00F04E9D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Анализ статистических источников и данных Антимонопольного комитета Украины показывает, что за годы становления рыночной экономики уровень монополизации несколько снизился. Совокупная доля рынков с 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ч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истой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монополией, с признаками доминирования и 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ж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есткой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олигополией существенно превышает долю ры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нков с конкурентной структурой.</w:t>
      </w:r>
    </w:p>
    <w:p w:rsidR="00F04E9D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2605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Финансово-экономические результаты по некоторым видам деятельности за период 1998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006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гг</w:t>
      </w:r>
      <w:r w:rsidR="00F04E9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tbl>
      <w:tblPr>
        <w:tblW w:w="4835" w:type="pct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56"/>
        <w:gridCol w:w="1051"/>
        <w:gridCol w:w="1050"/>
        <w:gridCol w:w="1050"/>
        <w:gridCol w:w="948"/>
      </w:tblGrid>
      <w:tr w:rsidR="007A2605" w:rsidRPr="00C368AD" w:rsidTr="00C368AD">
        <w:trPr>
          <w:cantSplit/>
          <w:trHeight w:val="288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Показатель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1998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2002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2005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2006</w:t>
            </w:r>
            <w:r w:rsidR="00D564A0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 г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  <w:tr w:rsidR="007A2605" w:rsidRPr="00C368AD" w:rsidTr="00C368AD">
        <w:trPr>
          <w:cantSplit/>
          <w:trHeight w:val="326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Промышленность: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7A2605" w:rsidRPr="00C368AD" w:rsidTr="00C368AD">
        <w:trPr>
          <w:cantSplit/>
          <w:trHeight w:val="264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финансовый результат до налогообложения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(мли гри)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2548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2866,5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28264,3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24699,6</w:t>
            </w:r>
          </w:p>
        </w:tc>
      </w:tr>
      <w:tr w:rsidR="007A2605" w:rsidRPr="00C368AD" w:rsidTr="00C368AD">
        <w:trPr>
          <w:cantSplit/>
          <w:trHeight w:val="274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убытки (млн.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гри)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>…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7074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11329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8888,3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11203,4</w:t>
            </w:r>
          </w:p>
        </w:tc>
      </w:tr>
      <w:tr w:rsidR="007A2605" w:rsidRPr="00C368AD" w:rsidTr="00C368AD">
        <w:trPr>
          <w:cantSplit/>
          <w:trHeight w:val="221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рентабельность операционной деятельности (%)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2,6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5,5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5,8</w:t>
            </w:r>
          </w:p>
        </w:tc>
      </w:tr>
      <w:tr w:rsidR="007A2605" w:rsidRPr="00C368AD" w:rsidTr="00C368AD">
        <w:trPr>
          <w:cantSplit/>
          <w:trHeight w:val="322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Строительство: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7A2605" w:rsidRPr="00C368AD" w:rsidTr="00C368AD">
        <w:trPr>
          <w:cantSplit/>
          <w:trHeight w:val="226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финансовый результат до налогообложения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(мли гри)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830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-39,6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872,2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1603,1</w:t>
            </w:r>
          </w:p>
        </w:tc>
      </w:tr>
      <w:tr w:rsidR="007A2605" w:rsidRPr="00C368AD" w:rsidTr="00C368AD">
        <w:trPr>
          <w:cantSplit/>
          <w:trHeight w:val="312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убытки (млн.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гри)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>…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…………………………………………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299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971,9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1770,6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1975,3</w:t>
            </w:r>
          </w:p>
        </w:tc>
      </w:tr>
      <w:tr w:rsidR="007A2605" w:rsidRPr="00C368AD" w:rsidTr="00C368AD">
        <w:trPr>
          <w:cantSplit/>
          <w:trHeight w:val="226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рентабельность операционной деятельности (%)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2,2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3,1</w:t>
            </w:r>
          </w:p>
        </w:tc>
      </w:tr>
      <w:tr w:rsidR="007A2605" w:rsidRPr="00C368AD" w:rsidTr="00C368AD">
        <w:trPr>
          <w:cantSplit/>
          <w:trHeight w:val="322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Транспорт: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7A2605" w:rsidRPr="00C368AD" w:rsidTr="00C368AD">
        <w:trPr>
          <w:cantSplit/>
          <w:trHeight w:val="259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финансовый результат до налогообложения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(мли гри)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5095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4269,4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9629,7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8499,7</w:t>
            </w:r>
          </w:p>
        </w:tc>
      </w:tr>
      <w:tr w:rsidR="007A2605" w:rsidRPr="00C368AD" w:rsidTr="00C368AD">
        <w:trPr>
          <w:cantSplit/>
          <w:trHeight w:val="283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убытки (млн.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гри)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……………………………………………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567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1214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1778,3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2774,9</w:t>
            </w:r>
          </w:p>
        </w:tc>
      </w:tr>
      <w:tr w:rsidR="007A2605" w:rsidRPr="00C368AD" w:rsidTr="00C368AD">
        <w:trPr>
          <w:cantSplit/>
          <w:trHeight w:val="221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рентабельность операционной деятельности (%)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9,2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11,7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9,9</w:t>
            </w:r>
          </w:p>
        </w:tc>
      </w:tr>
      <w:tr w:rsidR="007A2605" w:rsidRPr="00C368AD" w:rsidTr="00C368AD">
        <w:trPr>
          <w:cantSplit/>
          <w:trHeight w:val="307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Сельское хозяйство: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7A2605" w:rsidRPr="00C368AD" w:rsidTr="00C368AD">
        <w:trPr>
          <w:cantSplit/>
          <w:trHeight w:val="283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финансовый результат до налогообложения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(мли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 xml:space="preserve"> три)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-4424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-254,6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3702,4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2731</w:t>
            </w:r>
          </w:p>
        </w:tc>
      </w:tr>
      <w:tr w:rsidR="007A2605" w:rsidRPr="00C368AD" w:rsidTr="00C368AD">
        <w:trPr>
          <w:cantSplit/>
          <w:trHeight w:val="269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убытки (млн.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гри)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……………………………………………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4538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2291,2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1707,3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1956,1</w:t>
            </w:r>
          </w:p>
        </w:tc>
      </w:tr>
      <w:tr w:rsidR="007A2605" w:rsidRPr="00C368AD" w:rsidTr="00C368AD">
        <w:trPr>
          <w:cantSplit/>
          <w:trHeight w:val="226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рентабельность операционной деятельности (%)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12,7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  <w:tr w:rsidR="007A2605" w:rsidRPr="00C368AD" w:rsidTr="00C368AD">
        <w:trPr>
          <w:cantSplit/>
          <w:trHeight w:val="322"/>
        </w:trPr>
        <w:tc>
          <w:tcPr>
            <w:tcW w:w="2786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Торговля: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7A2605" w:rsidRPr="00C368AD" w:rsidTr="00C368AD">
        <w:trPr>
          <w:cantSplit/>
          <w:trHeight w:val="264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финансовый результат до налогообложения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(мли гри)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-1879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4356,4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9464,2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10334,8</w:t>
            </w:r>
          </w:p>
        </w:tc>
      </w:tr>
      <w:tr w:rsidR="007A2605" w:rsidRPr="00C368AD" w:rsidTr="00C368AD">
        <w:trPr>
          <w:cantSplit/>
          <w:trHeight w:val="269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убытки (млн.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 xml:space="preserve"> гри)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 w:eastAsia="ru-RU"/>
              </w:rPr>
              <w:t>…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………………………………………….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3277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4829,7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6024,6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8713,2</w:t>
            </w:r>
          </w:p>
        </w:tc>
      </w:tr>
      <w:tr w:rsidR="007A2605" w:rsidRPr="00C368AD" w:rsidTr="00C368AD">
        <w:trPr>
          <w:cantSplit/>
          <w:trHeight w:val="245"/>
        </w:trPr>
        <w:tc>
          <w:tcPr>
            <w:tcW w:w="2786" w:type="pct"/>
            <w:shd w:val="clear" w:color="auto" w:fill="auto"/>
          </w:tcPr>
          <w:p w:rsidR="007A2605" w:rsidRPr="00C368AD" w:rsidRDefault="00D564A0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– </w:t>
            </w:r>
            <w:r w:rsidR="007A2605"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рентабельность операционной деятельности (%)</w:t>
            </w: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………</w:t>
            </w:r>
          </w:p>
        </w:tc>
        <w:tc>
          <w:tcPr>
            <w:tcW w:w="568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14,9</w:t>
            </w:r>
          </w:p>
        </w:tc>
        <w:tc>
          <w:tcPr>
            <w:tcW w:w="567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14,8</w:t>
            </w:r>
          </w:p>
        </w:tc>
        <w:tc>
          <w:tcPr>
            <w:tcW w:w="512" w:type="pct"/>
            <w:shd w:val="clear" w:color="auto" w:fill="auto"/>
          </w:tcPr>
          <w:p w:rsidR="007A2605" w:rsidRPr="00C368AD" w:rsidRDefault="007A2605" w:rsidP="00C368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</w:pPr>
            <w:r w:rsidRPr="00C368AD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12,7</w:t>
            </w:r>
          </w:p>
        </w:tc>
      </w:tr>
    </w:tbl>
    <w:p w:rsidR="007A2605" w:rsidRPr="00D564A0" w:rsidRDefault="00F04E9D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7A2605" w:rsidRPr="00D564A0">
        <w:rPr>
          <w:rFonts w:ascii="Times New Roman" w:hAnsi="Times New Roman"/>
          <w:color w:val="000000"/>
          <w:sz w:val="28"/>
          <w:szCs w:val="28"/>
          <w:lang w:eastAsia="ru-RU"/>
        </w:rPr>
        <w:t>Высокий уровень монополизации экономики подтверждают также данные об экономической концентрации в промышленности и существенных конкурентных преимуществах крупного бизнеса. По видам экономической деятельности самый высокий уровень конкуренции присущ торговле и посредничеству. Продолжалось развитие конкуренции в горно-металлургическом комплексе, в то время как в агропродовольственном секторе и машиностроении доля рынков с конкурентной структурой уменьшилась. В машиностроении резко возросло количество рынков с признаками доминирования. Самый низкий уровень конкуренции зафиксирован на рынках топливно-энергетического комплекса, транспорта и связи.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В динамике наблюдается тенденция ослабления конкуренции, о чем свидетельствует уменьшение доли предприятий, оценивающих конкуренцию как значительную. Соответственно возрастает оценка конкуренции как умеренной.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Сравнение динамики финансово-экономических показателей и степени ощутимости предприятиями внутренней конкуренции показывает наличие факторной связи между ними. В промышленности и строительстве повышение уровня конкуренции коррелирует с ростом финансово-экономических показателей. Виды экономической деятельности, где конкуренция ощутимее, характеризуются и более высоким уровнем рентабельности.</w:t>
      </w:r>
    </w:p>
    <w:p w:rsidR="007A2605" w:rsidRPr="00D564A0" w:rsidRDefault="007A2605" w:rsidP="00D56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color w:val="000000"/>
          <w:sz w:val="28"/>
          <w:szCs w:val="28"/>
          <w:lang w:eastAsia="ru-RU"/>
        </w:rPr>
        <w:t>Повышение уровня монополизации в разнообразных ее формах актуализирует неотложные меры по развитию малого бизнеса. Когда наемные работники крупных предприятий сами станут предпринимателями, в экономике образуется критическая конкурентная масса, противостоящая монополистам.</w:t>
      </w:r>
    </w:p>
    <w:p w:rsidR="00F04E9D" w:rsidRDefault="00F04E9D" w:rsidP="00D564A0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7A2605" w:rsidRPr="00D564A0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br w:type="page"/>
      </w:r>
      <w:r w:rsidRPr="00D564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7A2605" w:rsidRPr="00D564A0" w:rsidRDefault="007A2605" w:rsidP="00D564A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</w:p>
    <w:p w:rsidR="007A2605" w:rsidRPr="00D564A0" w:rsidRDefault="007A2605" w:rsidP="00F04E9D">
      <w:pPr>
        <w:pStyle w:val="a3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Конкуренція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Україні. Аналітична доповідь щодо стану, тенденцій і проблем розвитку економічної конкуренції в Україні у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2000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005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роках,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http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://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www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kmu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gov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ua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/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amc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/ 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doccatalog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/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document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Pr="00D564A0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fid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=47018.</w:t>
      </w:r>
    </w:p>
    <w:p w:rsidR="007A2605" w:rsidRPr="00D564A0" w:rsidRDefault="007A2605" w:rsidP="00F04E9D">
      <w:pPr>
        <w:pStyle w:val="a3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564A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ПархомчукД.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В тюрьму за сговор. 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«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И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нвестгазета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»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от 21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7 января 2008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г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., 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с.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 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2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8</w:t>
      </w:r>
      <w:r w:rsid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–</w:t>
      </w:r>
      <w:r w:rsidR="00D564A0"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3</w:t>
      </w:r>
      <w:r w:rsidRPr="00D564A0">
        <w:rPr>
          <w:rFonts w:ascii="Times New Roman" w:hAnsi="Times New Roman"/>
          <w:bCs/>
          <w:color w:val="000000"/>
          <w:sz w:val="28"/>
          <w:szCs w:val="28"/>
          <w:lang w:eastAsia="uk-UA"/>
        </w:rPr>
        <w:t>4</w:t>
      </w:r>
      <w:bookmarkStart w:id="0" w:name="_GoBack"/>
      <w:bookmarkEnd w:id="0"/>
    </w:p>
    <w:sectPr w:rsidR="007A2605" w:rsidRPr="00D564A0" w:rsidSect="00D564A0"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8AD" w:rsidRDefault="00C368AD" w:rsidP="00462D78">
      <w:pPr>
        <w:spacing w:after="0" w:line="240" w:lineRule="auto"/>
      </w:pPr>
      <w:r>
        <w:separator/>
      </w:r>
    </w:p>
  </w:endnote>
  <w:endnote w:type="continuationSeparator" w:id="0">
    <w:p w:rsidR="00C368AD" w:rsidRDefault="00C368AD" w:rsidP="0046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8AD" w:rsidRDefault="00C368AD" w:rsidP="00462D78">
      <w:pPr>
        <w:spacing w:after="0" w:line="240" w:lineRule="auto"/>
      </w:pPr>
      <w:r>
        <w:separator/>
      </w:r>
    </w:p>
  </w:footnote>
  <w:footnote w:type="continuationSeparator" w:id="0">
    <w:p w:rsidR="00C368AD" w:rsidRDefault="00C368AD" w:rsidP="0046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05" w:rsidRDefault="007A2605" w:rsidP="00F04E9D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4E9D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E40C4"/>
    <w:multiLevelType w:val="hybridMultilevel"/>
    <w:tmpl w:val="920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EEF"/>
    <w:rsid w:val="000379CB"/>
    <w:rsid w:val="002A1EA7"/>
    <w:rsid w:val="003A210D"/>
    <w:rsid w:val="003A5B39"/>
    <w:rsid w:val="00440F68"/>
    <w:rsid w:val="00462D78"/>
    <w:rsid w:val="00535871"/>
    <w:rsid w:val="005C1444"/>
    <w:rsid w:val="0067100B"/>
    <w:rsid w:val="006C1578"/>
    <w:rsid w:val="006D5DAE"/>
    <w:rsid w:val="007A2605"/>
    <w:rsid w:val="007D1FB1"/>
    <w:rsid w:val="008D5345"/>
    <w:rsid w:val="00941284"/>
    <w:rsid w:val="00957D6A"/>
    <w:rsid w:val="00964DE6"/>
    <w:rsid w:val="00A156B8"/>
    <w:rsid w:val="00AF6EEF"/>
    <w:rsid w:val="00BF0983"/>
    <w:rsid w:val="00C33636"/>
    <w:rsid w:val="00C368AD"/>
    <w:rsid w:val="00D564A0"/>
    <w:rsid w:val="00DC1F34"/>
    <w:rsid w:val="00F04E9D"/>
    <w:rsid w:val="00F3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E41157-6704-46FB-BCE8-DB372A776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8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A1EA7"/>
    <w:pPr>
      <w:widowControl w:val="0"/>
      <w:autoSpaceDE w:val="0"/>
      <w:autoSpaceDN w:val="0"/>
      <w:adjustRightInd w:val="0"/>
      <w:spacing w:after="0" w:line="250" w:lineRule="exact"/>
      <w:ind w:firstLine="2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2A1EA7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3">
    <w:name w:val="Font Style13"/>
    <w:uiPriority w:val="99"/>
    <w:rsid w:val="002A1EA7"/>
    <w:rPr>
      <w:rFonts w:ascii="Times New Roman" w:hAnsi="Times New Roman" w:cs="Times New Roman"/>
      <w:b/>
      <w:bCs/>
      <w:smallCaps/>
      <w:sz w:val="14"/>
      <w:szCs w:val="14"/>
    </w:rPr>
  </w:style>
  <w:style w:type="character" w:customStyle="1" w:styleId="FontStyle15">
    <w:name w:val="Font Style15"/>
    <w:uiPriority w:val="99"/>
    <w:rsid w:val="002A1EA7"/>
    <w:rPr>
      <w:rFonts w:ascii="Book Antiqua" w:hAnsi="Book Antiqua" w:cs="Book Antiqua"/>
      <w:b/>
      <w:bCs/>
      <w:sz w:val="16"/>
      <w:szCs w:val="16"/>
    </w:rPr>
  </w:style>
  <w:style w:type="paragraph" w:styleId="a3">
    <w:name w:val="List Paragraph"/>
    <w:basedOn w:val="a"/>
    <w:uiPriority w:val="99"/>
    <w:qFormat/>
    <w:rsid w:val="000379CB"/>
    <w:pPr>
      <w:ind w:left="720"/>
      <w:contextualSpacing/>
    </w:pPr>
  </w:style>
  <w:style w:type="paragraph" w:styleId="a4">
    <w:name w:val="header"/>
    <w:basedOn w:val="a"/>
    <w:link w:val="a5"/>
    <w:uiPriority w:val="99"/>
    <w:rsid w:val="00462D7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462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462D78"/>
    <w:rPr>
      <w:rFonts w:cs="Times New Roman"/>
    </w:rPr>
  </w:style>
  <w:style w:type="table" w:styleId="1">
    <w:name w:val="Table Grid 1"/>
    <w:basedOn w:val="a1"/>
    <w:uiPriority w:val="99"/>
    <w:rsid w:val="00D564A0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7">
    <w:name w:val="Нижній колонтитул Знак"/>
    <w:link w:val="a6"/>
    <w:uiPriority w:val="99"/>
    <w:semiHidden/>
    <w:locked/>
    <w:rsid w:val="00462D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67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OK</Company>
  <LinksUpToDate>false</LinksUpToDate>
  <CharactersWithSpaces>19869</CharactersWithSpaces>
  <SharedDoc>false</SharedDoc>
  <HLinks>
    <vt:vector size="6" baseType="variant">
      <vt:variant>
        <vt:i4>3932209</vt:i4>
      </vt:variant>
      <vt:variant>
        <vt:i4>0</vt:i4>
      </vt:variant>
      <vt:variant>
        <vt:i4>0</vt:i4>
      </vt:variant>
      <vt:variant>
        <vt:i4>5</vt:i4>
      </vt:variant>
      <vt:variant>
        <vt:lpwstr>http://www.kmu.gov.ua/amc/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2014-08-26T12:55:00Z</dcterms:created>
  <dcterms:modified xsi:type="dcterms:W3CDTF">2014-08-26T12:55:00Z</dcterms:modified>
</cp:coreProperties>
</file>