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5A" w:rsidRDefault="0039005A"/>
    <w:p w:rsidR="00924350" w:rsidRDefault="00924350"/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Агентство по управлению имуществом Пермского края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Государственное общеобразовательное учреждение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«Строгановский колледж»</w:t>
      </w:r>
    </w:p>
    <w:p w:rsidR="007C7C56" w:rsidRPr="00ED658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</w:p>
    <w:p w:rsidR="007C7C56" w:rsidRPr="00ED658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</w:p>
    <w:p w:rsidR="007C7C56" w:rsidRPr="00ED658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</w:p>
    <w:p w:rsidR="007C7C56" w:rsidRPr="00ED658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</w:p>
    <w:p w:rsidR="007C7C56" w:rsidRPr="00ED658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sz w:val="28"/>
          <w:szCs w:val="28"/>
        </w:rPr>
      </w:pPr>
    </w:p>
    <w:p w:rsidR="007C7C56" w:rsidRPr="006F7607" w:rsidRDefault="007C7C56" w:rsidP="007C7C56">
      <w:pPr>
        <w:pStyle w:val="a3"/>
        <w:spacing w:line="360" w:lineRule="auto"/>
        <w:ind w:right="51" w:firstLine="0"/>
        <w:contextualSpacing/>
        <w:rPr>
          <w:b/>
          <w:sz w:val="52"/>
          <w:szCs w:val="52"/>
        </w:rPr>
      </w:pPr>
      <w:r>
        <w:rPr>
          <w:b/>
          <w:sz w:val="44"/>
          <w:szCs w:val="44"/>
        </w:rPr>
        <w:t xml:space="preserve">                         </w:t>
      </w:r>
      <w:r w:rsidRPr="006F7607">
        <w:rPr>
          <w:b/>
          <w:sz w:val="52"/>
          <w:szCs w:val="52"/>
        </w:rPr>
        <w:t>Курсовая работа</w:t>
      </w:r>
    </w:p>
    <w:p w:rsidR="007C7C56" w:rsidRPr="00ED6586" w:rsidRDefault="007C7C56" w:rsidP="007C7C56">
      <w:pPr>
        <w:spacing w:line="360" w:lineRule="atLeast"/>
        <w:jc w:val="both"/>
        <w:rPr>
          <w:i/>
          <w:sz w:val="40"/>
          <w:szCs w:val="40"/>
        </w:rPr>
      </w:pPr>
      <w:r w:rsidRPr="00ED6586">
        <w:rPr>
          <w:i/>
          <w:sz w:val="40"/>
          <w:szCs w:val="40"/>
        </w:rPr>
        <w:t>«Упрощенная система налогообложения, учета и отчетности для малых предприятий в строительстве »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b/>
          <w:i/>
          <w:sz w:val="40"/>
          <w:szCs w:val="40"/>
        </w:rPr>
      </w:pP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b/>
          <w:i/>
          <w:sz w:val="40"/>
          <w:szCs w:val="40"/>
        </w:rPr>
      </w:pP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b/>
          <w:i/>
          <w:sz w:val="40"/>
          <w:szCs w:val="40"/>
        </w:rPr>
      </w:pPr>
    </w:p>
    <w:p w:rsidR="007C7C56" w:rsidRPr="006538A8" w:rsidRDefault="007C7C56" w:rsidP="007C7C56">
      <w:pPr>
        <w:pStyle w:val="a3"/>
        <w:spacing w:line="360" w:lineRule="auto"/>
        <w:ind w:left="-539" w:right="51" w:firstLine="720"/>
        <w:contextualSpacing/>
        <w:jc w:val="right"/>
        <w:rPr>
          <w:sz w:val="28"/>
          <w:szCs w:val="28"/>
        </w:rPr>
      </w:pPr>
      <w:r>
        <w:rPr>
          <w:b/>
          <w:i/>
          <w:sz w:val="40"/>
          <w:szCs w:val="40"/>
        </w:rPr>
        <w:t xml:space="preserve"> </w:t>
      </w:r>
      <w:r w:rsidR="006E54AA">
        <w:rPr>
          <w:sz w:val="28"/>
          <w:szCs w:val="28"/>
        </w:rPr>
        <w:t>Выполнил: студент</w:t>
      </w:r>
      <w:r>
        <w:rPr>
          <w:sz w:val="28"/>
          <w:szCs w:val="28"/>
        </w:rPr>
        <w:t xml:space="preserve"> группы С-08-</w:t>
      </w:r>
      <w:r w:rsidR="00414496" w:rsidRPr="006538A8">
        <w:rPr>
          <w:sz w:val="28"/>
          <w:szCs w:val="28"/>
        </w:rPr>
        <w:t>43</w:t>
      </w:r>
    </w:p>
    <w:p w:rsidR="007C7C56" w:rsidRDefault="00414496" w:rsidP="007C7C56">
      <w:pPr>
        <w:pStyle w:val="a3"/>
        <w:spacing w:line="360" w:lineRule="auto"/>
        <w:ind w:left="-539" w:right="51"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Осипович Д.В</w:t>
      </w:r>
      <w:r w:rsidR="007C7C56">
        <w:rPr>
          <w:sz w:val="28"/>
          <w:szCs w:val="28"/>
        </w:rPr>
        <w:t>.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Проверил: преподаватель экономики отрасли 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строительства</w:t>
      </w:r>
    </w:p>
    <w:p w:rsidR="007C7C56" w:rsidRPr="00931855" w:rsidRDefault="007C7C56" w:rsidP="007C7C56">
      <w:pPr>
        <w:pStyle w:val="a3"/>
        <w:spacing w:line="360" w:lineRule="auto"/>
        <w:ind w:left="-539" w:right="51" w:firstLine="7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Кондакова Я.В.</w:t>
      </w:r>
    </w:p>
    <w:p w:rsidR="007C7C56" w:rsidRDefault="007C7C56" w:rsidP="007C7C56">
      <w:pPr>
        <w:pStyle w:val="a3"/>
        <w:spacing w:line="360" w:lineRule="auto"/>
        <w:ind w:left="-539" w:right="51" w:firstLine="720"/>
        <w:contextualSpacing/>
        <w:jc w:val="center"/>
        <w:rPr>
          <w:b/>
          <w:i/>
          <w:sz w:val="40"/>
          <w:szCs w:val="40"/>
        </w:rPr>
      </w:pPr>
    </w:p>
    <w:p w:rsidR="007C7C56" w:rsidRDefault="007C7C56" w:rsidP="007C7C56">
      <w:pPr>
        <w:pStyle w:val="a3"/>
        <w:spacing w:line="360" w:lineRule="auto"/>
        <w:ind w:right="51" w:firstLine="0"/>
        <w:contextualSpacing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      </w:t>
      </w:r>
    </w:p>
    <w:p w:rsidR="007C7C56" w:rsidRDefault="007C7C56" w:rsidP="007C7C56">
      <w:pPr>
        <w:pStyle w:val="a3"/>
        <w:spacing w:line="360" w:lineRule="auto"/>
        <w:ind w:right="51" w:firstLine="0"/>
        <w:contextualSpacing/>
        <w:rPr>
          <w:b/>
          <w:i/>
          <w:sz w:val="40"/>
          <w:szCs w:val="40"/>
        </w:rPr>
      </w:pPr>
    </w:p>
    <w:p w:rsidR="007C7C56" w:rsidRPr="00931855" w:rsidRDefault="007C7C56" w:rsidP="007C7C56">
      <w:pPr>
        <w:pStyle w:val="a3"/>
        <w:spacing w:line="360" w:lineRule="auto"/>
        <w:ind w:right="51" w:firstLine="0"/>
        <w:contextualSpacing/>
        <w:rPr>
          <w:sz w:val="28"/>
          <w:szCs w:val="28"/>
        </w:rPr>
      </w:pPr>
      <w:r>
        <w:rPr>
          <w:b/>
          <w:i/>
          <w:sz w:val="40"/>
          <w:szCs w:val="40"/>
        </w:rPr>
        <w:t xml:space="preserve">                                </w:t>
      </w:r>
      <w:r>
        <w:rPr>
          <w:sz w:val="28"/>
          <w:szCs w:val="28"/>
        </w:rPr>
        <w:t xml:space="preserve"> г.Очер</w:t>
      </w:r>
      <w:r w:rsidR="0005321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2010 </w:t>
      </w:r>
    </w:p>
    <w:p w:rsidR="007C7C56" w:rsidRPr="007C7C56" w:rsidRDefault="007C7C56" w:rsidP="007C7C56">
      <w:pPr>
        <w:spacing w:line="360" w:lineRule="atLeast"/>
        <w:jc w:val="both"/>
        <w:rPr>
          <w:b/>
          <w:i/>
          <w:sz w:val="36"/>
          <w:szCs w:val="36"/>
        </w:rPr>
      </w:pPr>
      <w:r w:rsidRPr="007C7C56">
        <w:rPr>
          <w:b/>
          <w:i/>
          <w:sz w:val="36"/>
          <w:szCs w:val="36"/>
        </w:rPr>
        <w:t>Упрощенная система налогообложения, учета и отчетности для малых предприятий в строительстве</w:t>
      </w:r>
    </w:p>
    <w:p w:rsid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Федеральный закон об упрощенной системе налогообложе</w:t>
      </w:r>
      <w:r w:rsidRPr="007C7C56">
        <w:rPr>
          <w:sz w:val="28"/>
          <w:szCs w:val="28"/>
        </w:rPr>
        <w:softHyphen/>
        <w:t xml:space="preserve">ния субъектов малого предпринимательства, утвержденный Указом Президента РФ от 2.9 декабря </w:t>
      </w:r>
      <w:smartTag w:uri="urn:schemas-microsoft-com:office:smarttags" w:element="metricconverter">
        <w:smartTagPr>
          <w:attr w:name="ProductID" w:val="1995 г"/>
        </w:smartTagPr>
        <w:r w:rsidRPr="007C7C56">
          <w:rPr>
            <w:sz w:val="28"/>
            <w:szCs w:val="28"/>
          </w:rPr>
          <w:t>1995 г</w:t>
        </w:r>
      </w:smartTag>
      <w:r w:rsidRPr="007C7C56">
        <w:rPr>
          <w:sz w:val="28"/>
          <w:szCs w:val="28"/>
        </w:rPr>
        <w:t>. № 222-ФЗ, а так</w:t>
      </w:r>
      <w:r w:rsidRPr="007C7C56">
        <w:rPr>
          <w:sz w:val="28"/>
          <w:szCs w:val="28"/>
        </w:rPr>
        <w:softHyphen/>
        <w:t>же принятые на его основе местные нормативные акты (на уров</w:t>
      </w:r>
      <w:r w:rsidRPr="007C7C56">
        <w:rPr>
          <w:sz w:val="28"/>
          <w:szCs w:val="28"/>
        </w:rPr>
        <w:softHyphen/>
        <w:t>не субъектов Федерации) определяют правовые основы введе</w:t>
      </w:r>
      <w:r w:rsidRPr="007C7C56">
        <w:rPr>
          <w:sz w:val="28"/>
          <w:szCs w:val="28"/>
        </w:rPr>
        <w:softHyphen/>
        <w:t>нная и применения упрощенной системы налогообложения, уче</w:t>
      </w:r>
      <w:r w:rsidRPr="007C7C56">
        <w:rPr>
          <w:sz w:val="28"/>
          <w:szCs w:val="28"/>
        </w:rPr>
        <w:softHyphen/>
        <w:t xml:space="preserve">та и отчетности для субъектов малого предпринимательства — юридических лиц (далее — предприятия) и физических лиц, осуществляющих предпринимательскую деятельность без </w:t>
      </w:r>
      <w:r>
        <w:rPr>
          <w:sz w:val="28"/>
          <w:szCs w:val="28"/>
        </w:rPr>
        <w:t>обра</w:t>
      </w:r>
      <w:r>
        <w:rPr>
          <w:sz w:val="28"/>
          <w:szCs w:val="28"/>
        </w:rPr>
        <w:softHyphen/>
        <w:t xml:space="preserve">зования юридического лица. </w:t>
      </w:r>
      <w:r w:rsidRPr="007C7C56">
        <w:rPr>
          <w:sz w:val="28"/>
          <w:szCs w:val="28"/>
        </w:rPr>
        <w:t>Применение данного закона имеет большое значение для малых строительных предприятий (МПС), так как позволяет уменьшить на 10—35% общий размер нало</w:t>
      </w:r>
      <w:r w:rsidRPr="007C7C56">
        <w:rPr>
          <w:sz w:val="28"/>
          <w:szCs w:val="28"/>
        </w:rPr>
        <w:softHyphen/>
        <w:t>говых платежей и соответственно увеличить размеры чистой прибыли МПС. В строительстве насчитывается более 120 тыс. малых предприятий, из них около 60%  имеют среднесписоч</w:t>
      </w:r>
      <w:r w:rsidRPr="007C7C56">
        <w:rPr>
          <w:sz w:val="28"/>
          <w:szCs w:val="28"/>
        </w:rPr>
        <w:softHyphen/>
        <w:t>ную численность менее 15 человек, т.е. могут применять упро</w:t>
      </w:r>
      <w:r w:rsidRPr="007C7C56">
        <w:rPr>
          <w:sz w:val="28"/>
          <w:szCs w:val="28"/>
        </w:rPr>
        <w:softHyphen/>
        <w:t>щенную систему налогообложения и учета.</w:t>
      </w:r>
    </w:p>
    <w:p w:rsid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Право выбора системы налогообложения, учета и отчетнос</w:t>
      </w:r>
      <w:r w:rsidRPr="007C7C56">
        <w:rPr>
          <w:sz w:val="28"/>
          <w:szCs w:val="28"/>
        </w:rPr>
        <w:softHyphen/>
        <w:t>ти, включая переход к упрощенной системе или возврат к при</w:t>
      </w:r>
      <w:r w:rsidRPr="007C7C56">
        <w:rPr>
          <w:sz w:val="28"/>
          <w:szCs w:val="28"/>
        </w:rPr>
        <w:softHyphen/>
        <w:t>нятой ранее системе, предоставляется субъектам малого предпринимательства в строительстве на добровольной основе и в порядке, предусмотренном настоящим федеральным законом. Применение упрощенной системы налогообложения, учета и отчетности МПС, подпадающими под действие настоящего федерального закона, предусматривает замену оплаты совокупно</w:t>
      </w:r>
      <w:r w:rsidRPr="007C7C56">
        <w:rPr>
          <w:sz w:val="28"/>
          <w:szCs w:val="28"/>
        </w:rPr>
        <w:softHyphen/>
        <w:t>сти установленных законодательством РФ федеральных, региональных и местных налогов и сборов уплатой единого налога, исчисляемого по результатам хозяйственной деятельности орга</w:t>
      </w:r>
      <w:r w:rsidRPr="007C7C56">
        <w:rPr>
          <w:sz w:val="28"/>
          <w:szCs w:val="28"/>
        </w:rPr>
        <w:softHyphen/>
        <w:t>низаций за отчетный период. Для МПС, применяющих упро</w:t>
      </w:r>
      <w:r w:rsidRPr="007C7C56">
        <w:rPr>
          <w:sz w:val="28"/>
          <w:szCs w:val="28"/>
        </w:rPr>
        <w:softHyphen/>
        <w:t>щенную систему налогообложения, учета и отчетности, сохраняется действующий порядок уцлаты таможенных платежей, государственных пошлин, налога на приобретение автотранспортных средств, лицензионных сборов, отчислений в государственные социальные внебюджетные фонды. МПС, применяю, щим упрощенную систему налогообложения, учета и отчетнос</w:t>
      </w:r>
      <w:r w:rsidRPr="007C7C56">
        <w:rPr>
          <w:sz w:val="28"/>
          <w:szCs w:val="28"/>
        </w:rPr>
        <w:softHyphen/>
        <w:t>ти, предоставляется право оформления первичных документов бухгалтерской отчетности и ведения книги учета доходов и расходов по упрощенной форме, в том числе без применения спосо</w:t>
      </w:r>
      <w:r w:rsidRPr="007C7C56">
        <w:rPr>
          <w:sz w:val="28"/>
          <w:szCs w:val="28"/>
        </w:rPr>
        <w:softHyphen/>
        <w:t>ба двойной записи, плана счетов и соблюдения иных требова</w:t>
      </w:r>
      <w:r w:rsidRPr="007C7C56">
        <w:rPr>
          <w:sz w:val="28"/>
          <w:szCs w:val="28"/>
        </w:rPr>
        <w:softHyphen/>
        <w:t xml:space="preserve">ний, предусмотренных действующим Положением о ведении бухгалтерского учета и отчетности. </w:t>
      </w:r>
    </w:p>
    <w:p w:rsid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Упрощенная форма первич</w:t>
      </w:r>
      <w:r w:rsidRPr="007C7C56">
        <w:rPr>
          <w:sz w:val="28"/>
          <w:szCs w:val="28"/>
        </w:rPr>
        <w:softHyphen/>
        <w:t>ных документов бухгалтерской отчетности и ведения книги уче</w:t>
      </w:r>
      <w:r w:rsidRPr="007C7C56">
        <w:rPr>
          <w:sz w:val="28"/>
          <w:szCs w:val="28"/>
        </w:rPr>
        <w:softHyphen/>
        <w:t>та доходов и расходов устанавливается Министерством финан</w:t>
      </w:r>
      <w:r w:rsidRPr="007C7C56">
        <w:rPr>
          <w:sz w:val="28"/>
          <w:szCs w:val="28"/>
        </w:rPr>
        <w:softHyphen/>
        <w:t>сов РФ и является единой на всей территории РФ. Для пред</w:t>
      </w:r>
      <w:r w:rsidRPr="007C7C56">
        <w:rPr>
          <w:sz w:val="28"/>
          <w:szCs w:val="28"/>
        </w:rPr>
        <w:softHyphen/>
        <w:t>приятий, применяющих упрощенную систему налогообложения, учета и отчетности, сохраняется действующий порядок ведения кассовых операций и представления необходимой статистичес</w:t>
      </w:r>
      <w:r w:rsidRPr="007C7C56">
        <w:rPr>
          <w:sz w:val="28"/>
          <w:szCs w:val="28"/>
        </w:rPr>
        <w:softHyphen/>
        <w:t>кой отчетности.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Действие упрощенной системы налогообложения, учета и отчетности распространяется на МПС, имеющие следующие критерии своей деятельности: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1)  предельную (среднесписочную) численность работающих (включая работающих по договорам подряда гражданско-пра</w:t>
      </w:r>
      <w:r w:rsidRPr="007C7C56">
        <w:rPr>
          <w:sz w:val="28"/>
          <w:szCs w:val="28"/>
        </w:rPr>
        <w:softHyphen/>
        <w:t>вового характера) — до 15 человек;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2)  предельный размер годовой выручки — 100 тысяч мини</w:t>
      </w:r>
      <w:r w:rsidRPr="007C7C56">
        <w:rPr>
          <w:sz w:val="28"/>
          <w:szCs w:val="28"/>
        </w:rPr>
        <w:softHyphen/>
        <w:t>мальных месячных размеров оплаты труда;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3)  максимальный размер доли учредителей — юридических лиц (не являющихся малыми предприятиями) в уставном капи</w:t>
      </w:r>
      <w:r w:rsidRPr="007C7C56">
        <w:rPr>
          <w:sz w:val="28"/>
          <w:szCs w:val="28"/>
        </w:rPr>
        <w:softHyphen/>
        <w:t>тале не выше 25%.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Объект обложения единым налогом МПС в упрощенной системе налогообложения, учета и отчетности — либо совокупный доход, либо валовая выручка, полученные за отчетный период (квартал, полугодие, 9 месяцев, год). Выбор объекта налогообло</w:t>
      </w:r>
      <w:r w:rsidRPr="007C7C56">
        <w:rPr>
          <w:sz w:val="28"/>
          <w:szCs w:val="28"/>
        </w:rPr>
        <w:softHyphen/>
        <w:t>жения осуществляется органами государственной власти субъек</w:t>
      </w:r>
      <w:r w:rsidRPr="007C7C56">
        <w:rPr>
          <w:sz w:val="28"/>
          <w:szCs w:val="28"/>
        </w:rPr>
        <w:softHyphen/>
        <w:t>та РФ.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Совокупный доход исчисляется как разница между валовой выручкой и стоимостью использованных в процессе строитель</w:t>
      </w:r>
      <w:r w:rsidRPr="007C7C56">
        <w:rPr>
          <w:sz w:val="28"/>
          <w:szCs w:val="28"/>
        </w:rPr>
        <w:softHyphen/>
        <w:t>ного производства материалов, комплектующих изделий, приобретенных товаров, топлива, эксплуатационных расходов, те</w:t>
      </w:r>
      <w:r w:rsidRPr="007C7C56">
        <w:rPr>
          <w:sz w:val="28"/>
          <w:szCs w:val="28"/>
        </w:rPr>
        <w:softHyphen/>
        <w:t>кущего ремонта, затрат на аренду помещений, используемых для производственной деятельности, затрат на аренду строитель</w:t>
      </w:r>
      <w:r w:rsidRPr="007C7C56">
        <w:rPr>
          <w:sz w:val="28"/>
          <w:szCs w:val="28"/>
        </w:rPr>
        <w:softHyphen/>
        <w:t>ных машин, механизмов, инструментов, оборудования, транспортных средств, расходов на уплату процентов за пользование кредитными ресурсами банков (в пределах действующей ставки рефинансирования Центрального банка РФ плюс 3%), оказанных услуг, а также сумм налога на добавленную стоимость, уплаченных поставщикам, налога на приобретение автотранс</w:t>
      </w:r>
      <w:r w:rsidRPr="007C7C56">
        <w:rPr>
          <w:sz w:val="28"/>
          <w:szCs w:val="28"/>
        </w:rPr>
        <w:softHyphen/>
        <w:t>портных средств, отчислений в государственные социальные внебюджетные фонды, уплаченных таможенных платежей, го</w:t>
      </w:r>
      <w:r w:rsidRPr="007C7C56">
        <w:rPr>
          <w:sz w:val="28"/>
          <w:szCs w:val="28"/>
        </w:rPr>
        <w:softHyphen/>
        <w:t>сударственных пошлин и лицензионных сборов.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Валовая выручка исчисляется как сумма выручки, получен</w:t>
      </w:r>
      <w:r w:rsidRPr="007C7C56">
        <w:rPr>
          <w:sz w:val="28"/>
          <w:szCs w:val="28"/>
        </w:rPr>
        <w:softHyphen/>
        <w:t>ной от реализации строительно-монтажных работ (услуг), про</w:t>
      </w:r>
      <w:r w:rsidRPr="007C7C56">
        <w:rPr>
          <w:sz w:val="28"/>
          <w:szCs w:val="28"/>
        </w:rPr>
        <w:softHyphen/>
        <w:t>дажной цены имущества, реализованного за отчетный период, и внереализационных доходов.</w:t>
      </w:r>
    </w:p>
    <w:p w:rsid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Для субъектов МПС, применяющих упрощенную систему налогообложения, учета и отчетности, устанавливаются следу</w:t>
      </w:r>
      <w:r w:rsidRPr="007C7C56">
        <w:rPr>
          <w:sz w:val="28"/>
          <w:szCs w:val="28"/>
        </w:rPr>
        <w:softHyphen/>
        <w:t>ющие ставки единого налога на совокупный доход, подлежа</w:t>
      </w:r>
      <w:r w:rsidRPr="007C7C56">
        <w:rPr>
          <w:sz w:val="28"/>
          <w:szCs w:val="28"/>
        </w:rPr>
        <w:softHyphen/>
        <w:t>щего зачислению: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в федеральный бюджет — в размере 10% от совокупного дохода;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в бюджет РФ и местный бюджет — в суммарном размере не более 20% от совокупного дохода.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В случае, когда объектом налогообложения для МПС являет</w:t>
      </w:r>
      <w:r w:rsidRPr="007C7C56">
        <w:rPr>
          <w:sz w:val="28"/>
          <w:szCs w:val="28"/>
        </w:rPr>
        <w:softHyphen/>
        <w:t>ся валовая выручка, устанавливаются следующие ставки еди</w:t>
      </w:r>
      <w:r w:rsidRPr="007C7C56">
        <w:rPr>
          <w:sz w:val="28"/>
          <w:szCs w:val="28"/>
        </w:rPr>
        <w:softHyphen/>
        <w:t>ного налога, подлежащего зачислению: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в федеральный бюджет — в размере 3,33% от суммы вало</w:t>
      </w:r>
      <w:r w:rsidRPr="007C7C56">
        <w:rPr>
          <w:sz w:val="28"/>
          <w:szCs w:val="28"/>
        </w:rPr>
        <w:softHyphen/>
        <w:t>вой выручки: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в бюджет субъекта РФ и местный бюджет — в размере не более 6,67% от валовой выручки.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 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Официальный документ, удостоверяющий право применения МПС упрощенной системы налогообложения, учета и отчетности, — патент, выдаваемый сроком на один календарный год налоговыми органами по месту постановки организаций на на</w:t>
      </w:r>
      <w:r w:rsidRPr="007C7C56">
        <w:rPr>
          <w:sz w:val="28"/>
          <w:szCs w:val="28"/>
        </w:rPr>
        <w:softHyphen/>
        <w:t>логовый учет. Форма патента устанавливается ГНС и является единой на всей территории РФ.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Годовая стоимость патента для субъектов малого предпри</w:t>
      </w:r>
      <w:r w:rsidRPr="007C7C56">
        <w:rPr>
          <w:sz w:val="28"/>
          <w:szCs w:val="28"/>
        </w:rPr>
        <w:softHyphen/>
        <w:t>нимательства, подпадающих под действие настоящего федераль</w:t>
      </w:r>
      <w:r w:rsidRPr="007C7C56">
        <w:rPr>
          <w:sz w:val="28"/>
          <w:szCs w:val="28"/>
        </w:rPr>
        <w:softHyphen/>
        <w:t>ного закона, устанавливается с учетом ставок налога решением органов государственной власти субъекта РФ в зависимости от  вида деятельности. Выплата годовой стоимости патента осуществляется МПС ежеквартально с соответствующим распределе</w:t>
      </w:r>
      <w:r w:rsidRPr="007C7C56">
        <w:rPr>
          <w:sz w:val="28"/>
          <w:szCs w:val="28"/>
        </w:rPr>
        <w:softHyphen/>
        <w:t>нием платежей, устанавливаемым органами государственной власти субъекта РФ. Оплата стоимости патента засчитывается в счет обязательства по уплате единого налога МПС. В ряде регионов страны МПС получают патент бесплатно (например, в г. Москве)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Для МПС, применяющих упрощенную систему налогообло</w:t>
      </w:r>
      <w:r w:rsidRPr="007C7C56">
        <w:rPr>
          <w:sz w:val="28"/>
          <w:szCs w:val="28"/>
        </w:rPr>
        <w:softHyphen/>
        <w:t>жения, учета и отчетности, уплачиваемая годовая стоимость патента зачисляется в федеральный бюджет, а также в бюджет субъектов РФ и местные бюджеты в соотношении один к двум. МПС патент выдается налоговыми органами по месту их поста</w:t>
      </w:r>
      <w:r w:rsidRPr="007C7C56">
        <w:rPr>
          <w:sz w:val="28"/>
          <w:szCs w:val="28"/>
        </w:rPr>
        <w:softHyphen/>
        <w:t>новки на налоговый учет на основании письменного заявления, подаваемого не позднее, чем за один месяц до начала очередного квартала, при соблюдении следующих условий: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если общее число работников, занятых в МПС, не превы</w:t>
      </w:r>
      <w:r w:rsidRPr="007C7C56">
        <w:rPr>
          <w:sz w:val="28"/>
          <w:szCs w:val="28"/>
        </w:rPr>
        <w:softHyphen/>
        <w:t>шает предельной численности, установленной в соответствии с настоящим федеральным законом (не более 15 человек);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если МПС не имеет просроченной задолженности по уплате налогов и иных платежей за предыдущий отчетный период;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– если МПС своевременно сданы необходимые расчеты по на</w:t>
      </w:r>
      <w:r w:rsidRPr="007C7C56">
        <w:rPr>
          <w:sz w:val="28"/>
          <w:szCs w:val="28"/>
        </w:rPr>
        <w:softHyphen/>
        <w:t>логам и бухгалтерская отчетность за предыдущий отчетный пе</w:t>
      </w:r>
      <w:r w:rsidRPr="007C7C56">
        <w:rPr>
          <w:sz w:val="28"/>
          <w:szCs w:val="28"/>
        </w:rPr>
        <w:softHyphen/>
        <w:t>риод.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Филиалы и подразделения МПС, являющиеся налогоплатель</w:t>
      </w:r>
      <w:r w:rsidRPr="007C7C56">
        <w:rPr>
          <w:sz w:val="28"/>
          <w:szCs w:val="28"/>
        </w:rPr>
        <w:softHyphen/>
        <w:t>щиками, представляют в налоговый орган по месту постановки на учет нотариально заверенные копии патента, выданного МПС, не позднее, чем за 15 дней до начала очередного квартала.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Решение о переходе МПС на упрощенную систему налогооб</w:t>
      </w:r>
      <w:r w:rsidRPr="007C7C56">
        <w:rPr>
          <w:sz w:val="28"/>
          <w:szCs w:val="28"/>
        </w:rPr>
        <w:softHyphen/>
        <w:t>ложения, учета и отчетности или мотивированный отказ от это</w:t>
      </w:r>
      <w:r w:rsidRPr="007C7C56">
        <w:rPr>
          <w:sz w:val="28"/>
          <w:szCs w:val="28"/>
        </w:rPr>
        <w:softHyphen/>
        <w:t>го выносится налоговым органом в 15-дневный срок со дня по</w:t>
      </w:r>
      <w:r w:rsidRPr="007C7C56">
        <w:rPr>
          <w:sz w:val="28"/>
          <w:szCs w:val="28"/>
        </w:rPr>
        <w:softHyphen/>
        <w:t>дачи заявлений организацией. При получении патента в нало</w:t>
      </w:r>
      <w:r w:rsidRPr="007C7C56">
        <w:rPr>
          <w:sz w:val="28"/>
          <w:szCs w:val="28"/>
        </w:rPr>
        <w:softHyphen/>
        <w:t>говом органе МПС предъявляет для регистрации книгу учета доходов и расходов, в которой указываются наименование орга</w:t>
      </w:r>
      <w:r w:rsidRPr="007C7C56">
        <w:rPr>
          <w:sz w:val="28"/>
          <w:szCs w:val="28"/>
        </w:rPr>
        <w:softHyphen/>
        <w:t>низации, виды деятельности, местонахождение, номера расчет</w:t>
      </w:r>
      <w:r w:rsidRPr="007C7C56">
        <w:rPr>
          <w:sz w:val="28"/>
          <w:szCs w:val="28"/>
        </w:rPr>
        <w:softHyphen/>
        <w:t>ных и иных счетов, открытых в учреждениях банков. Налого</w:t>
      </w:r>
      <w:r w:rsidRPr="007C7C56">
        <w:rPr>
          <w:sz w:val="28"/>
          <w:szCs w:val="28"/>
        </w:rPr>
        <w:softHyphen/>
        <w:t>вый орган на первой странице книги учета доходов и расходов фиксирует регистрационный номер патента и дату его выдачи. При выдаче патента заполняется также и его дубликат, кото</w:t>
      </w:r>
      <w:r w:rsidRPr="007C7C56">
        <w:rPr>
          <w:sz w:val="28"/>
          <w:szCs w:val="28"/>
        </w:rPr>
        <w:softHyphen/>
        <w:t>рый хранится в налоговом органе. По истечении срока действия патента по заявлению МПС налоговый орган выдает патент на очередной (годичный) срок действия с регистрацией новой кни</w:t>
      </w:r>
      <w:r w:rsidRPr="007C7C56">
        <w:rPr>
          <w:sz w:val="28"/>
          <w:szCs w:val="28"/>
        </w:rPr>
        <w:softHyphen/>
        <w:t>ги учета доходов и расходов. На патент и книгу учета доходов и расходов распространяются правила обращения с отчетностью, установленные действующими нормативными актами РФ. При утрате патента он подлежит возобновлению налоговым органом с соблюдением указанных у</w:t>
      </w:r>
      <w:r w:rsidR="006538A8">
        <w:rPr>
          <w:sz w:val="28"/>
          <w:szCs w:val="28"/>
        </w:rPr>
        <w:t>словий и наложением на организац</w:t>
      </w:r>
      <w:r w:rsidRPr="007C7C56">
        <w:rPr>
          <w:sz w:val="28"/>
          <w:szCs w:val="28"/>
        </w:rPr>
        <w:t>ию штрафа, размер которого устанавливается органом госу</w:t>
      </w:r>
      <w:r w:rsidRPr="007C7C56">
        <w:rPr>
          <w:sz w:val="28"/>
          <w:szCs w:val="28"/>
        </w:rPr>
        <w:softHyphen/>
        <w:t>дарственной власти субъекта РФ.</w:t>
      </w:r>
    </w:p>
    <w:p w:rsidR="007C7C56" w:rsidRPr="007C7C56" w:rsidRDefault="007C7C56" w:rsidP="007C7C56">
      <w:pPr>
        <w:spacing w:line="360" w:lineRule="atLeast"/>
        <w:ind w:firstLine="284"/>
        <w:jc w:val="both"/>
        <w:rPr>
          <w:sz w:val="28"/>
          <w:szCs w:val="28"/>
        </w:rPr>
      </w:pPr>
      <w:r w:rsidRPr="007C7C56">
        <w:rPr>
          <w:sz w:val="28"/>
          <w:szCs w:val="28"/>
        </w:rPr>
        <w:t>По итогам хозяйственной деятельности за отчетный период (квартал) МПС представляет в налоговый орган в срок до 20 числа месяца, следующего за отчетным периодом, расчет под</w:t>
      </w:r>
      <w:r w:rsidRPr="007C7C56">
        <w:rPr>
          <w:sz w:val="28"/>
          <w:szCs w:val="28"/>
        </w:rPr>
        <w:softHyphen/>
        <w:t>лежащего уплате единого налога с зачетом оплаченной стоимо</w:t>
      </w:r>
      <w:r w:rsidRPr="007C7C56">
        <w:rPr>
          <w:sz w:val="28"/>
          <w:szCs w:val="28"/>
        </w:rPr>
        <w:softHyphen/>
        <w:t>сти патента, а также выписку из книги учета доходов и расхо</w:t>
      </w:r>
      <w:r w:rsidRPr="007C7C56">
        <w:rPr>
          <w:sz w:val="28"/>
          <w:szCs w:val="28"/>
        </w:rPr>
        <w:softHyphen/>
        <w:t>дов (по состоянию на последний рабочий день отчетного перио</w:t>
      </w:r>
      <w:r w:rsidRPr="007C7C56">
        <w:rPr>
          <w:sz w:val="28"/>
          <w:szCs w:val="28"/>
        </w:rPr>
        <w:softHyphen/>
        <w:t>да) с указанием совокупного дохода (валовой выручки), полу</w:t>
      </w:r>
      <w:r w:rsidRPr="007C7C56">
        <w:rPr>
          <w:sz w:val="28"/>
          <w:szCs w:val="28"/>
        </w:rPr>
        <w:softHyphen/>
        <w:t>ченного за отчетный период.</w:t>
      </w:r>
    </w:p>
    <w:p w:rsidR="007C7C56" w:rsidRDefault="007C7C56" w:rsidP="006538A8">
      <w:pPr>
        <w:spacing w:line="360" w:lineRule="atLeast"/>
        <w:ind w:firstLine="284"/>
        <w:jc w:val="both"/>
      </w:pPr>
      <w:r w:rsidRPr="007C7C56">
        <w:rPr>
          <w:sz w:val="28"/>
          <w:szCs w:val="28"/>
        </w:rPr>
        <w:t>При представлении в налоговый орган указанных докумен</w:t>
      </w:r>
      <w:r w:rsidRPr="007C7C56">
        <w:rPr>
          <w:sz w:val="28"/>
          <w:szCs w:val="28"/>
        </w:rPr>
        <w:softHyphen/>
        <w:t>тов МПС предъявляет для проверки патент, книгу учета дохо</w:t>
      </w:r>
      <w:r w:rsidRPr="007C7C56">
        <w:rPr>
          <w:sz w:val="28"/>
          <w:szCs w:val="28"/>
        </w:rPr>
        <w:softHyphen/>
        <w:t>дов и расходов, кассовую книгу, а также платежные поручения об уплате единого налога за отчетный период (с отметкой банка об исполнении платежа). При превышении определенных на</w:t>
      </w:r>
      <w:r w:rsidRPr="007C7C56">
        <w:rPr>
          <w:sz w:val="28"/>
          <w:szCs w:val="28"/>
        </w:rPr>
        <w:softHyphen/>
        <w:t>стоящим федеральным законом предельных численности рабо</w:t>
      </w:r>
      <w:r w:rsidRPr="007C7C56">
        <w:rPr>
          <w:sz w:val="28"/>
          <w:szCs w:val="28"/>
        </w:rPr>
        <w:softHyphen/>
        <w:t>тающих или размера годовой выручки налогоплательщики пе</w:t>
      </w:r>
      <w:r w:rsidRPr="007C7C56">
        <w:rPr>
          <w:sz w:val="28"/>
          <w:szCs w:val="28"/>
        </w:rPr>
        <w:softHyphen/>
        <w:t>реходят на принятую ранее систему налогообложения, учета и отчетности, начиная с квартала, следующего за кварталом, в котором должен быть представлен отчет. Отказ от применения упрощенной системы налогообложения, учета и отчетности и обратный переход к принятой ранее системе налогообложения, учета и отчетности могут осуществляться МПС с начала очеред</w:t>
      </w:r>
      <w:r w:rsidRPr="007C7C56">
        <w:rPr>
          <w:sz w:val="28"/>
          <w:szCs w:val="28"/>
        </w:rPr>
        <w:softHyphen/>
        <w:t xml:space="preserve">ного календарного года при условии подачи соответствующего заявления в налоговый орган в срок не </w:t>
      </w:r>
      <w:r w:rsidR="006538A8">
        <w:rPr>
          <w:sz w:val="28"/>
          <w:szCs w:val="28"/>
        </w:rPr>
        <w:t>позднее</w:t>
      </w:r>
      <w:r w:rsidRPr="007C7C56">
        <w:rPr>
          <w:sz w:val="28"/>
          <w:szCs w:val="28"/>
        </w:rPr>
        <w:t xml:space="preserve"> чем за 15 дней до завершения календарного года.</w:t>
      </w:r>
      <w:bookmarkStart w:id="0" w:name="_GoBack"/>
      <w:bookmarkEnd w:id="0"/>
    </w:p>
    <w:sectPr w:rsidR="007C7C56" w:rsidSect="006538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56"/>
    <w:rsid w:val="0005321C"/>
    <w:rsid w:val="00202EEE"/>
    <w:rsid w:val="0039005A"/>
    <w:rsid w:val="00414496"/>
    <w:rsid w:val="005C39F1"/>
    <w:rsid w:val="005D4984"/>
    <w:rsid w:val="005F5343"/>
    <w:rsid w:val="006538A8"/>
    <w:rsid w:val="006E54AA"/>
    <w:rsid w:val="006F7607"/>
    <w:rsid w:val="00767F73"/>
    <w:rsid w:val="007C7C56"/>
    <w:rsid w:val="00924350"/>
    <w:rsid w:val="00BE59BF"/>
    <w:rsid w:val="00CC67D2"/>
    <w:rsid w:val="00D37B5C"/>
    <w:rsid w:val="00DC3AE9"/>
    <w:rsid w:val="00DD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C1886-748F-473D-89F2-A78521BD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C5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C56"/>
    <w:pPr>
      <w:widowControl/>
      <w:autoSpaceDE/>
      <w:autoSpaceDN/>
      <w:adjustRightInd/>
      <w:spacing w:before="100" w:beforeAutospacing="1" w:after="100" w:afterAutospacing="1"/>
      <w:ind w:firstLine="206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Агентство по управлению имуществом Пермского края</vt:lpstr>
    </vt:vector>
  </TitlesOfParts>
  <Company>ГОУ СПО ОП-ПК</Company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управлению имуществом Пермского края</dc:title>
  <dc:subject/>
  <dc:creator>кабинет 17</dc:creator>
  <cp:keywords/>
  <dc:description/>
  <cp:lastModifiedBy>Irina</cp:lastModifiedBy>
  <cp:revision>2</cp:revision>
  <dcterms:created xsi:type="dcterms:W3CDTF">2014-09-16T14:32:00Z</dcterms:created>
  <dcterms:modified xsi:type="dcterms:W3CDTF">2014-09-16T14:32:00Z</dcterms:modified>
</cp:coreProperties>
</file>