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03" w:rsidRDefault="00E63F03" w:rsidP="00BD2141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BD214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8B63EB" w:rsidRDefault="008B63EB" w:rsidP="00BD21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ВВЕДЕНИЕ………………………………………………………………………..3</w:t>
      </w:r>
    </w:p>
    <w:p w:rsidR="008B63EB" w:rsidRDefault="008B63EB" w:rsidP="00BD21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 Состав и структура нефтегазового комплекса………………………...6</w:t>
      </w:r>
    </w:p>
    <w:p w:rsidR="008B63EB" w:rsidRPr="00BD2141" w:rsidRDefault="008B63EB" w:rsidP="00BD2141">
      <w:pPr>
        <w:pStyle w:val="11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D2141">
        <w:rPr>
          <w:rFonts w:ascii="Times New Roman" w:hAnsi="Times New Roman"/>
          <w:sz w:val="28"/>
          <w:szCs w:val="28"/>
        </w:rPr>
        <w:t>Нефтяная промышленность</w:t>
      </w:r>
      <w:r>
        <w:rPr>
          <w:rFonts w:ascii="Times New Roman" w:hAnsi="Times New Roman"/>
          <w:sz w:val="28"/>
          <w:szCs w:val="28"/>
        </w:rPr>
        <w:t>……………………………………………….6</w:t>
      </w:r>
    </w:p>
    <w:p w:rsidR="008B63EB" w:rsidRPr="00BD2141" w:rsidRDefault="008B63EB" w:rsidP="00BD2141">
      <w:pPr>
        <w:pStyle w:val="11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D2141">
        <w:rPr>
          <w:rFonts w:ascii="Times New Roman" w:hAnsi="Times New Roman"/>
          <w:sz w:val="28"/>
          <w:szCs w:val="28"/>
        </w:rPr>
        <w:t>Газовая промышленность</w:t>
      </w:r>
      <w:r>
        <w:rPr>
          <w:rFonts w:ascii="Times New Roman" w:hAnsi="Times New Roman"/>
          <w:sz w:val="28"/>
          <w:szCs w:val="28"/>
        </w:rPr>
        <w:t>………………………………………………...12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Современное состояние, проблемы и перспективы развития нефтегазового комплекса России……………………………………………….17</w:t>
      </w:r>
    </w:p>
    <w:p w:rsidR="008B63EB" w:rsidRPr="00E01822" w:rsidRDefault="008B63EB" w:rsidP="00E01822">
      <w:pPr>
        <w:jc w:val="both"/>
        <w:rPr>
          <w:rFonts w:ascii="Times New Roman" w:hAnsi="Times New Roman"/>
          <w:sz w:val="28"/>
          <w:szCs w:val="28"/>
        </w:rPr>
      </w:pPr>
      <w:r w:rsidRPr="00E01822">
        <w:rPr>
          <w:rFonts w:ascii="Times New Roman" w:hAnsi="Times New Roman"/>
          <w:sz w:val="28"/>
          <w:szCs w:val="28"/>
        </w:rPr>
        <w:t>2.1. Проблемы российской нефтегазовой отрасли</w:t>
      </w:r>
      <w:r>
        <w:rPr>
          <w:rFonts w:ascii="Times New Roman" w:hAnsi="Times New Roman"/>
          <w:sz w:val="28"/>
          <w:szCs w:val="28"/>
        </w:rPr>
        <w:t>…………………………….17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A16A5F">
        <w:rPr>
          <w:rFonts w:ascii="Times New Roman" w:hAnsi="Times New Roman"/>
          <w:sz w:val="28"/>
          <w:szCs w:val="28"/>
        </w:rPr>
        <w:t>Перспективы российской нефтегазовой отрасли</w:t>
      </w:r>
      <w:r>
        <w:rPr>
          <w:rFonts w:ascii="Times New Roman" w:hAnsi="Times New Roman"/>
          <w:sz w:val="28"/>
          <w:szCs w:val="28"/>
        </w:rPr>
        <w:t>…………………………22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Современное состояние нефтегазового комплекса РФ…………………..29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ЗАКЛЮЧЕНИЕ………………………………………………………………….32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ЛИТЕРАТУРЫ………………………………...34</w:t>
      </w:r>
    </w:p>
    <w:p w:rsidR="008B63EB" w:rsidRDefault="008B63EB" w:rsidP="002B368D">
      <w:pPr>
        <w:jc w:val="both"/>
        <w:rPr>
          <w:rFonts w:ascii="Times New Roman" w:hAnsi="Times New Roman"/>
          <w:sz w:val="28"/>
          <w:szCs w:val="28"/>
        </w:rPr>
      </w:pPr>
    </w:p>
    <w:p w:rsidR="008B63EB" w:rsidRDefault="008B63EB" w:rsidP="00BD2141">
      <w:pPr>
        <w:jc w:val="both"/>
        <w:rPr>
          <w:rFonts w:ascii="Times New Roman" w:hAnsi="Times New Roman"/>
          <w:sz w:val="28"/>
          <w:szCs w:val="28"/>
        </w:rPr>
      </w:pPr>
    </w:p>
    <w:p w:rsidR="008B63EB" w:rsidRDefault="008B63EB" w:rsidP="00BD2141">
      <w:pPr>
        <w:jc w:val="both"/>
        <w:rPr>
          <w:rFonts w:ascii="Times New Roman" w:hAnsi="Times New Roman"/>
          <w:sz w:val="28"/>
          <w:szCs w:val="28"/>
        </w:rPr>
      </w:pPr>
    </w:p>
    <w:p w:rsidR="008B63EB" w:rsidRDefault="008B63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Развиваясь, человечество начинает использовать все новые виды ресурсов (атомную и геотермальную энергию, солнечную, гидроэнергию приливов и отливов, ветряную и другие источники). Однако главную роль в обеспечении энергией всех отраслей экономики сегодня играют топливные ресурсы.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Топливно-энергетический комплекс тесно связан со всей промышленностью и экономикой страны. На его развитие расходуется более 20% денежных средств. На ТЭК приходится 30% основных фондов и 30% стоимости промышленной продукции России. Он использует 10% продукции машиностроительного комплекса, 12% продукции металлургии, потребляет 2/3 труб в стране, дает больше половины экспорта РФ и значительное количество сырья для химической промышленности. Его доля в перевозках составляет треть всех грузов по железным дорогам, половину перевозок морского транспорта и всю транспортировку по трубопроводам.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Таким образом, с топливно-энергетическим комплексом напрямую связано благосостояние всех граждан России.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Большое значение в экономике страны играет входящий в ТЭК и являющийся его важнейшей частью нефтяной и газовый сектор.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До перестройки нефть и газ были опорой советского руководства. Дешевые энергоносители обеспечивали оттяжку структурной перестройки энергоемкой промышленности СССР. Эта нефть и этот газ привязывали страны восточного блока. Валютные доходы от экспорта газа и нефти позволяли обеспечивать потребительский рынок импортными товарами.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С тех пор изменилось многое. Радикально перестраивается внутренняя структура государства. Разворачивается процесс реорганизации российского административного пространства. В то же время нефть и газ по-прежнему остаются важнейшими источниками дохода в валюте для всей страны.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Нефтегазовый комплекс за годы реформ значительно упрочил свои позиции в экономике страны. НГК возник и окреп, как и другие структурные подразделения в народном хозяйстве страны, еще в рамках СССР и единого народно-хозяйственного комплекса. После его развала нефтегазовый комплекс получил вполне самостоятельное значение. Что касается общего положения нефтегазового комплекса в российской экономике, то отрасль в гораздо меньшей степени затронул спад производства. Более того, за годы реформ сырьевые отрасли выдвинулись на ведущие позиции в народном хозяйстве страны.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Действительно, отрасли ТЭК дают не менее 50% валютных поступлений в Россию, позволяют поддерживать курс рубля. Высоки доходы в бюджет страны от акцизов на нефть и нефтепродукты.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Необходимо отметить также, что большинство отраслей перерабатывающей промышленности оказались убыточными вследствие избыточной энергоемкости, в несколько раз превышающей мировые стандарты, сформировавшиеся под влиянием топливно-энергетического кризиса 70х-80х годов. В этой ситуации упадка производства, неплатежей, социальной напряженности и безработицы относительно стабильный и экспортно-ориентированный нефтегазовый комплекс становится поистине жизненно важным элементом в структуре экономики нашей страны, той отраслью, которая способна стать опорой более высокотехнологичных и наукоемких современных производств. Однако до сих пор перерабатывающие отрасли страны находятся в глубоком кризисе.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Велика роль нефтегазового сектора и в политике. Регулирование поставок нефти в страны ближнего зарубежья является, по сути дела, важным аргументом в диалоге с новыми государствами.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Таким образом, нефтегазовая отрасль - это богатство России. Энергодобывающая промышленность РФ тесно связана со всеми отраслями народного хозяйства, имеет огромное значение для российской экономики. Спрос на нефть и газ достаточно стабилен, хотя и подвержен кризисам и снижениям цен, что в российских налоговых условиях даже может поставить экспортные операции на грань ликвидности. Поэтому в успешном развитии нашей нефтегазодобывающей промышленности заинтересованы практически все развитые государства мира и в первую очередь мы сами.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 xml:space="preserve">Все вышеприведенные факторы обуславливают </w:t>
      </w:r>
      <w:r w:rsidRPr="00537469">
        <w:rPr>
          <w:rFonts w:ascii="Times New Roman" w:hAnsi="Times New Roman"/>
          <w:sz w:val="28"/>
          <w:szCs w:val="28"/>
        </w:rPr>
        <w:t>актуальность</w:t>
      </w:r>
      <w:r w:rsidRPr="00F65D8D">
        <w:rPr>
          <w:rFonts w:ascii="Times New Roman" w:hAnsi="Times New Roman"/>
          <w:sz w:val="28"/>
          <w:szCs w:val="28"/>
        </w:rPr>
        <w:t xml:space="preserve"> и значимость тематики работы на современном этапе, направленной на глубокое и всестороннее изучение современного состояния нефтегазовой промышленности.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7469">
        <w:rPr>
          <w:rFonts w:ascii="Times New Roman" w:hAnsi="Times New Roman"/>
          <w:bCs/>
          <w:sz w:val="28"/>
          <w:szCs w:val="28"/>
        </w:rPr>
        <w:t>Целью</w:t>
      </w:r>
      <w:r w:rsidRPr="00F65D8D">
        <w:rPr>
          <w:rFonts w:ascii="Times New Roman" w:hAnsi="Times New Roman"/>
          <w:sz w:val="28"/>
          <w:szCs w:val="28"/>
        </w:rPr>
        <w:t xml:space="preserve"> данной работы является рассмотрение и изучение современного состояния нефтегазовой промышленности.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 xml:space="preserve">В соответствии с поставленной целью в работе предполагается решить следующие </w:t>
      </w:r>
      <w:r w:rsidRPr="0075103F">
        <w:rPr>
          <w:rFonts w:ascii="Times New Roman" w:hAnsi="Times New Roman"/>
          <w:sz w:val="28"/>
          <w:szCs w:val="28"/>
        </w:rPr>
        <w:t>задачи: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- рассмотреть современное состояние нефти и газовой промышленности;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- изучить нефтяную отрасль России;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- охарактеризовать газовую отрасль России;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- проанализировать проблемы и перспективы развития нефтегазового комплекса России.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Предмет исследования – современное состояние нефтегазовой промышленности. Объект исследования – нефтяная и газовая отрасль промышленности.</w:t>
      </w:r>
    </w:p>
    <w:p w:rsidR="008B63EB" w:rsidRDefault="008B63EB">
      <w:pPr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2B36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1. Состав и структура нефтегазового комплекса</w:t>
      </w:r>
    </w:p>
    <w:p w:rsidR="008B63EB" w:rsidRDefault="008B63EB" w:rsidP="002B368D">
      <w:pPr>
        <w:pStyle w:val="11"/>
        <w:numPr>
          <w:ilvl w:val="1"/>
          <w:numId w:val="7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Нефтяная промышленность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Нефтяная промышленность— отрасль экономики, занимающаяся добычей, переработкой, транспортировкой, складированием и продажей природного полезного ископаемого — нефти и сопутствующих нефтепродуктов. К смежным отраслям промышленности относят геофизику, бурение, производство нефтегазового оборудования. Основу нефтяной промышленности составляют вертикально-интегрированные нефтяные компании.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Нефтедобыча — сложный производственный процесс, включающий в себя геологоразведку, бурение скважин и их ремонт, очистку добытой нефти от воды, серы, парафина и многое другое. Нефтедобычей занимается нефтегазодобывающее управление — предприятие (или структурное подразделение предприятия) занимающееся добычей и перекачкой «сырой» нефти и газа до узла коммерческого учёта. В инфраструктуру НГДУ обычно входят ДНС (дожимные насосные станции), КНС (кустовые насосные станции), УПСВ (узел предварительного сброса воды), внутрипромысловые трубопроводы (Нефтепроводы)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Нефтепроводы это инженерно-технические сооружения трубопроводного транспорта, предназначенное для транспорта нефти. Различают магистральные и промысловые нефтепроводы. Сооружение и обслуживание трубопровода весьма дорогостояще, но тем не менее — это наиболее дешёвый способ транспортировки газа и нефти. Для транспортировки нефти по водным путям используются танкеры и супертанкеры (сверхкрупные океанский танкеры, водоизмещением от 320 000 метрических тонн (см. дедвейт) которые используется для перевозки сырой нефти из порта загрузки в место перегрузки или непосредственно на нефтеперерабатывающий завод).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Цель переработки нефти (нефтепереработки) это производство нефтепродуктов, прежде всего, различных топлив (автомобильных, авиационных, котельных и т. д.) и сырья для последующей химической переработки. Бензин, керосин, дизельное топливо и технические масла подразделяются на различные марки в зависимости от химического состава. Завершающей стадией производства НПЗ является смешение полученных компонентов для получения готовой продукции требуемого состава. Между этими этапами добычи и переработки нефтепродукты складируются в резервуарах-нефтехранилищах. В нефтяной промышленности, применяются стальные резервуары Шухова. Для контроля содержимого резервуара используются пробоотборники. Периодически, в периоды снижения спроса на международные перевозки нефти, супертанкеры используются как гигантские плавучие хранилища нефти.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</w:rPr>
        <w:t>Основные продукты нефтепереработки</w:t>
      </w:r>
      <w:r w:rsidRPr="005A5914">
        <w:rPr>
          <w:rFonts w:ascii="Times New Roman" w:hAnsi="Times New Roman"/>
          <w:sz w:val="28"/>
          <w:szCs w:val="28"/>
          <w:lang w:val="en-US"/>
        </w:rPr>
        <w:t>: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Нефтехимикаты (Пластмассы)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Асфальт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Дизельное топливо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Мазут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Бензин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Керосин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Сжиженный нефтяной газ (СНГ)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Нефтяные масла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Смазочные материалы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Парафин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5A5914">
        <w:rPr>
          <w:rFonts w:ascii="Times New Roman" w:hAnsi="Times New Roman"/>
          <w:sz w:val="28"/>
          <w:szCs w:val="28"/>
          <w:lang w:val="en-US"/>
        </w:rPr>
        <w:t>Дёготь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Быстрый рост добычи нефти во второй половине ХХ века по сравнению с углем был обусловлен рядом ее физических и технологических преимуществ: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в 1-2 раза более высокая теплотворность;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большая скорость сгорания;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относительная несложность переработки и извлечения из нее широкого круга углеводородов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использование нефти экологически безопаснее, чем угля;</w:t>
      </w:r>
    </w:p>
    <w:p w:rsidR="008B63EB" w:rsidRPr="005A5914" w:rsidRDefault="008B63EB" w:rsidP="005A5914">
      <w:pPr>
        <w:pStyle w:val="11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многим нефтепродуктам присущи те же или еще большие преимущества, что и у нефти;</w:t>
      </w:r>
    </w:p>
    <w:p w:rsidR="008B63EB" w:rsidRPr="005A5914" w:rsidRDefault="008B63EB" w:rsidP="005A5914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Росту добычи нефти способствовали также экономические и географические условия: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низкие капиталовложения и себестоимость добычи по сравнению с углем;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концентрация крупнейших недровых запасов в странах (особенно Ближнего и Среднего Востока) с низким уровнем налогов, легкостью в прошлом получения концессий по низким ценам, дешевая рабочая сила;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благоприятные геологические условия - небольшая, как правило, глубина скважин;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мягкие экологические законы или их полное отсутствие;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рост морской добычи нефти (в середине 90 гг. - 30%) по-разному влияет на природную среду побережья и мероприятия по ее защите в тех или других странах;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текучесть нефти, что облегчает ее добычу, транспортировку, погрузку, эффективное использование тары для ее перевозки и хранения.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Технико-экономические преимущества нефти и получаемых на ее базе продуктов обусловили особую роль нефтяной и нефтеперерабатывающей промышленности в мировом хозяйстве. На разных этапах развития в сферу этой отрасли были вовлечены также черная металлургия (трубопрокатное производство), особенно широко машиностроение (оборудование для добычи, транспортировки, переработке нефти), использование ее в различных отраслях транспорта, в химической переработке и т.д. произошла перестройка всего энергетического хозяйства, как на стационарных установках (электростанции), так и нестационарных (двигатели на всех видах транспорта). Нефтепродукты стали использоваться не только в сферах материального производства, но и в массовом количестве в бытовом потреблении:большая часть полумиллиардного мирового парка автомашин - это личные транспортные средства населения, ежедневно потребляющие подавляющую часть нефтепродуктов.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Нефть и нефтепродукты были и остаются важнейшими видами стратегических ресурсов. Вооруженные силы всех государств по сравнению со временем до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A5914">
        <w:rPr>
          <w:rFonts w:ascii="Times New Roman" w:hAnsi="Times New Roman"/>
          <w:sz w:val="28"/>
          <w:szCs w:val="28"/>
        </w:rPr>
        <w:t>торой мировой войны многократно увеличили свою моторизацию. Внедрение последних поколений боевой авиации сильно увеличило расходы топлива, ибо мощности двигателей и соответственно потребление топлива стали на порядок выше. То же самое имеет место в наземных видах вооружений с использованием двигателей внутреннего сгорания. Нефтепродукты также стали видом боевых средств.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Развитие нефтяной, нефтеперерабатывающей и обслуживающих их отраслей промышленности и транспорта определили в ХХ веке целую эпоху, в которой пересеклись экономические, политические, национальные и религиозные интересы многих стран мира. Противоречия разных государств решались дипломатическими и военными путями. Борьба за источники нефти лежит в основе государственной политики промышленных государств мира. В настоящее время такую "нефтяную политику" и дипломатию особенно агрессивно проводят США.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Нефтяная промышленность - одна из самых монополизированных горнодобывающих отраслей. В большинстве стран мира, кроме тех, где она находится в ведении государственных компаний, отрасль полностью контролируется крупнейшими ТНК, штаб-квартиры которых находятся в США ("Эксон", "Мобил ойл", "Тексако", "Шеврон"), а также в Западной Европе (ТНК Великобритании "Бритиш петролеум" и совместная Великобритании и Нидерландов "Роял Датч-Шелл"). Постепенно с 80-х гг. они начали терять свои некогда ведущие позиции среди крупнейших промышленных ТНК мира.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Это было обусловлено созданием в 60-ые гг. странами-экспортерами нефти организации ОПЕК, куда вошли Венесуэла, Иран, Ирак, Саудовская Аравия, а позднее Алжир, Габон, Индонезия, Катар, Ливия, Нигерия, ОАЭ, Эквадор (в 1990 году Эквадор вышел из ОПЕК), то есть главные страны - продуценты нефти. Борьба стран - членов ОПЕК за право распоряжаться нефтью на своей территории привела к резкому повышению цен на нее в 70-е и 80-е гг. и последовавшими за этим энергетическими кризисами. Национализация в странах ОПЕК нефтяной промышленности и создание государственных компаний поставили под их контроль более 4/5 запасов нефти, до 1/2 добычи и около 1/5 мощностей нефтеперерабатывающих заводов (НПЗ). Однако ТНК продолжают влиять на деятельность ОПЕК в сфере технологии, оборудования и оказывать давление в области цен (резкое падение цен в 1998 г. сильно ударило по доходам всех стран - продуцентов нефти).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Достоверные запасы нефти в мире на начало 1998 года оценивались в 139,7 млрд. т, среди которых значительная часть (от 1/4 до 2/5) расположена в акваториях морей. Основная часть нефти залегает в странах Ближнего и Среднего Востока - более 2/3. На втором месте Центральная и Южная Америка - 1/8, восточная Европа - !/15, Африка - 1/15, в остальной Азии - 1/20. В крупнейшем потребителе нефти - Северной Америке - 1/30, а в Западной Европе - 1/60 мировых запасов. Такое распределение ресурсов нефти предопределяет все экономические и экономические, межгосударственные и межрегиональные отношения. Связанные с ее добычей, транспортировкой и потреблением.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В географии мировой нефтяной промышленности за 1950-1995 гг. произошли большие изменения. До Второй мировой войны 4/5 добычи нефти приходилось на Северную и Южную Америку. Но уже после войны с открытием крупных месторождений нефти на Ближнем и Среднем Востоке а также в СССР доля Америки быстро снижается.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Важнейшие результаты региональных сдвигов в размещении добычи нефти: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разрушение мощного потенциала нефтедобывающей промышленности Восточной Европы, регион отброшен назад - к уровню 60-х и 70-х гг.;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превращение Азии в лидера нефтедобычи в мире;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создание крупной добычи нефти в Западной Европе, а также в Африке;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уменьшение доли Северной и Южной Америке в добыче нефти.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- роль нефтедобывающей промышленности в Азии стала больше соответствовать географии запасов нефти в мире.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Существенно изменилась роль отдельных государств в отрасли: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СССР в 1987-1988 гг. достиг максимального уровня добычи нефти среди всех нефтедобывающих государств - 624 млн. т., который не превзошла ни одна страна за всю историю нефтяной промышленности; в 90-е гг. резко упала добыча нефти на территории России и ряда других стран СНГ;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Лидерами в добыче нефти стали США и Саудовская Аравия (суммарно они дают 1/4 добычи нефти в мире);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Обнаружение и освоение ресурсов нефти в Северном море вывело Норвегию и Великобританию в число ведущих нефтедобывающих стран мира;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Крупным продуцентом нефти стала КНР;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Из числа ведущих в отрасли временно выбыл Ирак.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Все происшедшие сдвиги в добыче нефти привели к снижению ее территориальной концентрации: в 1950 г. десять ведущих государств давали 94% нефти в мире, а в 1995 уже только 64%. Соответственно в 1950 г. свыше половины нефти добывала одна страна, в 1980 г. - три страны, а в 1995 г. - шесть. Это оказало сильное влияние на торговлю нефтью, проведение торговой политики нефтедобывающими государствами и покупателями нефти, существенно изменило грузопотоки нефти мира.</w:t>
      </w:r>
    </w:p>
    <w:p w:rsidR="008B63EB" w:rsidRPr="005A5914" w:rsidRDefault="008B63EB" w:rsidP="005A59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Географию нефтяной промышленности хорошо характеризует баланс добычи и потребления нефти по регионам мира. Этот баланс предопределял межрегиональный внешнеторговый оборот нефти и ее основные потоки.</w:t>
      </w:r>
    </w:p>
    <w:p w:rsidR="008B63EB" w:rsidRPr="00424B6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914">
        <w:rPr>
          <w:rFonts w:ascii="Times New Roman" w:hAnsi="Times New Roman"/>
          <w:sz w:val="28"/>
          <w:szCs w:val="28"/>
        </w:rPr>
        <w:t>Внешняя торговля нефтью в 1950-1995 гг. отличалась постоянным ростом ее экспорта: в 1955 г. - 254 млн. т. (или 33% всей добытой нефти), в 1990 г. - 1365 млн. т. (экспортная квота - 47%) и в 1995 г. - 1631 млн. т. (экспортная квота достигла 49,4%). Нефть стала самым массовым продуктом внешней торговли. Около 45% экспортируемой нефти приходится на страны Азии (1955 г. - 28%), т.е. доля региона как ведущего мирового экспортера нефти существенно возросла, несмотря на появление новых нефтедобывающих стран. Лидером в экспорте нефти до 70-хгг. Была Венесуэла, а к 80-м гг. вперед вышла Саудовская Аравия (19% экспорта нефти в мире в 1995 г.).</w:t>
      </w:r>
    </w:p>
    <w:p w:rsidR="008B63EB" w:rsidRDefault="008B63EB" w:rsidP="00F65D8D">
      <w:pPr>
        <w:pStyle w:val="11"/>
        <w:numPr>
          <w:ilvl w:val="1"/>
          <w:numId w:val="7"/>
        </w:num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Газовая промышленность</w:t>
      </w:r>
    </w:p>
    <w:p w:rsidR="008B63EB" w:rsidRPr="00F65D8D" w:rsidRDefault="008B63EB" w:rsidP="00F65D8D">
      <w:pPr>
        <w:pStyle w:val="2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У России нет недостатка в газе. По существующим оценкам на Россию приходится треть мировых запасов природного газа, что позволяет обеспечить будущие поставки на мировой рынок.</w:t>
      </w:r>
    </w:p>
    <w:p w:rsidR="008B63EB" w:rsidRPr="00F65D8D" w:rsidRDefault="008B63EB" w:rsidP="00F65D8D">
      <w:pPr>
        <w:pStyle w:val="a3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Крупномасштабное развитие отрасли началось в СССР относительно поздно – в 70-е годы. В результате, сегодня, в ней, по сравнению с другими добывающими отраслями российской промышленности, технологии современнее, оборудование новее и менее изношено, выработанность разрабатываемых запасов значительно ниже, а неизбежное ухудшение природно-геологических условий пока проявляется более слабо и связано, в основном, с продвижением на Север.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Газовая промышленность была базовой в российской энергетике в период перехода к рыночной экономике, особенно с момента развала СССР в 1991 году. Производство газа за последние 10 лет снизилось менее, чем на 13%, в отличие от других секторов экономики, где производство снизилось очень резко. По мнению специалистов, снижение добычи произошло лишь в силу падения платежеспособного спроса, и при его восстановлении может быть легко увеличена.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Поддержание высокого уровня производства и относительно низкого уровня цен по сравнению с другими видами топлива позволило газовой промышленности иметь долю в российском энергетическом балансе почти в 50%. Основными потребителями газа в России являются промышленные предприятия и электростанции.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Повышенная популярность потребления газа в России объясняется его низкой ценой по сравнению с ценами на альтернативные источники энергии, его привлекательностью как легко контролируемого и надежного вида топлива, высокой продуктивностью, увеличением общей мощности электростанций, работающих на газовом топливе, а также экологическими соображениями, в силу которых уменьшается привлекательность таких видов топлива, как уголь.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Согласно Энергетической Стратегии России рост потребления газа к 2005 году увеличится на 3%, а к 2010 на 8%. В то же время доля потребления газа среди электростанций будет идти медленнее. К 2005 году никаких изменений не планируется, а к 2010 году рост составит всего 2%. Однако эти данные достаточно условны и будут зависеть от общего экономического роста в стране.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Экономическая целесообразность добычи газа характеризуется двумя критериями:</w:t>
      </w:r>
    </w:p>
    <w:p w:rsidR="008B63EB" w:rsidRPr="00F65D8D" w:rsidRDefault="008B63EB" w:rsidP="00F65D8D">
      <w:pPr>
        <w:numPr>
          <w:ilvl w:val="0"/>
          <w:numId w:val="10"/>
        </w:numPr>
        <w:tabs>
          <w:tab w:val="clear" w:pos="2614"/>
          <w:tab w:val="num" w:pos="1980"/>
          <w:tab w:val="num" w:pos="3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глубиной залежей газа на месторождениях;</w:t>
      </w:r>
    </w:p>
    <w:p w:rsidR="008B63EB" w:rsidRPr="00F65D8D" w:rsidRDefault="008B63EB" w:rsidP="00F65D8D">
      <w:pPr>
        <w:numPr>
          <w:ilvl w:val="0"/>
          <w:numId w:val="10"/>
        </w:numPr>
        <w:tabs>
          <w:tab w:val="clear" w:pos="2614"/>
          <w:tab w:val="num" w:pos="1980"/>
          <w:tab w:val="num" w:pos="3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удаленностью от газопроводов.</w:t>
      </w:r>
    </w:p>
    <w:p w:rsidR="008B63EB" w:rsidRPr="00F65D8D" w:rsidRDefault="008B63EB" w:rsidP="00F65D8D">
      <w:pPr>
        <w:tabs>
          <w:tab w:val="num" w:pos="3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Основная добыча газа ведется с верхних залежей – такой газ называется – сеноман (сеноманские отложения газа). Более глубокие залежи сосредоточены в валанжинских и неокомских отложениях. Добыча газа из глубоких горизонтов месторождений гораздо сложнее и требует больших инвестиций, возрастает себестоимость добычи и, как следствие, снижается рентабельность. В некоторых случаях добыча валанжинских и неокомских залежей газа невозможна по технологическим причинам. Однако в прогнозах отмечают возможность возникновения новых технологических прорывов, которые дадут возможность добраться до глубоких месторождений в будущем.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Газодобывающая отрасль включает в себя все процессы, связанные с проведением геологоразведочных работ, разработкой месторождений, добычей газа, его транспортировки по трубопроводам, переработкой и распределением конечным потребителям.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В газовой отрасли России ведущая роль принадлежит ОАО «Газпром» - крупнейшей газовой компании мира. В 2002 году она обеспечивала 20% доходов федерального бюджета и около 20% поступлений в конвертируемой валюте.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На сегодняшний момент ОАО «Газпром»:</w:t>
      </w:r>
    </w:p>
    <w:p w:rsidR="008B63EB" w:rsidRPr="00F65D8D" w:rsidRDefault="008B63EB" w:rsidP="00F65D8D">
      <w:pPr>
        <w:numPr>
          <w:ilvl w:val="0"/>
          <w:numId w:val="9"/>
        </w:numPr>
        <w:tabs>
          <w:tab w:val="clear" w:pos="1080"/>
          <w:tab w:val="num" w:pos="1620"/>
          <w:tab w:val="left" w:pos="3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добывает 90% российского газа;</w:t>
      </w:r>
    </w:p>
    <w:p w:rsidR="008B63EB" w:rsidRPr="00F65D8D" w:rsidRDefault="008B63EB" w:rsidP="00F65D8D">
      <w:pPr>
        <w:numPr>
          <w:ilvl w:val="0"/>
          <w:numId w:val="9"/>
        </w:numPr>
        <w:tabs>
          <w:tab w:val="clear" w:pos="1080"/>
          <w:tab w:val="num" w:pos="1620"/>
          <w:tab w:val="left" w:pos="3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фактически контролирует весь газ, транспортируемый по газопроводам высокого давления большого диаметра;</w:t>
      </w:r>
    </w:p>
    <w:p w:rsidR="008B63EB" w:rsidRPr="00F65D8D" w:rsidRDefault="008B63EB" w:rsidP="00F65D8D">
      <w:pPr>
        <w:numPr>
          <w:ilvl w:val="0"/>
          <w:numId w:val="9"/>
        </w:numPr>
        <w:tabs>
          <w:tab w:val="clear" w:pos="1080"/>
          <w:tab w:val="num" w:pos="1620"/>
          <w:tab w:val="left" w:pos="32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контролирует весь экспорт газа в Европу.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Выручка компании в 2002 году выросла на 13% и составила 20 миллиардов долларов. В списке крупнейших компаний мира она занимает 121-е место.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На сегодняшний день Россия обладает 35% от мировых запасов природного газа, что составляет более 48 трлн.м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. Основные районы залегания природного газа в России: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1. Западно-сибирская нефтегазоносная провинция;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2. Волго-Уральская нефтегазоносная провинция;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3. Месторождения Сахалина и Дальнего Востока.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Особенно по запасам природного газа выделяется Западная Сибирь (Уренгойское, Ямбургское, Заполярное, Медвежье). Промышленные запасы здесь достигают 14 трлн.м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. Особо важное значение сейчас приобретают Ямальские газоконденсатные месторождения (Бованенковское, Крузенштернское, Харасавейское и другие). На их основе идёт осуществление проекта "Ямал-Европа".</w:t>
      </w:r>
    </w:p>
    <w:p w:rsidR="008B63EB" w:rsidRPr="00F65D8D" w:rsidRDefault="008B63EB" w:rsidP="00F264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Добыча природного газа отличается высокой концентрацией и ориентирована на районы с наиболее крупными и выгодными по эксплуатации месторождениями. Только пять месторождений - Уренгойское, Ямбургское, Заполярное, Медвежье и Оренбургское - содержат половину всех промышленных запасов России.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По мнению российских экономистов, РАО "Газпром" - единственная в России транснациональная компания, имеющая стабильный выход на мировой рынок. В России из газа Газпрома" получают 40 % электроэнергии, на предприятиях "Газпрома" занято 320 тысяч рабочих (вместе с семьями более 1 млн. человек). Очевидно, что газовый гигант такого уровня оказывает сильнейшее влияние на структуру бюджетных рублевых и валютных доходов России и является мощным политическим аргументом во внешнеполитических отношениях с другими странами.</w:t>
      </w:r>
    </w:p>
    <w:p w:rsidR="008B63EB" w:rsidRPr="00F65D8D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Основными проблемами нефтегазовой отрасли, как и всей промышленности России, являются проблемы финансирования и кризиса неплатежей.</w:t>
      </w:r>
    </w:p>
    <w:p w:rsidR="008B63EB" w:rsidRDefault="008B63EB" w:rsidP="00F65D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8D">
        <w:rPr>
          <w:rFonts w:ascii="Times New Roman" w:hAnsi="Times New Roman"/>
          <w:sz w:val="28"/>
          <w:szCs w:val="28"/>
        </w:rPr>
        <w:t>Природный газ был и остаётся важным продуктом экспорта в российской внешней торговле. В 1994 году из России в дальнее зарубежье было экспортировано 109.03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 xml:space="preserve"> (113.6 % к 1993 году). “Газпром” намерен в ближайшие 2 года увеличить поставки природного газа на Балканы с 21 до 36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 xml:space="preserve"> в год, в Турцию - в 2 раза, начать - в Грецию и Македонию. На заметный рост газопотребления рассчитывают Болгария, Румыния и страны экс-Югославии. В последнее время реализуется проект “Ямал-Европа”, открывающий возможность экспорта российского газа в обход украинского экспортного коридора. Следует отметить, что российский газ покрывает треть потребностей такой крупной европейской страны, как Франция. Что касается ближнего зарубежья, то в 2006 году из России в республики СНГ было экспортировано 85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 xml:space="preserve"> природного газа, в том числе в Белоруссию - 16.2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, в Молдавию - 3.1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, в Казахстан - 1.2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, Эстонию - 0.4 млрд. м</w:t>
      </w:r>
      <w:r w:rsidRPr="00F65D8D">
        <w:rPr>
          <w:rFonts w:ascii="Times New Roman" w:hAnsi="Times New Roman"/>
          <w:sz w:val="28"/>
          <w:szCs w:val="28"/>
          <w:vertAlign w:val="superscript"/>
        </w:rPr>
        <w:t>3</w:t>
      </w:r>
      <w:r w:rsidRPr="00F65D8D">
        <w:rPr>
          <w:rFonts w:ascii="Times New Roman" w:hAnsi="Times New Roman"/>
          <w:sz w:val="28"/>
          <w:szCs w:val="28"/>
        </w:rPr>
        <w:t>.</w:t>
      </w:r>
    </w:p>
    <w:p w:rsidR="008B63EB" w:rsidRDefault="008B63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3EB" w:rsidRDefault="008B63EB" w:rsidP="006B57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Современное состояние, проблемы и перспективы развития нефтегазового комплекса России</w:t>
      </w:r>
    </w:p>
    <w:p w:rsidR="008B63EB" w:rsidRPr="00A16A5F" w:rsidRDefault="008B63EB" w:rsidP="00A16A5F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6A5F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A16A5F">
        <w:rPr>
          <w:rFonts w:ascii="Times New Roman" w:hAnsi="Times New Roman" w:cs="Times New Roman"/>
          <w:b w:val="0"/>
        </w:rPr>
        <w:t xml:space="preserve"> </w:t>
      </w:r>
      <w:r w:rsidRPr="00A16A5F">
        <w:rPr>
          <w:rFonts w:ascii="Times New Roman" w:hAnsi="Times New Roman" w:cs="Times New Roman"/>
          <w:b w:val="0"/>
          <w:sz w:val="28"/>
          <w:szCs w:val="28"/>
        </w:rPr>
        <w:t>Проблемы российской нефтегазовой отрасли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За последние 10 лет в стране наблюдается резкое ухудшение состояния сырьевой базы в нефтяном комплексе. Оно ведет к резкому увеличению себестоимости добычи нефти и, следовательно, к огромным потерям для бюджета страны. Также уменьшаются ее конкурентные возможности на мировом рынке, и происходит неоправданное «запирание» огромных запасов нефти как «нерентабельных к разработке». По вине новых владельцев и инвесторов в течение последних 10 лет прошедшего столетия объемы разведочного бурения сократились более чем в 4 раза, прирост запасов нефти – в 6,5 раз. Существенно сократились объемы разведочных географических исследований. В результате ухудшения эффективности геологоразведочных работ прирост запасов нефти с </w:t>
      </w:r>
      <w:smartTag w:uri="urn:schemas-microsoft-com:office:smarttags" w:element="metricconverter">
        <w:smartTagPr>
          <w:attr w:name="ProductID" w:val="1994 г"/>
        </w:smartTagPr>
        <w:r w:rsidRPr="00A16A5F">
          <w:rPr>
            <w:rFonts w:ascii="Times New Roman" w:hAnsi="Times New Roman"/>
            <w:sz w:val="28"/>
            <w:szCs w:val="28"/>
          </w:rPr>
          <w:t>1994 г</w:t>
        </w:r>
      </w:smartTag>
      <w:r w:rsidRPr="00A16A5F">
        <w:rPr>
          <w:rFonts w:ascii="Times New Roman" w:hAnsi="Times New Roman"/>
          <w:sz w:val="28"/>
          <w:szCs w:val="28"/>
        </w:rPr>
        <w:t>. уже даже не компенсирует добычу. Выработка ведется в основном из активной части запасов. Компании ведут такую разработку, при которой достигается минимальная себестоимость нефти. Новые хозяева не заботятся о будущем страны. Сверхобеспеченность запасами многих крупных компаний способствует тому, что в стране увеличивается добыча нефти в основном за счет интенсификации выборочной отработки активной части запасов, -  «снятием сливок», по меткому выражению В.В. Путина – при одновременном прекращении эксплуатации сотен и тысяч малодебитных скважин, добывающих нефть из «трудных» запасов. Положение усугубляется тем, что за последнее десятилетие практически свернуто применение современных методов увеличения нефтеотдачи (МУН), без чего невозможна эффективная разработка трудных запасов, а значит, и преодоление негативной тенденции снижения нефтеотдачи, принявшей уже угрожающий характер. Вследствие вышеизложенных причин происходит следущее: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1. Нет прироста запасов.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2. Идет снижение нефтеотдачи.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3. Разработка происходит преимущественно из активной части запасов.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4. Не разрабатываются передовые отечественные методы увеличения нефтеотдачи и не поощряются научные разработки.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Если государство решительно не вмешается, то в будущем мы столкнемся только с трудноизвлекаемыми запасами и будем вынуждены на унизительных условиях пользоваться дорогими зарубежными технологиями. Это резко увеличит себестоимость отечественной нефти, и мы уже не сможем конкурировать как с Ближневосточными странами, где находятся преимущественно месторождения с активными запасами, так и со странами США и Канада, где структура запасов схожа с нашей, но ведется разумная и активная разработка и внедрение МУН.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Самой острой проблемой на сегодня является недостаточное воспроизводство минерально-сырьевой базы, то есть отстаивание объемов поисков и разведки новых месторождений полезных ископаемых от нарастающих объемов добычи соответствующих видов минерального сырья. Вот уже второе десятилетие подряд в России не ведется масштабных геологоразведочных работ на перспективных площадях. И как следствие – нет открытий новых месторождений с существенными запасами полезных ископаемых. 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Воспроизводство минерально-сырьевой базы в широком смысле – это поиски и разведка новых месторождений полезных ископаемых с запасами, достаточными для покрытия дефицита минерального сырья при условии максимально полного извлечения из недр и дальнейшего экономного комплексного использования. Это одна из важных составляющих развития и пополнения природных запасов. Есть и другие составляющие: полнота отработки полезных ископаемых, включая нерентабельность извлечения лишь отдельных компонентов в комплексных рудах, невысокие коэффициенты извлечения нефти и газа, использования низконапорного газа, разработки остаточных запасов полезных ископаемых, эффективной переработки отходов и отвалов горной промышленности; а также - ресурсосбережение, включая вопросы использования вторичного сырья, снижения материалоемкости и энергоемкости российского производства и жизнеобеспечения социальных объектов. Для многих «бизнесменов» все перечисленное выглядит, словно китайская грамота, но по той же причине привлечение некоторыми российскими нефтегазовыми компаниями западных сервисных подрядчиков приобрело в России уродливую, отличающуюся от мировой практики форму. Вместо того, чтобы объявить конкурсы на геологоразведочные, геофизические и другие работы, компании заключают корпоративные соглашения с западными подрядчиками: ТНК – с «Халлибуртоном», «Газпром» – с «Шлюмберже», затем, заказчик с подрядчиком (например, ТНК с «Халлибуртоном») направляются в международный банк, с помощью подрядчика берут кредиты на выполнение сервисных работ и полученные средства подрядчик успешно тратит. Как работает «Халлибуртон», каков уровень коррупции в этой компании известно из мировой прессы, но, похоже, это малого кого волнует.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Сервисный рынок необходимо сделать прозрачным, и в первую очередь - для российских сервисных компаний, имея ввиду то, что практически все, что есть в мире для сервиса в добывающем комплексе, есть у самих российских подрядчиков.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Надежный контроль над разведкой месторождений сегодня в России отсутствует. Из действующего фонда нефтяных скважин добываются на 25% больше нефти, чем предусмотрено лицензионными соглашениями, в то же время на настоящий момент не пробурено более 20 тысяч добывающих скважин, предусмотренных по условиям лицензий. Идет выборочный отбор запасов, нарушается проектная сетка разбуривания месторождений. Недоосвоенные капиталовложения от проектных уровней только в Ханты-Мансийском автономном округе за последние 10 лет составили около 20 млрд. долларов США. И при всем при этом компании имеют огромные сверхприбыли. Практически - это ничем не прикрытый грабеж.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Стоит обратить внимание, что интенсивный отбор нефти происходит преимущественно из активной части запасов, но она пока не восполняется такими же высокопродуктивными объектами. Вертикально-интегрированные компании не заинтересованы заниматься мелкими месторождениями и низкодебитными скважинами. Мировая практика развитых стран показывает, что малый и средний бизнес в недропользовании – это основной фактор, способствующий разработке небольших месторождений, трудноизвлекаемых и остаточных запасов, введению в действие простаивающих скважин. Эффективность работы малых и средних недропользователей налицо в нефтегазовой отрасли США и Канады, эти компании обеспечивают добычу около 40% добываемой в этих странах, а в России только 10%. 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В настоящее время развитие малого и среднего нефтедобывающего бизнеса в России, в том числе с участием иностранных инвестиций, сдерживает отсутствие необходимой правовой базы предприятий малого горного бизнеса. В прошлом к малым предприятиям любой отрасли промышленности относились те, среднесписочная численность которых не превышала 200 человек (независимо от статуса и численности их учредителей). Федеральный закон «О государственной поддержке малого предпринимательства в РФ» изменил предельную численность до 100 человек и ввел жесткие критерии для учредителей, существенно сузив круг предприятий, которые можно отнести к малым.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В данный момент в различных регионах России сложилась своя практика развития малого бизнеса. Так, например, в Республике Карелия, почти 60% добывающих предприятий можно отнести к малому бизнесу. Однако, кроме признаков, относящих их к субъектам малого предпринимательства, практически ничего не отличает их от крупных добывающих предприятий. Развитию этих предприятий препятствует наличие большого количества административных ограничений и преград, преодоление которых требует от персонала управления малых предприятий значительных временных и финансовых затрат.   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В Республике Татарстан другая практика. Там с </w:t>
      </w:r>
      <w:smartTag w:uri="urn:schemas-microsoft-com:office:smarttags" w:element="metricconverter">
        <w:smartTagPr>
          <w:attr w:name="ProductID" w:val="1997 г"/>
        </w:smartTagPr>
        <w:r w:rsidRPr="00A16A5F">
          <w:rPr>
            <w:rFonts w:ascii="Times New Roman" w:hAnsi="Times New Roman"/>
            <w:sz w:val="28"/>
            <w:szCs w:val="28"/>
          </w:rPr>
          <w:t>1997 г</w:t>
        </w:r>
      </w:smartTag>
      <w:r w:rsidRPr="00A16A5F">
        <w:rPr>
          <w:rFonts w:ascii="Times New Roman" w:hAnsi="Times New Roman"/>
          <w:sz w:val="28"/>
          <w:szCs w:val="28"/>
        </w:rPr>
        <w:t xml:space="preserve">. создано 28 частных малых предприятий, которые начали разработку 56 мелких месторождений с трудноизвлекаемой нефтью и расположенных вдали от нефтедобывающей инфраструктуры. Успешной работе предприятия способствовала планомерная и экономическая поддержка правительства Республики Татарстан посредством создания благоприятного налогового климата. Уместно вспомнить, что и приватизация в Татарстане проводилась не по «беспредельному» варианту.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Дальнейшее развитие малого и среднего предпринимательства в недропользовании требует от государства содействия в решении накопившихся проблем, в том числе и на государственном уровне, что будет отвечать как частному, так и государственному интересам, которые при разумном государственном подходе должны совпадать.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Однако до настоящего времени действующее законодательство не до конца учитывает особенности недропользования для малого и среднего бизнеса в отрасли. Демократы из СПС и «Яблока» в свое время об этом «позаботились».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Еще одна важная проблема – это утилизация попутных газов. На крупных месторождениях, удаленных от промышленных районов попутный газ нефти (метан) обычно сжигается. Необходимо создавать установки, и даже мини-заводы по утилизации попутного газа, используя наработки наших ученых. По оценкам специалистов такие заводы могут быть сооружены при каждом месторождении в короткие сроки за полтора – два года. В этом случае улучшается экологическая ситуация в регионе добычи нефти, а также частично компенсируются затраты на разработку месторождений. Потенциальная прибыль от переработки попутного газа может составить до 2% от величины продаж извлеченной нефти.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Одной из важнейших проблем является обеспечение экологической безопасности при реализации крупномасштабных проектов освоения нефтегазовых месторождений шельфа арктических морей и острова Сахалин, а также месторождений Каспийского и Балтийского морей. Эти проекты особенно эффективны в районах, богатых биоресурсами, в том числе - ценными видами рыб и другими объектами водного промысла. </w:t>
      </w:r>
    </w:p>
    <w:p w:rsidR="008B63EB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Государственная политика должна это учитывать, равно как и вопросы обеспечения экологической безопасности, последовательное ограничение нагрузки ТЭК на окружающую среду, приближение к соответствующим европейским экологическим нормам.  </w:t>
      </w:r>
    </w:p>
    <w:p w:rsidR="008B63EB" w:rsidRDefault="008B63EB" w:rsidP="00F90D8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B63EB" w:rsidRDefault="008B63EB" w:rsidP="00A16A5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2.2. Перспективы российской нефтегазовой отрасли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Россия обладает крупным потенциалом на мировом энергетическом рынке: к настоящему моменту открыто и разведано более 3 тыс. месторождений углеводородного сырья. Примерно половина из них разрабатывается. Более половины российской нефтедобычи и более 90 % добычи газа сосредоточены в районе Урала и Западной Сибири. Большинство месторождений этого региона отличаются высокой степенью выработки, и потому, сохраняя его в качестве основной углеводородной базы, необходимо развивать и альтернативные регионы добычи.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Исходя из официальных оценок, нашедших отражение в «Энергетической стратегии России на период до 2020 года», к 2015-му добыча нефти в нашей стране может составить 530 млн т, а ее экспорт – 310 млн тонн. Главной нефтяной базой останется Западно-Сибирская нефтегазоносная провинция. Будут сформированы новые центры нефтяной промышленности в Восточной Сибири и Республике Саха (Якутия) – добыча до 50 млн т в 2015 году; на шельфе острова Сахалин (25–26 млн т), в Баренцевом море и российском секторе Каспийского моря. Увеличится добыча нефти в Тимано-Печорской провинции.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Мощности магистральных нефтепроводов и морских терминалов для экспорта и транзита нефти из России за пределы СНГ способны возрасти к 2015-му в 1,5 раза по сравнению с сегодняшним уровнем. Это позволит реализовать к указанному сроку перспективные объемы экспорта нефти в дальнее зарубежье: примерно по 70 млн т по западному и северо-западному направлениям; около 130 млн т по черноморско-каспийскому направлению; около 80 млн т по восточному направлению; до 25 млн т по северному направлению.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К 2015 году добыча газа в России может достигнуть 740 млрд куб. м, а экспорт – 290 млрд куб. м. Добыча газа в Западной Сибири стабилизируется, поэтому весь прирост будет обеспечен за счет ввода в эксплуатацию новых месторождений Восточной Сибири и Дальнего Востока, шельфа северных и дальневосточных морей. Значительные запасы и перспективные ресурсы природного газа Восточной Сибири и Дальнего Востока теоретически позволяют сформировать в данном регионе новые центры газодобычи.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Вместе с тем существующие тенденции развития отечественного ТЭКа не позволяют говорить о том, что в ближайшее десятилетие России удастся укрепить свои позиции на мировом рынке, превратив свой энергетический потенциал в политические дивиденды.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Возымеют свое действие факторы, сдерживающие рост добычи нефти в России. К главным среди них следует отнести критическое состояние действующей нефтеэкспортной инфраструктуры, а также проблемы воспроизводства минерально-сырьевой базы. Немаловажную роль сыграют политические ограничения в отношении строительства частных трубопроводов и допуска иностранных компаний на российский рынок; низкая инвестиционная активность нефтяных компаний; сужающаяся сырьевая база нефтяных компаний (последствие многолетнего превышения темпов добычи над темпами прироста запасов).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Основной фактор, ослабляющий позиции России на рынке нефтепереработки, – это морально и физически устаревшее оборудование, которым оснащено подавляющее большинство российских нефтеперерабатывающих заводов (НПЗ). Поэтому, несмотря на то что в последние годы некоторые компании и проводили их модернизацию, в целом с технической точки зрения качество российской нефтепереработки значительно ниже мировых стандартов.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Среди первостепенных факторов, не позволяющих увеличивать добычу газа в России, следует указать на следующие: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6A5F">
        <w:rPr>
          <w:rFonts w:ascii="Times New Roman" w:hAnsi="Times New Roman"/>
          <w:sz w:val="28"/>
          <w:szCs w:val="28"/>
        </w:rPr>
        <w:t>политика «Газпрома», который в условиях существующих внутренних тарифов на газ не заинтересован в развитии внутреннего рынка;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6A5F">
        <w:rPr>
          <w:rFonts w:ascii="Times New Roman" w:hAnsi="Times New Roman"/>
          <w:sz w:val="28"/>
          <w:szCs w:val="28"/>
        </w:rPr>
        <w:t>отставание темпов роста добычи от темпов роста потребления газа;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6A5F">
        <w:rPr>
          <w:rFonts w:ascii="Times New Roman" w:hAnsi="Times New Roman"/>
          <w:sz w:val="28"/>
          <w:szCs w:val="28"/>
        </w:rPr>
        <w:t>необходимость инвестировать серьезные средства в разработку новых месторождений;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6A5F">
        <w:rPr>
          <w:rFonts w:ascii="Times New Roman" w:hAnsi="Times New Roman"/>
          <w:sz w:val="28"/>
          <w:szCs w:val="28"/>
        </w:rPr>
        <w:t xml:space="preserve">ставка на закупки центральноазиатского газа в ущерб инвестициям в добывающие проекты;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6A5F">
        <w:rPr>
          <w:rFonts w:ascii="Times New Roman" w:hAnsi="Times New Roman"/>
          <w:sz w:val="28"/>
          <w:szCs w:val="28"/>
        </w:rPr>
        <w:t>государственная политика по недопущению иностранных компаний в качестве операторов разработки наиболее перспективных объектов (Ямал, Штокмановское месторождение).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Наконец, следует отметить критическое состояние существующей нефтеэкспортной инфраструктуры и связанную с этим проблему модернизации действующей системы магистральных газопроводов, не говоря уже о монополистическом характере российской газовой отрасли.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В результате воздействия вышеперечисленных факторов потенциал развития добычи нефти может быть рассчитан лишь на несколько лет.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Вследствие неурегулированности налоговой системы и отсутствия мер по стимулированию инвестиций в геологоразведку сырьевые компании не смогут начать осваивать новые крупные месторождения и проводить геолого-разведочные работы. Темпы роста добычи нефти, которые Россия демонстрировала в 2000–2004 годах, вряд ли сохранятся в будущем. К концу второго десятилетия Россия выйдет на максимальную добычу порядка 10–11 млн баррелей в день (530–550 млн т в год) и сохранит этот уровень. К 2010-му российские поставки будут составлять порядка 15 % от объема мирового рынка нефти, а к 2030-му они снизятся до 10 %. Таким образом, с учетом роста мирового потребления доля России на мировом нефтяном рынке имеет тенденцию к снижению.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К 2010 году добыча газа на существующих месторождениях в России стабилизируется, и уже к этому времени дефицит газодобычи в Российской Федерации с учетом роста внутреннего спроса и экспорта может составить 75–150 млрд куб. м.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Чтобы поддерживать или наращивать добычу и экспорт энергоресурсов, России необходимо приступить к разработкам в неосвоенных районах, прежде всего в Сибири и на шельфе северных морей. Это требует политического решения по привлечению инвестиций (в том числе иностранных). Предполагается, что до 2010-го кардинальных перемен в этой сфере не произойдет, а возможные сдвиги в будущем уже не позволят добиться изменений к 2017 году.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Несмотря на лидирующие позиции в том, что касается масштабов добычи и транспортировки углеводородов, Россия значительно отстает по уровню использования наиболее перспективных технологий. Руководство страны фактически делает ставку на нефть, уголь и газ как на основные инструменты, позволяющие достичь и сохранить в перспективе статус великой энергетической державы. Между тем изменяющаяся структура мировой энергетики к 2030–2050 годам существенно снизит конкурентные возможности России.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Наиболее серьезным и актуальным на среднесрочную перспективу является отставание России в технологиях, связанных с производством и транспортировкой сжиженного природного газа. К настоящему времени на международный рынок поступает в сжиженном виде около четверти всего экспортируемого газа, при этом рынок растет стремительными темпами. Не исключено, что к 2017-му СПГ составит прямую конкуренцию трубопроводному газу.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 том, что касается реализации масштабных СПГ-проектов, в России складывается достаточно пессимистическая картина. Практически все объемы СПГ в рамках проекта «Сахалин-2» (единственный российский СПГ-проект, который может быть запущен в ближайшую пятилетку) законтрактованы, а ситуация вокруг остальных СПГ-заводов в настоящее время «провисла». Так, газ Штокмана (наиболее перспективное месторождение с точки зрения поставок СПГ в США) решено переориентировать в Европу, при этом поставлять его трубопроводным транспортом. А СПГ-завод в Усть-Луге даже в случае завершения его строительства до 2017 года в силу своей малой проектной мощности не способен сыграть решающую роль в становлении России как ведущей газовой державы.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На ближайшее десятилетие Европа останется базовым рынком в плане сбыта российских углеводородов. Однако следует обратить внимание на ограниченные возможности нефтепроводных поставок. Основной трубопровод «Дружба» требует ремонта, БТС уже вышел на полную мощность, а на южном направлении нефтеэкспорта все российские нефтяные потоки замыкаются на турецкие проливы, и в настоящее время альтернативы этому маршруту нет. Между тем наиболее уязвимым местом в российской транспортной политике на турецком направлении является пропускная способность Босфора. Ожидается, что Турция и в дальнейшем будет проводить политику закрытия своих проливов для прохода нефтетанкеров. Это, с одной стороны, снизит экспортные возможности России, а с другой – подтолкнет Москву к использованию БТД в качестве резервного (а в случае полного перекрытия турецких проливов – основного) маршрута транспортировки нефти на южном направлении.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Компенсировать потери Россия отчасти сможет за счет нефтепровода Бургас – Александруполис в обход Турции. Но поскольку затраты по добыче и экспорту нефти из России превышают аналогичные затраты на Каспии, то вполне вероятно частичное вытеснение с европейского рынка российской нефти.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Вторым по значимости рынком, влияние которого к 2017-му будет возрастать, является Азиатско-Тихоокеанский регион. Между тем на этом направлении возможности России таоже ограниченны в плане объявленного роста (с нынешних 3 % до 30 %) всего объема поставок энергоресурсов. Для достижения показателя следует «перебрасывать» на восток не менее 60 млн т нефти и 65 млрд куб. м газа в год. В ближайшие 10 лет эта задача невыполнима технически и сомнительна с точки зрения инвестиционных возможностей российских компаний.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Энергодиалог Россия – США останется в зачаточном состоянии. Скорее всего, ресурсы Штокмановского месторождения будут направлены в Европу, а строительство Северного нефтепровода в Мурманск будет заморожено до 2015 года – срока введения в строй Восточного нефтепровода (на два проекта у «Транснефти» попросту не хватит средств). Доля российской нефти и нефтепродуктов на американском рынке к 2017-му не превысит 5 %. Наиболее вероятно, что эти ограничения не позволят России в ближайшее десятилетие выйти на рынок Северной Америки в качестве одного из крупных игроков.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На газовых рынках Европы и АТР Россия столкнется с ростом конкуренции. Основные надежды европейские потребители связывают с диверсификацией поставок за счет увеличения доли в энергетическом балансе нефти и газа Северной Африки (Алжир, Ливия, Египет), а также государств Каспийского региона, Ближнего Востока, Центральной Азии. Ожидаемое в ближайшие 5 лет осуществление ряда трубопроводных проектов (выход БТД на полную мощность, БТЭ с подключением к проекту «Набукко» и пр.) нацелено на то, чтобы ограничить влияние России. В свою очередь Китай реализует несколько проектов, также снижающих его зависимость от российских углеводородов: нефте- и газопроводы из Казахстана, газопровод из Туркмении. Кроме того, будут расширены поставки в КНР нефти из Южной Америки, а также СПГ из Ирана.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Тем не менее в Европе Россия сохранит статус регионального энергетического лидера. В ближайшем будущем Европейский союз останется крупнейшим рынком сбыта российских энергоресурсов. Весьма сомнительно, что в скором времени удастся сформировать общеевропейский энергетический рынок и существенно потеснить на нем Россию.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Подобной перспективе препятствует целый ряд обстоятельств. В первую очередь неурегулированность многих вопросов в рамках Евросоюза и фактическое отсутствие единой точки зрения на пути обеспечения энергобезопасности. Потеснить Россию не удастся также и ввиду того, что реализация конкретных проектов по внедрению альтернативных источников энергии в Европе ведется в основном на уровне национальных экономик. Этому не способствует и взрывоопасная военно-политическая ситуация в Ближневосточном регионе (особенно вокруг Ирана, на который как на главную альтернативу России в вопросах поставок нефти и газа смотрят практически все потребители российского газа в Европе и на постсоветском пространстве). Нынешнее положение дел на Ближнем Востоке порождает целый ряд политических и военных рисков, препятствующих реализации планов Запада по выстраиванию новых энергетических коридоров.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 xml:space="preserve">Таким образом, основной задачей, стоящей перед Россией в ближайшие 10 лет, является создание условий для того, чтобы минимизировать ожидаемые потери, во-первых, от снижения ее присутствия на мировых рынках нефти и трубопроводного газа, а во-вторых, от снижения </w:t>
      </w:r>
      <w:r>
        <w:rPr>
          <w:rFonts w:ascii="Times New Roman" w:hAnsi="Times New Roman"/>
          <w:sz w:val="28"/>
          <w:szCs w:val="28"/>
        </w:rPr>
        <w:t xml:space="preserve">мировых цен на энергоносители.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Как государство, так и крупнейшие нефтегазовые компании в первую очередь должны сосредоточиться на внутреннем секторе газо- и нефтедобычи. Потребуется стимулировать инвестиции в воспроизводство минерально-сырьевой базы и освоение месторождений. При этом важно временно отойти от концепции глобальной энергетической экспансии в пользу инвестиций в национальные добывающие проекты в Восточной Сибири, на Дальнем Востоке, Сах</w:t>
      </w:r>
      <w:r>
        <w:rPr>
          <w:rFonts w:ascii="Times New Roman" w:hAnsi="Times New Roman"/>
          <w:sz w:val="28"/>
          <w:szCs w:val="28"/>
        </w:rPr>
        <w:t xml:space="preserve">алине, северном шельфе и т. п.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 то же время с учетом перспектив сохранения влияния Ближнего Востока как основного мирового энергетического центра необходимо сосредоточить усилия на сохранении и расширении присутствия российских компаний в ТЭКе Ирака, Ир</w:t>
      </w:r>
      <w:r>
        <w:rPr>
          <w:rFonts w:ascii="Times New Roman" w:hAnsi="Times New Roman"/>
          <w:sz w:val="28"/>
          <w:szCs w:val="28"/>
        </w:rPr>
        <w:t>ана, других государств региона.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Среди первоочередных мер по решению стоящих перед Россией задач следует также указать на необходимость пересмотреть финансовые параметры Соглашения о разделе продукции (СРП), разработать такие механизмы участия иностранных компаний в российских добывающих СПГ-проектах, которые учит</w:t>
      </w:r>
      <w:r>
        <w:rPr>
          <w:rFonts w:ascii="Times New Roman" w:hAnsi="Times New Roman"/>
          <w:sz w:val="28"/>
          <w:szCs w:val="28"/>
        </w:rPr>
        <w:t>ывали бы интересы обеих сторон.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Особое внимание надо уделить проектам по производству СПГ, как наиболее перспективным с точки зрения будущего мирового ТЭКа. Также необходимо повысить технологическую безопасность и эффективность р</w:t>
      </w:r>
      <w:r>
        <w:rPr>
          <w:rFonts w:ascii="Times New Roman" w:hAnsi="Times New Roman"/>
          <w:sz w:val="28"/>
          <w:szCs w:val="28"/>
        </w:rPr>
        <w:t>аботы энерготранспортных сетей.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Важно расширить поставки углеводородов на рынки в Европе за счет строительства дополнительных энерготранспортных магистралей (в Северную и Южную Европу, на Балканы), а также закрепиться на</w:t>
      </w:r>
      <w:r>
        <w:rPr>
          <w:rFonts w:ascii="Times New Roman" w:hAnsi="Times New Roman"/>
          <w:sz w:val="28"/>
          <w:szCs w:val="28"/>
        </w:rPr>
        <w:t xml:space="preserve"> азиатско-тихоокеанском рынке. </w:t>
      </w:r>
    </w:p>
    <w:p w:rsidR="008B63EB" w:rsidRPr="00A16A5F" w:rsidRDefault="008B63EB" w:rsidP="00A16A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A5F">
        <w:rPr>
          <w:rFonts w:ascii="Times New Roman" w:hAnsi="Times New Roman"/>
          <w:sz w:val="28"/>
          <w:szCs w:val="28"/>
        </w:rPr>
        <w:t>Российским нефтегазовым компаниям необходимо использовать благоприятную внешнюю конъюнктуру для реконструкции производственных мощностей с применением современных технологий и для развития сети сбыта, что позволит снизить себестоимость производства и предложить на внешние рынки более конкурентоспособный продукт.</w:t>
      </w:r>
    </w:p>
    <w:p w:rsidR="008B63EB" w:rsidRDefault="008B63EB" w:rsidP="00E0182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63EB" w:rsidRDefault="008B63EB" w:rsidP="00E0182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Современное состояние нефтегазового комплекса РФ</w:t>
      </w:r>
    </w:p>
    <w:p w:rsidR="008B63EB" w:rsidRPr="00E01822" w:rsidRDefault="008B63EB" w:rsidP="00E01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82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огласно данным Госкомстата РФ</w:t>
      </w:r>
      <w:r w:rsidRPr="00E01822">
        <w:rPr>
          <w:rFonts w:ascii="Times New Roman" w:hAnsi="Times New Roman"/>
          <w:sz w:val="28"/>
          <w:szCs w:val="28"/>
        </w:rPr>
        <w:t xml:space="preserve"> в 2007 году добыто 491 млн тонн нефти, что на 2,1 % больше, </w:t>
      </w:r>
      <w:r>
        <w:rPr>
          <w:rFonts w:ascii="Times New Roman" w:hAnsi="Times New Roman"/>
          <w:sz w:val="28"/>
          <w:szCs w:val="28"/>
        </w:rPr>
        <w:t>чем в 2006 году (480 млн тонн</w:t>
      </w:r>
      <w:r w:rsidRPr="00E01822">
        <w:rPr>
          <w:rFonts w:ascii="Times New Roman" w:hAnsi="Times New Roman"/>
          <w:sz w:val="28"/>
          <w:szCs w:val="28"/>
        </w:rPr>
        <w:t>), в результате темпы роста добычи нефти в России превысили темпы роста мирового спроса на не</w:t>
      </w:r>
      <w:r>
        <w:rPr>
          <w:rFonts w:ascii="Times New Roman" w:hAnsi="Times New Roman"/>
          <w:sz w:val="28"/>
          <w:szCs w:val="28"/>
        </w:rPr>
        <w:t>фть более чем в полтора раза.</w:t>
      </w:r>
    </w:p>
    <w:p w:rsidR="008B63EB" w:rsidRPr="00E01822" w:rsidRDefault="008B63EB" w:rsidP="00E01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822">
        <w:rPr>
          <w:rFonts w:ascii="Times New Roman" w:hAnsi="Times New Roman"/>
          <w:sz w:val="28"/>
          <w:szCs w:val="28"/>
        </w:rPr>
        <w:t>По данным статистического агентства США в 2007 году потребление переработанной нефти в России составило 28,9 % от добычи нефти — 2,8 млн баррелей в день. Чистый экспорт нефти и нефтепродуктов составил 71,1 % от добычи неф</w:t>
      </w:r>
      <w:r>
        <w:rPr>
          <w:rFonts w:ascii="Times New Roman" w:hAnsi="Times New Roman"/>
          <w:sz w:val="28"/>
          <w:szCs w:val="28"/>
        </w:rPr>
        <w:t>ти — 6,9 млн баррелей в день.</w:t>
      </w:r>
    </w:p>
    <w:p w:rsidR="008B63EB" w:rsidRPr="00E01822" w:rsidRDefault="008B63EB" w:rsidP="00E01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822">
        <w:rPr>
          <w:rFonts w:ascii="Times New Roman" w:hAnsi="Times New Roman"/>
          <w:sz w:val="28"/>
          <w:szCs w:val="28"/>
        </w:rPr>
        <w:t>Нефть является главной статьёй российского экспорта. По данным Федеральной таможенной службы в 2007 из России было вывезено 233,1 млн тонн сырой нефти на 114,15 млрд долл., что составляет около 32,4 % росс</w:t>
      </w:r>
      <w:r>
        <w:rPr>
          <w:rFonts w:ascii="Times New Roman" w:hAnsi="Times New Roman"/>
          <w:sz w:val="28"/>
          <w:szCs w:val="28"/>
        </w:rPr>
        <w:t>ийского экспорта</w:t>
      </w:r>
      <w:r w:rsidRPr="00E01822">
        <w:rPr>
          <w:rFonts w:ascii="Times New Roman" w:hAnsi="Times New Roman"/>
          <w:sz w:val="28"/>
          <w:szCs w:val="28"/>
        </w:rPr>
        <w:t>. Популярным заблуждением является часто встречающаяся информация о необходимости поставки нефти на экспорт для обеспечения импорта продукции массового потребления. Даже если бы Россия вообще не поставляла нефть на экспорт в 2007 году, торговый баланс России был бы в профиците на 45,7 млрд долл.</w:t>
      </w:r>
    </w:p>
    <w:p w:rsidR="008B63EB" w:rsidRDefault="008B63EB" w:rsidP="00E01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822">
        <w:rPr>
          <w:rFonts w:ascii="Times New Roman" w:hAnsi="Times New Roman"/>
          <w:sz w:val="28"/>
          <w:szCs w:val="28"/>
        </w:rPr>
        <w:t>Добычей нефти занимаются несколько нефтяных компаний, крупнейшими из которых по результатам 2007 года являются ОАО «Роснефть»</w:t>
      </w:r>
      <w:r>
        <w:rPr>
          <w:rFonts w:ascii="Times New Roman" w:hAnsi="Times New Roman"/>
          <w:sz w:val="28"/>
          <w:szCs w:val="28"/>
        </w:rPr>
        <w:t>, ОАО «Лукойл» и ОАО «ТНК-BP»</w:t>
      </w:r>
      <w:r w:rsidRPr="00E01822">
        <w:rPr>
          <w:rFonts w:ascii="Times New Roman" w:hAnsi="Times New Roman"/>
          <w:sz w:val="28"/>
          <w:szCs w:val="28"/>
        </w:rPr>
        <w:t xml:space="preserve"> .</w:t>
      </w:r>
    </w:p>
    <w:p w:rsidR="008B63EB" w:rsidRPr="0075103F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2.3.1</w:t>
      </w:r>
    </w:p>
    <w:p w:rsidR="008B63EB" w:rsidRPr="00F37A20" w:rsidRDefault="008B63EB" w:rsidP="00F37A2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Крупнейшие компании Российской Федерации по добыче нефти</w:t>
      </w:r>
    </w:p>
    <w:tbl>
      <w:tblPr>
        <w:tblW w:w="5840" w:type="dxa"/>
        <w:jc w:val="center"/>
        <w:tblLook w:val="00A0" w:firstRow="1" w:lastRow="0" w:firstColumn="1" w:lastColumn="0" w:noHBand="0" w:noVBand="0"/>
      </w:tblPr>
      <w:tblGrid>
        <w:gridCol w:w="1880"/>
        <w:gridCol w:w="663"/>
        <w:gridCol w:w="663"/>
        <w:gridCol w:w="2714"/>
      </w:tblGrid>
      <w:tr w:rsidR="008B63EB" w:rsidRPr="00F77561" w:rsidTr="00374A90">
        <w:trPr>
          <w:trHeight w:val="570"/>
          <w:jc w:val="center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8B63EB" w:rsidRPr="00E01822" w:rsidRDefault="008B63EB" w:rsidP="00374A9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Нефтяная компания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8B63EB" w:rsidRPr="00E01822" w:rsidRDefault="008B63EB" w:rsidP="00374A9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Чистая прибыль, млрд. долл.</w:t>
            </w:r>
          </w:p>
        </w:tc>
      </w:tr>
      <w:tr w:rsidR="008B63EB" w:rsidRPr="00F77561" w:rsidTr="00374A90">
        <w:trPr>
          <w:trHeight w:val="690"/>
          <w:jc w:val="center"/>
        </w:trPr>
        <w:tc>
          <w:tcPr>
            <w:tcW w:w="1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63EB" w:rsidRPr="00E01822" w:rsidRDefault="008B63EB" w:rsidP="00E0182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2006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63EB" w:rsidRPr="00E01822" w:rsidRDefault="008B63EB" w:rsidP="00E0182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2007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B63EB" w:rsidRPr="00E01822" w:rsidRDefault="008B63EB" w:rsidP="00E0182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4 кв. 2007 − 3 кв. 2008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Роснефть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3,5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12,9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13,3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Лукойл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7,5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9,5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13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ТНК-BP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6,4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5,7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8,3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Сургутнефтегаз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2,8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3,5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6,3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Газпром нефть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3,7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4,1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5,9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Татнефть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1,1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1,7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1,9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Славнефть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1,2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0,7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0,5</w:t>
            </w:r>
          </w:p>
        </w:tc>
      </w:tr>
      <w:tr w:rsidR="008B63EB" w:rsidRPr="00F77561" w:rsidTr="00374A90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Башнефть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0,3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0,4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0,5</w:t>
            </w:r>
          </w:p>
        </w:tc>
      </w:tr>
      <w:tr w:rsidR="008B63EB" w:rsidRPr="00F77561" w:rsidTr="00374A90">
        <w:trPr>
          <w:trHeight w:val="315"/>
          <w:jc w:val="center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Итого для TOP-8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26,5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38,5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B63EB" w:rsidRPr="00E01822" w:rsidRDefault="008B63EB" w:rsidP="00E01822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E01822">
              <w:rPr>
                <w:color w:val="000000"/>
                <w:lang w:eastAsia="ru-RU"/>
              </w:rPr>
              <w:t>49,7</w:t>
            </w:r>
          </w:p>
        </w:tc>
      </w:tr>
    </w:tbl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Рис.1</w:t>
      </w:r>
    </w:p>
    <w:p w:rsidR="008B63EB" w:rsidRDefault="0098277F" w:rsidP="00374A90">
      <w:pPr>
        <w:pStyle w:val="11"/>
        <w:spacing w:after="0" w:line="36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326.25pt;height:177.75pt;visibility:visible">
            <v:imagedata r:id="rId7" o:title=""/>
          </v:shape>
        </w:pict>
      </w:r>
    </w:p>
    <w:p w:rsidR="008B63EB" w:rsidRDefault="008B63EB" w:rsidP="00A16A5F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25B83">
        <w:rPr>
          <w:rFonts w:ascii="Times New Roman" w:hAnsi="Times New Roman"/>
          <w:sz w:val="28"/>
          <w:szCs w:val="28"/>
        </w:rPr>
        <w:t>Удельный вес экспорта нефти в общем объеме российского экспорта в январе-октябре 2009г. составил 33,5%, в экспорте топливно-энергетических товаров - 50,4% (в январе-октябре 2008г., соответственно, 35,6% и 51,3%).</w:t>
      </w:r>
    </w:p>
    <w:p w:rsidR="008B63EB" w:rsidRDefault="008B63EB" w:rsidP="00925B83">
      <w:pPr>
        <w:pStyle w:val="11"/>
        <w:spacing w:after="0" w:line="360" w:lineRule="auto"/>
        <w:ind w:left="0" w:firstLine="709"/>
        <w:contextualSpacing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Рис.2</w:t>
      </w:r>
    </w:p>
    <w:p w:rsidR="008B63EB" w:rsidRDefault="0098277F" w:rsidP="00374A90">
      <w:pPr>
        <w:pStyle w:val="11"/>
        <w:spacing w:after="0" w:line="36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26" type="#_x0000_t75" style="width:378.75pt;height:247.5pt;visibility:visible">
            <v:imagedata r:id="rId8" o:title=""/>
          </v:shape>
        </w:pict>
      </w:r>
    </w:p>
    <w:p w:rsidR="008B63EB" w:rsidRDefault="008B63EB" w:rsidP="00A16A5F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25B83">
        <w:rPr>
          <w:rFonts w:ascii="Times New Roman" w:hAnsi="Times New Roman"/>
          <w:sz w:val="28"/>
          <w:szCs w:val="28"/>
        </w:rPr>
        <w:t>В октябре 2009г. средняя фактическая экспортная цена на нефть составила 478,2 доллара США за 1 тонну (100,6% к сентябрю 2009г.). Средняя цена мирового рынка на нефть "Юралс" составляла 529,3 доллара США за 1 тонну (108,0% к сентябрю 2009г.).</w:t>
      </w:r>
    </w:p>
    <w:p w:rsidR="008B63EB" w:rsidRDefault="008B63EB">
      <w:pPr>
        <w:rPr>
          <w:rFonts w:ascii="Times New Roman" w:hAnsi="Times New Roman"/>
          <w:sz w:val="28"/>
          <w:szCs w:val="28"/>
        </w:rPr>
      </w:pPr>
    </w:p>
    <w:p w:rsidR="008B63EB" w:rsidRDefault="008B63EB" w:rsidP="00374A90">
      <w:pPr>
        <w:pStyle w:val="11"/>
        <w:spacing w:after="0" w:line="36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8B63EB" w:rsidRPr="00374A90" w:rsidRDefault="008B63EB" w:rsidP="00374A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4A90">
        <w:rPr>
          <w:rFonts w:ascii="Times New Roman" w:hAnsi="Times New Roman"/>
          <w:sz w:val="28"/>
          <w:szCs w:val="28"/>
        </w:rPr>
        <w:t xml:space="preserve">На сегодняшний день стало ясно, что нефтяная отрасль способна стать «локомотивом» дальнейшего развития страны. Однако нефтяные компании нуждаются в поддержке государства в продвижении на внешние рынки, тем более, что большая часть транспортной сети принадлежит государству. Кроме того, российским компаниям стратегические капиталовложения для поддержания и увеличения уровня добычи. Внутри страны возможности для таких инвестиций ограничены, поэтому требуется активизация диалога по данному вопросу с иностранными партнёрами, которая невозможна без участия государства. В данных аспектах Россия ещё недостаточно активна, но в последнее время ситуация начинает меняться: многие эксперты считают, что поворотным моментом может стать опыт инвестирования 6,75 млрд. долларов компанией </w:t>
      </w:r>
      <w:r w:rsidRPr="00374A90">
        <w:rPr>
          <w:rFonts w:ascii="Times New Roman" w:hAnsi="Times New Roman"/>
          <w:sz w:val="28"/>
          <w:szCs w:val="28"/>
          <w:lang w:val="en-US"/>
        </w:rPr>
        <w:t>British</w:t>
      </w:r>
      <w:r w:rsidRPr="00374A90">
        <w:rPr>
          <w:rFonts w:ascii="Times New Roman" w:hAnsi="Times New Roman"/>
          <w:sz w:val="28"/>
          <w:szCs w:val="28"/>
        </w:rPr>
        <w:t xml:space="preserve"> </w:t>
      </w:r>
      <w:r w:rsidRPr="00374A90">
        <w:rPr>
          <w:rFonts w:ascii="Times New Roman" w:hAnsi="Times New Roman"/>
          <w:sz w:val="28"/>
          <w:szCs w:val="28"/>
          <w:lang w:val="en-US"/>
        </w:rPr>
        <w:t>Petroleum</w:t>
      </w:r>
      <w:r w:rsidRPr="00374A90">
        <w:rPr>
          <w:rFonts w:ascii="Times New Roman" w:hAnsi="Times New Roman"/>
          <w:sz w:val="28"/>
          <w:szCs w:val="28"/>
        </w:rPr>
        <w:t xml:space="preserve"> в ТНК. Всё же нельзя не заметить, что политика правительства в данном направлении несколько хаотична.</w:t>
      </w:r>
    </w:p>
    <w:p w:rsidR="008B63EB" w:rsidRPr="00374A90" w:rsidRDefault="008B63EB" w:rsidP="00374A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4A90">
        <w:rPr>
          <w:rFonts w:ascii="Times New Roman" w:hAnsi="Times New Roman"/>
          <w:sz w:val="28"/>
          <w:szCs w:val="28"/>
        </w:rPr>
        <w:t>Необходимо отметить, что уже сегодня нефтяная отрасль России способна стать важным элементом обеспечения национальной безопасности страны как на внутренней, так и на международной арене. России необходимо использовать свои уникальные сырьевые возможности и, прежде всего, нефть для решения внешнеполитических задач. Первые шаги в этом направлении уже совершаются. Нашим партнёрам по СНГ приходится учитывать фактор нефтяной зависимости от России и уникальные транзитные возможности, позволяющие ей во многом контролировать доступ нефти из Средней Азии и Казахстана к потребителям. Европейский нефтяной рынок на треть зависит от России, поэтому европейским государствам также приходится учитывать топливный фактор в политике России. Однако ЕС является основным источником инвестиций для российской экономики, поэтому наблюдается своеобразная взаимозависимость, которая уменьшает значение нефтяного фактора в политике России в это регионе. Россия только ещё выходит на рынки США и Азии, поэтому говорить об использовании нефтяного фактора во внешней политике страны в этих районах мира пока преждевременно. В общем, можно сказать, что потенциал нефтяного фактора во внешней политике России используется далеко не на сто процентов. Говоря о тенденциях на будущее, необходимо отметить, что в последнее время наблюдается рост экспорта нефти и, одновременно увеличение роли нефтяного фактора во внешней политике страны.</w:t>
      </w:r>
    </w:p>
    <w:p w:rsidR="008B63EB" w:rsidRPr="00374A90" w:rsidRDefault="008B63EB" w:rsidP="00374A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4A90">
        <w:rPr>
          <w:rFonts w:ascii="Times New Roman" w:hAnsi="Times New Roman"/>
          <w:sz w:val="28"/>
          <w:szCs w:val="28"/>
        </w:rPr>
        <w:t>Эффективное решение вопросов привлечения иностранного капитала в развитие нефтяного комплекса России требует государственного подхода  и одновременного решения вопросов по предотвращению утечки капиталов за границу при экспорте нефти и восстановлению взаимовыгодного сотрудничества между предприятиями нефтяного комплекса стран СНГ</w:t>
      </w:r>
      <w:bookmarkStart w:id="0" w:name="OCRUncertain293"/>
      <w:r w:rsidRPr="00374A90">
        <w:rPr>
          <w:rFonts w:ascii="Times New Roman" w:hAnsi="Times New Roman"/>
          <w:sz w:val="28"/>
          <w:szCs w:val="28"/>
        </w:rPr>
        <w:t>.</w:t>
      </w:r>
      <w:bookmarkEnd w:id="0"/>
      <w:r w:rsidRPr="00374A90">
        <w:rPr>
          <w:rFonts w:ascii="Times New Roman" w:hAnsi="Times New Roman"/>
          <w:sz w:val="28"/>
          <w:szCs w:val="28"/>
        </w:rPr>
        <w:t xml:space="preserve"> Основным источником стабилизации экспорта, как это и провозглашено в экономической стратегии России, должны стать сэкономленные энергоресурсы.</w:t>
      </w:r>
    </w:p>
    <w:p w:rsidR="008B63EB" w:rsidRPr="00374A90" w:rsidRDefault="008B63EB" w:rsidP="00374A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4A90">
        <w:rPr>
          <w:rFonts w:ascii="Times New Roman" w:hAnsi="Times New Roman"/>
          <w:sz w:val="28"/>
          <w:szCs w:val="28"/>
        </w:rPr>
        <w:t xml:space="preserve">Необходим поворот стратегии от наращивания добычи углеводородного сырья к повышению эффективности использования энергоресурсов. Важно учитывать проблему конечности и </w:t>
      </w:r>
      <w:bookmarkStart w:id="1" w:name="OCRUncertain294"/>
      <w:r w:rsidRPr="00374A90">
        <w:rPr>
          <w:rFonts w:ascii="Times New Roman" w:hAnsi="Times New Roman"/>
          <w:sz w:val="28"/>
          <w:szCs w:val="28"/>
        </w:rPr>
        <w:t>невосполнимости</w:t>
      </w:r>
      <w:bookmarkEnd w:id="1"/>
      <w:r w:rsidRPr="00374A90">
        <w:rPr>
          <w:rFonts w:ascii="Times New Roman" w:hAnsi="Times New Roman"/>
          <w:sz w:val="28"/>
          <w:szCs w:val="28"/>
        </w:rPr>
        <w:t xml:space="preserve"> ресурсов, в ряде старых добывающих районов страны с развитой инфраструктурой они близки к исчерпанию.</w:t>
      </w:r>
    </w:p>
    <w:p w:rsidR="008B63EB" w:rsidRDefault="008B63EB" w:rsidP="00374A90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B63EB" w:rsidRDefault="008B63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3EB" w:rsidRDefault="008B63EB" w:rsidP="00374A90">
      <w:pPr>
        <w:pStyle w:val="11"/>
        <w:spacing w:after="0" w:line="36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9654"/>
      </w:tblGrid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Кудинов, А.А.  От кризиса к успеху: Практическое пособие [Текст] / А.А. Кудинов. - М.: Анкил, 2003. - 312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Переходная экономика: теоретические аспекты, российские проблемы, мировой опыт [Текст] / отв. ред. В.А. Мартынов, В.С. Автономов, И.М. Осадчая. - М.: Экономика, 2005. - 719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Красникова, Е.В.  Экономика переходного периода [Текст] : учебное пособие для студентов экон. специальностей / Е.В. Красникова. - М.: Омега-Л, 2005. - 296 с. (Высшее образование)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Бабашкина, А.М.  Государственное регулирование национальной экономики [Текст] : учеб. пособие / А.М. Бабашкина. - М.: Финансы и статистика, 2006. - 480 с.: ил.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Кудров, В.М.  Национальная экономика России [Текст]: учебник / В.М. Кудров. - 2-e изд., испр. и доп. - М.: Дело, 2007. - 544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Иванов, С.Б.  Обеспечение национальной безопасности как необходимое условие развития России [Текст] : сборник / С.Б. Иванов; Составители: М.И. Герасев, С.К. Ознобищев. - М: КомКнига, 2006. - 224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Основы национального счетоводства [Текст] : учебник / Ю.Н. Иванов [и др.]; под ред. Ю.Н. Иванова. - М.: ИНФРА-М, 2007. - 480 с. - (Классический университетский учебник). - Рекомендовано научно-методическим советом по экономике УМО по классическому университетскому образованию.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Башкатов, Б.И.  Практикум по национальному счетоводству [Текст] : учебное пособие / Б.И. Башкатов, Б.Т. Рябушкин; под ред. Б.И. Башкатова. - М.: Финансы и статистика, 2004. - 320 с.: ил. - Рекомендовано УМО по образованию.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Есипова, Э.Ю.  Система национальных счетов: краткий курс [Текст] : учебное пособие / Э.Ю. Есипова. - М.: Финансы и статистика, 2007. - 176 с.: ил. - Допущено Институтом проблем развития СПО ФАО МОиН РФ.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Салин, В.Н.  Система национальных счетов [Текст] : учебное пособие / В.Н. Салин, С.И. Кудряшов. - М.: Финансы и статистика, 2006. - 272 с.: ил. - Рекомендовано УМО по образованию.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Косарев, А.Е.  Анализ и прогнозирование на основе национальных счетов и платежного баланса: развитие методов [Текст] / А.Е. Косарев. - М.: ИИЦ "Статистика России", 2005. - 144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Плышевский, Б.П.  Где создается и как расходуется национальный продукт России [Текст] / Б.П. Плышевский. - М.: Статистика России, 2006 - 199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Самофалова, Е.В.  Государственное регулирование национальной экономики [Текст] : учебное пособие / Е.В. Самофалова, Э.Н. Кузьбожев, Ю.В. Вертакова; под ред. Э.Н. Кузьбожева. - 4-е изд., стер. - М.: КНОРУС, 2008. - 272 с. - Рекомендовано УМЦ "Классический учебник".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Шишкин, С.Н.  Государственное регулирование экономики: предпринимательско-правовой аспект [Текст] / С.Н. Шишкин. - М.: Волтерс Клувер, 2007. - 256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Грицюк, Т.В.  Государственное регулирование экономики: теория и практика [Текст] / Т.В. Грицюк. - М.: РДЛ, 2006. - 288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Вавилов, Ю.Я.  Государственный долг [Текст] : учебное пособие / Ю.Я. Вавилов. - 3-е изд., перераб. и доп. - М.: Перспектива, 2007. - 256 с. - Рекомендовано МОиН РФ.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Лексин, В.Н.  Государство и регионы: Теория и практика государственного регулирования территориального развития [Текст] / В.Н. Лексин, А.Н. Швецов. - М.: Изд-во ЛКИ, 2007. - 368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 xml:space="preserve">Зименков, Р.И.  Свободные экономические зоны [Текст] : учебное пособие / Р.И. Зименков. - М.: ЮНИТИ-ДАНА, 2005. - 223 С. - Рекомендовано УМО вузов по образованию. - Рекомендовано УМЦ "Профессиональный учебник". 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Ерусланова, Р.И.  Пенсионное обеспечение в России [Текст] : учебное пособие / Р.И. Ерусланова, Ф.Н. Емельянова, Р.А. Кондратьева; под общ. ред. Р.И. Еруслановой. - М.: Дашков и Ко, 2008. - 608 с.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BC6F9B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 xml:space="preserve">Методы государственного регулирования экономики [Текст] : учебное пособие. - М.: ИНФРА-М, 2008. - 300 с. - (Учебники экономического факультета МГУ им. М.В. Ломоносова). - Рекомендовано УМО по классическому университетскому образованию. </w:t>
            </w:r>
          </w:p>
        </w:tc>
      </w:tr>
      <w:tr w:rsidR="008B63EB" w:rsidRPr="00F77561" w:rsidTr="00374A90">
        <w:trPr>
          <w:trHeight w:val="765"/>
        </w:trPr>
        <w:tc>
          <w:tcPr>
            <w:tcW w:w="9654" w:type="dxa"/>
          </w:tcPr>
          <w:p w:rsidR="008B63EB" w:rsidRPr="00F77561" w:rsidRDefault="008B63EB" w:rsidP="00BC6F9B">
            <w:pPr>
              <w:numPr>
                <w:ilvl w:val="0"/>
                <w:numId w:val="1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F9B">
              <w:rPr>
                <w:rFonts w:ascii="Times New Roman" w:hAnsi="Times New Roman"/>
                <w:sz w:val="28"/>
                <w:szCs w:val="28"/>
              </w:rPr>
              <w:t>Покидченко, М.Г.  Пути развития экономики России: теория и практика [Текст] : учебное пособие / М.Г. Покидченко, Л.Н. Сперанская, Т.А. Дробышевская. - М.: ИНФРА-М, 2005. - 312 с. - (Учебники экономического факультета МГУ им. М.В. Ломоносова). - Рекомендовано УМО по классическому университетскому образованию.</w:t>
            </w:r>
          </w:p>
          <w:p w:rsidR="008B63EB" w:rsidRPr="00F77561" w:rsidRDefault="008B63EB" w:rsidP="00374A90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77F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98277F">
              <w:rPr>
                <w:rFonts w:ascii="Times New Roman" w:hAnsi="Times New Roman"/>
                <w:sz w:val="28"/>
                <w:szCs w:val="28"/>
              </w:rPr>
              <w:t>.</w:t>
            </w:r>
            <w:r w:rsidRPr="0098277F">
              <w:rPr>
                <w:rFonts w:ascii="Times New Roman" w:hAnsi="Times New Roman"/>
                <w:sz w:val="28"/>
                <w:szCs w:val="28"/>
                <w:lang w:val="en-US"/>
              </w:rPr>
              <w:t>gazprom</w:t>
            </w:r>
            <w:r w:rsidRPr="0098277F">
              <w:rPr>
                <w:rFonts w:ascii="Times New Roman" w:hAnsi="Times New Roman"/>
                <w:sz w:val="28"/>
                <w:szCs w:val="28"/>
              </w:rPr>
              <w:t>.ru</w:t>
            </w:r>
          </w:p>
          <w:p w:rsidR="008B63EB" w:rsidRPr="00F77561" w:rsidRDefault="008B63EB" w:rsidP="00374A90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77F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98277F">
              <w:rPr>
                <w:rFonts w:ascii="Times New Roman" w:hAnsi="Times New Roman"/>
                <w:sz w:val="28"/>
                <w:szCs w:val="28"/>
              </w:rPr>
              <w:t>.</w:t>
            </w:r>
            <w:r w:rsidRPr="0098277F">
              <w:rPr>
                <w:rFonts w:ascii="Times New Roman" w:hAnsi="Times New Roman"/>
                <w:sz w:val="28"/>
                <w:szCs w:val="28"/>
                <w:lang w:val="en-US"/>
              </w:rPr>
              <w:t>gks</w:t>
            </w:r>
            <w:r w:rsidRPr="0098277F">
              <w:rPr>
                <w:rFonts w:ascii="Times New Roman" w:hAnsi="Times New Roman"/>
                <w:sz w:val="28"/>
                <w:szCs w:val="28"/>
              </w:rPr>
              <w:t>.</w:t>
            </w:r>
            <w:r w:rsidRPr="0098277F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8B63EB" w:rsidRPr="00BC6F9B" w:rsidRDefault="008B63EB" w:rsidP="00374A90">
            <w:pPr>
              <w:pStyle w:val="Denmain"/>
              <w:ind w:left="311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63EB" w:rsidRPr="00A16A5F" w:rsidRDefault="008B63EB" w:rsidP="00374A90">
      <w:pPr>
        <w:pStyle w:val="1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8B63EB" w:rsidRPr="00A16A5F" w:rsidSect="00FA2458">
      <w:head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EB" w:rsidRDefault="008B63EB" w:rsidP="00FA2458">
      <w:pPr>
        <w:spacing w:after="0" w:line="240" w:lineRule="auto"/>
      </w:pPr>
      <w:r>
        <w:separator/>
      </w:r>
    </w:p>
  </w:endnote>
  <w:endnote w:type="continuationSeparator" w:id="0">
    <w:p w:rsidR="008B63EB" w:rsidRDefault="008B63EB" w:rsidP="00FA2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EB" w:rsidRDefault="008B63EB" w:rsidP="00FA2458">
      <w:pPr>
        <w:spacing w:after="0" w:line="240" w:lineRule="auto"/>
      </w:pPr>
      <w:r>
        <w:separator/>
      </w:r>
    </w:p>
  </w:footnote>
  <w:footnote w:type="continuationSeparator" w:id="0">
    <w:p w:rsidR="008B63EB" w:rsidRDefault="008B63EB" w:rsidP="00FA2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EB" w:rsidRDefault="008B63EB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3F03">
      <w:rPr>
        <w:noProof/>
      </w:rPr>
      <w:t>2</w:t>
    </w:r>
    <w:r>
      <w:fldChar w:fldCharType="end"/>
    </w:r>
  </w:p>
  <w:p w:rsidR="008B63EB" w:rsidRDefault="008B63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5DD5"/>
    <w:multiLevelType w:val="hybridMultilevel"/>
    <w:tmpl w:val="E828EC20"/>
    <w:lvl w:ilvl="0" w:tplc="3FAC1AF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4128BD"/>
    <w:multiLevelType w:val="hybridMultilevel"/>
    <w:tmpl w:val="0FB8562E"/>
    <w:lvl w:ilvl="0" w:tplc="1952A11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3053EA"/>
    <w:multiLevelType w:val="hybridMultilevel"/>
    <w:tmpl w:val="EBE8D1B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38E3D12"/>
    <w:multiLevelType w:val="hybridMultilevel"/>
    <w:tmpl w:val="1520C610"/>
    <w:lvl w:ilvl="0" w:tplc="FFFFFFFF">
      <w:start w:val="1"/>
      <w:numFmt w:val="bullet"/>
      <w:lvlText w:val=""/>
      <w:lvlJc w:val="left"/>
      <w:pPr>
        <w:tabs>
          <w:tab w:val="num" w:pos="2614"/>
        </w:tabs>
        <w:ind w:left="261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34"/>
        </w:tabs>
        <w:ind w:left="333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54"/>
        </w:tabs>
        <w:ind w:left="40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74"/>
        </w:tabs>
        <w:ind w:left="47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94"/>
        </w:tabs>
        <w:ind w:left="54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14"/>
        </w:tabs>
        <w:ind w:left="62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34"/>
        </w:tabs>
        <w:ind w:left="69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54"/>
        </w:tabs>
        <w:ind w:left="76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74"/>
        </w:tabs>
        <w:ind w:left="8374" w:hanging="360"/>
      </w:pPr>
      <w:rPr>
        <w:rFonts w:ascii="Wingdings" w:hAnsi="Wingdings" w:hint="default"/>
      </w:rPr>
    </w:lvl>
  </w:abstractNum>
  <w:abstractNum w:abstractNumId="4">
    <w:nsid w:val="24854A4C"/>
    <w:multiLevelType w:val="hybridMultilevel"/>
    <w:tmpl w:val="22A8DBD2"/>
    <w:lvl w:ilvl="0" w:tplc="84903248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333A72"/>
    <w:multiLevelType w:val="multilevel"/>
    <w:tmpl w:val="7EF883F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E865C9E"/>
    <w:multiLevelType w:val="hybridMultilevel"/>
    <w:tmpl w:val="E4DA3EB2"/>
    <w:lvl w:ilvl="0" w:tplc="84903248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FD222E"/>
    <w:multiLevelType w:val="multilevel"/>
    <w:tmpl w:val="E56C0E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C191B01"/>
    <w:multiLevelType w:val="multilevel"/>
    <w:tmpl w:val="7662FEA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60B3BB5"/>
    <w:multiLevelType w:val="multilevel"/>
    <w:tmpl w:val="E56C0E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AF07C04"/>
    <w:multiLevelType w:val="multilevel"/>
    <w:tmpl w:val="E56C0E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6A4E0785"/>
    <w:multiLevelType w:val="hybridMultilevel"/>
    <w:tmpl w:val="44DACC60"/>
    <w:lvl w:ilvl="0" w:tplc="1952A11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233F38"/>
    <w:multiLevelType w:val="multilevel"/>
    <w:tmpl w:val="E56C0E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141"/>
    <w:rsid w:val="00086D9B"/>
    <w:rsid w:val="002A5239"/>
    <w:rsid w:val="002B368D"/>
    <w:rsid w:val="002E0755"/>
    <w:rsid w:val="00374A90"/>
    <w:rsid w:val="003C2561"/>
    <w:rsid w:val="00424B6F"/>
    <w:rsid w:val="00537469"/>
    <w:rsid w:val="005741B9"/>
    <w:rsid w:val="005A5914"/>
    <w:rsid w:val="005D03C6"/>
    <w:rsid w:val="00637695"/>
    <w:rsid w:val="006B578F"/>
    <w:rsid w:val="007449E5"/>
    <w:rsid w:val="0075103F"/>
    <w:rsid w:val="008B63EB"/>
    <w:rsid w:val="008D6585"/>
    <w:rsid w:val="00925B83"/>
    <w:rsid w:val="0098277F"/>
    <w:rsid w:val="00A16A5F"/>
    <w:rsid w:val="00AA5E94"/>
    <w:rsid w:val="00AA5F3C"/>
    <w:rsid w:val="00BC6F9B"/>
    <w:rsid w:val="00BD2141"/>
    <w:rsid w:val="00C40C26"/>
    <w:rsid w:val="00DC7360"/>
    <w:rsid w:val="00DF2C15"/>
    <w:rsid w:val="00E01822"/>
    <w:rsid w:val="00E63F03"/>
    <w:rsid w:val="00F264C2"/>
    <w:rsid w:val="00F37A20"/>
    <w:rsid w:val="00F65D8D"/>
    <w:rsid w:val="00F77561"/>
    <w:rsid w:val="00F90D82"/>
    <w:rsid w:val="00FA2458"/>
    <w:rsid w:val="00F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2BEE62-B89E-489F-9693-D95BBB1F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1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16A5F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rsid w:val="00BD2141"/>
    <w:pPr>
      <w:ind w:left="720"/>
      <w:contextualSpacing/>
    </w:pPr>
  </w:style>
  <w:style w:type="paragraph" w:styleId="a3">
    <w:name w:val="Body Text Indent"/>
    <w:basedOn w:val="a"/>
    <w:link w:val="a4"/>
    <w:semiHidden/>
    <w:rsid w:val="00F65D8D"/>
    <w:pPr>
      <w:spacing w:after="0" w:line="288" w:lineRule="auto"/>
      <w:ind w:left="2700"/>
      <w:jc w:val="both"/>
    </w:pPr>
    <w:rPr>
      <w:rFonts w:ascii="Arial" w:eastAsia="Calibri" w:hAnsi="Arial"/>
      <w:sz w:val="24"/>
      <w:szCs w:val="24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locked/>
    <w:rsid w:val="00F65D8D"/>
    <w:rPr>
      <w:rFonts w:ascii="Arial" w:hAnsi="Arial" w:cs="Times New Roman"/>
      <w:sz w:val="24"/>
      <w:szCs w:val="24"/>
      <w:lang w:val="x-none" w:eastAsia="ru-RU"/>
    </w:rPr>
  </w:style>
  <w:style w:type="paragraph" w:styleId="2">
    <w:name w:val="Body Text Indent 2"/>
    <w:basedOn w:val="a"/>
    <w:link w:val="20"/>
    <w:semiHidden/>
    <w:rsid w:val="00F65D8D"/>
    <w:pPr>
      <w:spacing w:before="240" w:after="0" w:line="288" w:lineRule="auto"/>
      <w:ind w:left="3060"/>
      <w:jc w:val="both"/>
    </w:pPr>
    <w:rPr>
      <w:rFonts w:ascii="Arial" w:eastAsia="Calibri" w:hAnsi="Arial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locked/>
    <w:rsid w:val="00F65D8D"/>
    <w:rPr>
      <w:rFonts w:ascii="Arial" w:hAnsi="Arial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A16A5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styleId="a5">
    <w:name w:val="Balloon Text"/>
    <w:basedOn w:val="a"/>
    <w:link w:val="a6"/>
    <w:semiHidden/>
    <w:rsid w:val="0092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locked/>
    <w:rsid w:val="00925B83"/>
    <w:rPr>
      <w:rFonts w:ascii="Tahoma" w:hAnsi="Tahoma" w:cs="Tahoma"/>
      <w:sz w:val="16"/>
      <w:szCs w:val="16"/>
    </w:rPr>
  </w:style>
  <w:style w:type="paragraph" w:customStyle="1" w:styleId="Denmain">
    <w:name w:val="Den main"/>
    <w:basedOn w:val="a"/>
    <w:rsid w:val="00374A90"/>
    <w:pPr>
      <w:tabs>
        <w:tab w:val="left" w:pos="10490"/>
      </w:tabs>
      <w:spacing w:after="120" w:line="288" w:lineRule="auto"/>
      <w:ind w:left="2694"/>
      <w:jc w:val="both"/>
    </w:pPr>
    <w:rPr>
      <w:rFonts w:ascii="Arial" w:eastAsia="Calibri" w:hAnsi="Arial"/>
      <w:sz w:val="24"/>
      <w:szCs w:val="20"/>
    </w:rPr>
  </w:style>
  <w:style w:type="character" w:styleId="a7">
    <w:name w:val="Hyperlink"/>
    <w:basedOn w:val="a0"/>
    <w:semiHidden/>
    <w:rsid w:val="00374A90"/>
    <w:rPr>
      <w:rFonts w:cs="Times New Roman"/>
      <w:color w:val="FF0000"/>
      <w:u w:val="single"/>
    </w:rPr>
  </w:style>
  <w:style w:type="paragraph" w:styleId="a8">
    <w:name w:val="header"/>
    <w:basedOn w:val="a"/>
    <w:link w:val="a9"/>
    <w:rsid w:val="00FA2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locked/>
    <w:rsid w:val="00FA2458"/>
    <w:rPr>
      <w:rFonts w:cs="Times New Roman"/>
    </w:rPr>
  </w:style>
  <w:style w:type="paragraph" w:styleId="aa">
    <w:name w:val="footer"/>
    <w:basedOn w:val="a"/>
    <w:link w:val="ab"/>
    <w:semiHidden/>
    <w:rsid w:val="00FA2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semiHidden/>
    <w:locked/>
    <w:rsid w:val="00FA24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8203</Words>
  <Characters>46762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SamForum.ws</Company>
  <LinksUpToDate>false</LinksUpToDate>
  <CharactersWithSpaces>54856</CharactersWithSpaces>
  <SharedDoc>false</SharedDoc>
  <HLinks>
    <vt:vector size="12" baseType="variant"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7602293</vt:i4>
      </vt:variant>
      <vt:variant>
        <vt:i4>0</vt:i4>
      </vt:variant>
      <vt:variant>
        <vt:i4>0</vt:i4>
      </vt:variant>
      <vt:variant>
        <vt:i4>5</vt:i4>
      </vt:variant>
      <vt:variant>
        <vt:lpwstr>http://www.gazprom.ru/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Irina</cp:lastModifiedBy>
  <cp:revision>2</cp:revision>
  <dcterms:created xsi:type="dcterms:W3CDTF">2014-08-18T18:38:00Z</dcterms:created>
  <dcterms:modified xsi:type="dcterms:W3CDTF">2014-08-18T18:38:00Z</dcterms:modified>
</cp:coreProperties>
</file>