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2F6" w:rsidRDefault="001272F6" w:rsidP="0043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30BB5" w:rsidRPr="00430BB5" w:rsidRDefault="00D84317" w:rsidP="0043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1.1. </w:t>
      </w:r>
      <w:r w:rsidR="00430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Внешняя </w:t>
      </w:r>
      <w:r w:rsidR="00430BB5" w:rsidRPr="00430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торгов</w:t>
      </w:r>
      <w:r w:rsidR="00430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ля</w:t>
      </w:r>
      <w:r w:rsidR="00430BB5" w:rsidRPr="00430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России</w:t>
      </w:r>
      <w:r w:rsidR="00430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 структура и динамика.</w:t>
      </w:r>
    </w:p>
    <w:p w:rsid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Переход экономики России на рыночные отношения предполагает глубокие и масштабные преобразования в различных сферах. Одной из важных сфер, которые радикально реформируются, является внешняя торговля. В условиях командной экономики СССР внешняя торговля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функционировала в жестких рамках государственной монополии. Все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внешнеторговые операции осуществлялись через систему союзных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внешнеторговых организаций. Отдельное предприятие не имело права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ни продавать свою продукцию на мировом рынке, ни распоряжаться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заработанной валютой. В этих условиях непосредственные производители не были заинтересованы в международной конкурентоспособности своей продукции и были обособлены от системы мировой торговли. Но при наличии коренных пороков, неповоротливости и бюрократизма государственная монополия внешней торговли обеспечивала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 xml:space="preserve">учет и контроль движения товаров и валюты через границу. </w:t>
      </w:r>
    </w:p>
    <w:p w:rsidR="00430BB5" w:rsidRPr="00BD05BA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val="en-US"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Отказ от государственной монополии внешней торговли позволил всем субъектам хозяйства России свободно выходить на мировые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рынки. Первоначально для этого требовалась регистрация предприятия как участника внешнеэкономической деятельности в органах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Министерства внешнеэкономических связей на местах (в области,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крае, автономной республике). В настоящее время любое предприятие может свободно участвовать во внешнеторговых операциях. Однако отказ от государственной монополии внешней торговли породил серьезные проблемы. Расширился бесконтрольный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вывоз стратегически важных сырьевых товаров. Нахлынула волна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импортных товаров, часто низкого качества. Возникла проблема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утечки валюты.</w:t>
      </w:r>
      <w:r w:rsidR="00BD05BA">
        <w:rPr>
          <w:rFonts w:ascii="Times New Roman" w:eastAsia="BookAntiqua" w:hAnsi="Times New Roman"/>
          <w:sz w:val="28"/>
          <w:szCs w:val="28"/>
          <w:lang w:val="en-US" w:eastAsia="ru-RU"/>
        </w:rPr>
        <w:t>[4</w:t>
      </w:r>
      <w:r w:rsidR="00BD05BA">
        <w:rPr>
          <w:rFonts w:ascii="Times New Roman" w:eastAsia="BookAntiqua" w:hAnsi="Times New Roman"/>
          <w:sz w:val="28"/>
          <w:szCs w:val="28"/>
          <w:lang w:eastAsia="ru-RU"/>
        </w:rPr>
        <w:t>, стр. 104</w:t>
      </w:r>
      <w:r w:rsidR="00BD05BA">
        <w:rPr>
          <w:rFonts w:ascii="Times New Roman" w:eastAsia="BookAntiqua" w:hAnsi="Times New Roman"/>
          <w:sz w:val="28"/>
          <w:szCs w:val="28"/>
          <w:lang w:val="en-US" w:eastAsia="ru-RU"/>
        </w:rPr>
        <w:t>]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 этих условиях необходимо было сформировать новые экономические и административные структуры по регулированию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внешней торговли. Разработать и внедрить в практику эффективные методы внешнеторговой политики.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Цели государственного регулирования внешней торговли определяются общей экономической ситуацией в стране, остротой существующих социально-экономических проблем. В этой связи внешнеторговая политика может быть нацелена на рост доходов государственного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бюджета, содействие структурной перестройке промышленности, защиту отдельных отраслей от импортной конкуренции.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Методы внешнеторговой политики России учитывают международную практику и особенности социально-экономической ситуации внутри страны. В арсенал методов внешнеторговой политики включены как тарифные, так и нетарифные методы. В 1993 г. В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России принят Закон «О таможенном тарифе» и Таможенный кодекс, сейчас действует новая редакция кодекса, которую Государственная Дума РФ приняла в 2003 году. Новый кодекс вступил в силу с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1 января 2004г. В Законе «О таможенном тарифе» установлен порядок определения таможенной стоимости товаров, импортируемых в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Россию, а также возможные тарифные льготы и порядок их предоставления. Существует 5 методов определения таможенной стоимости импортируемого товара: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1) по цене сделки с ввозимыми товарами (основной метод);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2) по цене сделки с идентичными товарами;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3) по цене сделки с однородными товарами;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4) на основе вычитания стоимости (на основе цены единицы товара,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продаваемого в России);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5) на основе сложения стоимости (оценка расходов российского</w:t>
      </w:r>
    </w:p>
    <w:p w:rsidR="00430BB5" w:rsidRPr="00BD05BA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val="en-US"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экспортера товара того же вида).</w:t>
      </w:r>
      <w:r w:rsidR="00BD05BA"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="00BD05BA">
        <w:rPr>
          <w:rFonts w:ascii="Times New Roman" w:eastAsia="BookAntiqua" w:hAnsi="Times New Roman"/>
          <w:sz w:val="28"/>
          <w:szCs w:val="28"/>
          <w:lang w:val="en-US" w:eastAsia="ru-RU"/>
        </w:rPr>
        <w:t>[</w:t>
      </w:r>
      <w:r w:rsidR="00BD05BA">
        <w:rPr>
          <w:rFonts w:ascii="Times New Roman" w:eastAsia="BookAntiqua" w:hAnsi="Times New Roman"/>
          <w:sz w:val="28"/>
          <w:szCs w:val="28"/>
          <w:lang w:eastAsia="ru-RU"/>
        </w:rPr>
        <w:t>4, стр. 106</w:t>
      </w:r>
      <w:r w:rsidR="00BD05BA">
        <w:rPr>
          <w:rFonts w:ascii="Times New Roman" w:eastAsia="BookAntiqua" w:hAnsi="Times New Roman"/>
          <w:sz w:val="28"/>
          <w:szCs w:val="28"/>
          <w:lang w:val="en-US" w:eastAsia="ru-RU"/>
        </w:rPr>
        <w:t>]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Могут быть случаи, когда указанные 5 методов не могут быть использованы. Тогда таможенные органы оценивают стоимость с учетом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мировой таможенной практики. Кроме определения таможенной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стоимости товара, важным разделом указанного закона является порядок определения страны происхождения товара. В соответствии с Таможенным кодексом РФ, страной происхождения товара считается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страна, в которой данный товар был полностью произведен или подвергнут достаточной переработке. При этом под страной происхождения товаров может пониматься группа стран, либо таможенные союзы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стран, либо регион или часть страны, если имеется необходимость их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выделения для целей определения страны происхождения товаров.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Если в производстве товаров участвуют две страны и более, то страной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происхождения товаров считается страна, в которой были осуществлены последние операции по переработке или изготовлению товаров,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отвечающие критериям достаточной переработки. Если в отношении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отдельных товаров или какой-либо страны особенности определения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страны происхождения товаров, ввозимых на таможенную территорию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РФ, особо не оговариваются., то применяется общее правило: товар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считается происходящим из данной страны, если в результате осуществления операций по переработке или изготовлению товаров произошло изменение классификационного кода товаров по ТН ВЭД на уровне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любого из первых четырех знаков.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Базовые ставки импортных пошлин применяются к товарам из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стран или их союзов, пользующихся в России режимом наибольшего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благоприятствования в торговле (РНБ). Взаимное предоставление РНБ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 Россией имеют более 120 стран и Европейский Союз. На товары, происходящие из стран и их союзов, не пользующихся РНБ в торговле с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Россией, применяются удвоенные ставки базовых импортных пошлин.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Специальный режим таможенных пошлин применяется к товарам из развивающихся стран – базовые ставки, уменьшены в 2 раза.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 xml:space="preserve">В число таких стран входят крупные торговые партнеры России – Китай, Индия. В Импортном таможенном тарифе (ИТТ) России, имеющем трехколонную структуру, базовая ставка ввозной пошлины (вторая колонка ИТТ) применяется к странам, с которыми заключены торговые договоры и соглашения, предусматривающие </w:t>
      </w:r>
      <w:r w:rsidRPr="00430BB5">
        <w:rPr>
          <w:rFonts w:ascii="Times New Roman" w:eastAsia="BookAntiqua" w:hAnsi="Times New Roman"/>
          <w:i/>
          <w:iCs/>
          <w:sz w:val="28"/>
          <w:szCs w:val="28"/>
          <w:lang w:eastAsia="ru-RU"/>
        </w:rPr>
        <w:t>режим наибольшего</w:t>
      </w:r>
      <w:r>
        <w:rPr>
          <w:rFonts w:ascii="Times New Roman" w:eastAsia="BookAntiqua" w:hAnsi="Times New Roman"/>
          <w:i/>
          <w:iCs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i/>
          <w:iCs/>
          <w:sz w:val="28"/>
          <w:szCs w:val="28"/>
          <w:lang w:eastAsia="ru-RU"/>
        </w:rPr>
        <w:t xml:space="preserve">благоприятствования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(РНБ). Первая колонка ИТТ содержит преференциальные ставки, которые в соответствии с мировой практикой Россия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представляет развивающимся странам по списку ООН (уменьшенный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размер пошлин). Товары из наименее развитых стран (их список включает 47 государств) вообще не облагаются таможенной пошлиной.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 отличие от установок ВТО, в РФ размер преференциальных пошлин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 начале 2004 г. составлял не 50%, а 75% от базовой ставки. Кроме того,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указанные выше преференции распространяются только на часть товаров из развивающихся и наименее развитых стран. Преференции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применялись только при ввозе продовольственных товаров и сельскохозяйственного сырья (чай, кофе, рис, какао, плоды и орехи, каучук 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т.д.), натуральных волокон (хлопок, шерсть, шелк), ковров, древесины 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некоторых простейших промышленных изделий. При этом списки товаров из указанных стран периодически уточняются.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 учетом изменений в мировой торговле и во внутреннем экономическом развитии ставки ввозных таможенных пошлин в России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изменяются. Например, при так называемой гармонизации Импортно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го таможенного тарифа в 2001 г. произошли следующие изменения.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1. Общее снижение ввозных пошлин, при этом их средневзвешенная ставка составила 10—11% вместо сложившейся к 2000 г. Ставке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13-15%.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2. Общая унификация ставок. Вместо действовавших 6 адвалорных ставок сохранились 4 (5, 10, 15 и 20</w:t>
      </w:r>
      <w:r w:rsidRPr="00430BB5">
        <w:rPr>
          <w:rFonts w:ascii="Times New Roman" w:eastAsia="BookAntiqua" w:hAnsi="Times New Roman"/>
          <w:i/>
          <w:iCs/>
          <w:sz w:val="28"/>
          <w:szCs w:val="28"/>
          <w:lang w:eastAsia="ru-RU"/>
        </w:rPr>
        <w:t xml:space="preserve">%).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Максимальные размеры ставок были сохранены только как исключение для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очень немногих товаров – автомобилей (25%), сахара и табачных изделий (30%).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3. Унификация ставок внутри однородных групп товаров.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4. Удешевление импорта продовольствия, в том числе не производимого в России, для поддержания конкурентной среды и покупательной способности населения.</w:t>
      </w:r>
    </w:p>
    <w:p w:rsidR="00430BB5" w:rsidRPr="00BD05BA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5. Снижение пошлин (при необходимости до нулевых значений)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на технологическое оборудование, не имеющее отечественных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аналогов, ряд полуфабрикатов и комплектующих изделий, что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должно снизить издержки в промышленности и оживить деловую активность, ускорить реконструкцию, модернизацию и новое строительство промышленных предприятий.</w:t>
      </w:r>
      <w:r w:rsidR="00BD05BA" w:rsidRPr="00BD05BA">
        <w:rPr>
          <w:rFonts w:ascii="Times New Roman" w:eastAsia="BookAntiqua" w:hAnsi="Times New Roman"/>
          <w:sz w:val="28"/>
          <w:szCs w:val="28"/>
          <w:lang w:eastAsia="ru-RU"/>
        </w:rPr>
        <w:t>[</w:t>
      </w:r>
      <w:r w:rsidR="00BD05BA">
        <w:rPr>
          <w:rFonts w:ascii="Times New Roman" w:eastAsia="BookAntiqua" w:hAnsi="Times New Roman"/>
          <w:sz w:val="28"/>
          <w:szCs w:val="28"/>
          <w:lang w:eastAsia="ru-RU"/>
        </w:rPr>
        <w:t>4, стр. 110</w:t>
      </w:r>
      <w:r w:rsidR="00BD05BA" w:rsidRPr="00BD05BA">
        <w:rPr>
          <w:rFonts w:ascii="Times New Roman" w:eastAsia="BookAntiqua" w:hAnsi="Times New Roman"/>
          <w:sz w:val="28"/>
          <w:szCs w:val="28"/>
          <w:lang w:eastAsia="ru-RU"/>
        </w:rPr>
        <w:t>]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Кроме тарифных методов, Россия применяет квотирование 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лицензионный порядок экспорта и импорта определенных товаров.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Нетарифные методы распространяются на все страны, включая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страны СНГ.</w:t>
      </w:r>
    </w:p>
    <w:p w:rsidR="00430BB5" w:rsidRP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Важнейшим шагом на пути формирования цивилизованной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внешнеторговой политики являлось принятие в октябре 1995 г. Закона Poccийской Федерации «О регулировании внешнеторговой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деятельности». В 2003 году Государственной Думой РФ был принят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ФЗ РФ «Об основах государственного регулирования внешнеторговой деятельности». Он является правовой основой внешнеторговой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политики России. Целями этого Закона провозглашаются защита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экономического суверенитета России, стимулирование развития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экономики, обеспечение эффективной интеграции России в мировую экономику. В законе также определены основные принципы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государственного регулирования внешнеторговой деятельности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России. Следует отметить, что одним из принципов является приоритет экономических мер государственного регулирования внешней торговли. Внешнеторговая по</w:t>
      </w:r>
      <w:r>
        <w:rPr>
          <w:rFonts w:ascii="Times New Roman" w:eastAsia="BookAntiqua" w:hAnsi="Times New Roman"/>
          <w:sz w:val="28"/>
          <w:szCs w:val="28"/>
          <w:lang w:eastAsia="ru-RU"/>
        </w:rPr>
        <w:t>литика России осуществляется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моженно-тарифными и нетарифными методами. Другие методы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государственного регулирования внешнеторговой деятельности не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допускаются. В Законе также определены активные меры по содействию развитию внешнеторговой деятельности.</w:t>
      </w:r>
    </w:p>
    <w:p w:rsidR="001100D0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 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В целях стимулирования роста экономики Правительство Российской Федерации и органы исполнительной власти субъектов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Российской Федерации способствуют развитию внешней торговли, в</w:t>
      </w:r>
      <w:r>
        <w:rPr>
          <w:rFonts w:ascii="Times New Roman" w:eastAsia="BookAntiqua" w:hAnsi="Times New Roman"/>
          <w:sz w:val="28"/>
          <w:szCs w:val="28"/>
          <w:lang w:eastAsia="ru-RU"/>
        </w:rPr>
        <w:t xml:space="preserve"> </w:t>
      </w:r>
      <w:r w:rsidRPr="00430BB5">
        <w:rPr>
          <w:rFonts w:ascii="Times New Roman" w:eastAsia="BookAntiqua" w:hAnsi="Times New Roman"/>
          <w:sz w:val="28"/>
          <w:szCs w:val="28"/>
          <w:lang w:eastAsia="ru-RU"/>
        </w:rPr>
        <w:t>том числе путем осуществления федеральных и региональных программ развити</w:t>
      </w:r>
      <w:r>
        <w:rPr>
          <w:rFonts w:ascii="Times New Roman" w:eastAsia="BookAntiqua" w:hAnsi="Times New Roman"/>
          <w:sz w:val="28"/>
          <w:szCs w:val="28"/>
          <w:lang w:eastAsia="ru-RU"/>
        </w:rPr>
        <w:t>я внешнеторговой деятельности.</w:t>
      </w:r>
    </w:p>
    <w:p w:rsid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b/>
          <w:sz w:val="28"/>
          <w:szCs w:val="28"/>
          <w:lang w:eastAsia="ru-RU"/>
        </w:rPr>
      </w:pPr>
    </w:p>
    <w:p w:rsid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b/>
          <w:sz w:val="28"/>
          <w:szCs w:val="28"/>
          <w:lang w:eastAsia="ru-RU"/>
        </w:rPr>
      </w:pPr>
    </w:p>
    <w:p w:rsid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b/>
          <w:sz w:val="28"/>
          <w:szCs w:val="28"/>
          <w:lang w:eastAsia="ru-RU"/>
        </w:rPr>
      </w:pPr>
    </w:p>
    <w:p w:rsidR="00430BB5" w:rsidRDefault="00430BB5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b/>
          <w:sz w:val="28"/>
          <w:szCs w:val="28"/>
          <w:lang w:eastAsia="ru-RU"/>
        </w:rPr>
      </w:pPr>
    </w:p>
    <w:p w:rsidR="00430BB5" w:rsidRDefault="00BD05BA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b/>
          <w:sz w:val="28"/>
          <w:szCs w:val="28"/>
          <w:lang w:eastAsia="ru-RU"/>
        </w:rPr>
      </w:pPr>
      <w:r>
        <w:rPr>
          <w:rFonts w:ascii="Times New Roman" w:eastAsia="BookAntiqua" w:hAnsi="Times New Roman"/>
          <w:b/>
          <w:sz w:val="28"/>
          <w:szCs w:val="28"/>
          <w:lang w:eastAsia="ru-RU"/>
        </w:rPr>
        <w:t xml:space="preserve">1.2. </w:t>
      </w:r>
      <w:r w:rsidR="00430BB5" w:rsidRPr="00430BB5">
        <w:rPr>
          <w:rFonts w:ascii="Times New Roman" w:eastAsia="BookAntiqua" w:hAnsi="Times New Roman"/>
          <w:b/>
          <w:sz w:val="28"/>
          <w:szCs w:val="28"/>
          <w:lang w:eastAsia="ru-RU"/>
        </w:rPr>
        <w:t>Место России на мировом рынке товаров и услуг.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 xml:space="preserve">Значение </w:t>
      </w:r>
      <w:r w:rsidRPr="00783247">
        <w:rPr>
          <w:rFonts w:ascii="Times New Roman" w:hAnsi="Times New Roman"/>
          <w:b/>
          <w:bCs/>
          <w:sz w:val="28"/>
          <w:szCs w:val="28"/>
        </w:rPr>
        <w:t xml:space="preserve">внешней торговли товарами </w:t>
      </w:r>
      <w:r w:rsidRPr="00783247">
        <w:rPr>
          <w:rFonts w:ascii="Times New Roman" w:hAnsi="Times New Roman"/>
          <w:sz w:val="28"/>
          <w:szCs w:val="28"/>
        </w:rPr>
        <w:t>для России подчеркивается тем обстоятельством, что ее динамика уже с 90-х гг. отличалась от развития других отраслей в лучшую сторону. Во внешней торговле с 1993 г. наблюдался устойчивый рост по внешнеторговому обороту, экспорту и импорту, внешнеторговому сальдо. Осложнялся этот процесс влиянием неустойчивой конъюнктуры мирового рынка.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Для развивающихся экономик характерны две крайние модели развития: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1) импортозамещение;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2) первоочередное развитие экспортных производств.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На основе первой модели создавались экономики Индии и Бразилии. Вторая модель характерна для новых индустриальных стран Юго-Восточной Азии. Для России эти модели в чистом виде неприемлемы, поскольку ее экономика прошла процесс индустриализации и обладает значительным научно-техническим, производственным, кадровым и интеллектуальным, а не только природным потенциалом.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Создание импортозамещающих производств актуально для создания конкурентной среды на внутреннем рынке и для защиты отечественного производства. Для завоевания позиций на мировом рынке основным направлением должно стать развитие экспортных производств на базе глубокой переработки сырья, поддержки экспортного потенциала в топливно-энергетическом, военно-промышленном комплексах, в других наукоемких отраслях.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С 1992 по 1997 г. наблюдался непрерывный рост внешнеторгового оборота с 96,6 до 161,0 млрд. долл. и импорта с 43,0 до 72,0 млрд. долл. (табл. 10.1). Валютно-финансовый кризис 1998 г. в сочетании с падением в 1997-1998 гг. цен на нефть - главный экспортный товар России - привел к спаду внешнеторгового оборота, экспорта и импорта. Изменение ситуации на мировом рынке нефти в 1999-2004 гг., когда цены на нее возросли и сохранялись на высоком уровне, позволило увеличивать объем экспорта (начиная с 2000 г.) и при одновременном росте импорта получать довольно значительное внешнеторговое сальдо (максимальный объем которого - 87,2 млрд. долл. - был достигнут в 2004 г.).</w:t>
      </w:r>
    </w:p>
    <w:p w:rsidR="00783247" w:rsidRPr="00783247" w:rsidRDefault="00783247" w:rsidP="00783247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783247">
        <w:rPr>
          <w:rFonts w:ascii="Times New Roman" w:hAnsi="Times New Roman"/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1930"/>
        <w:gridCol w:w="1349"/>
        <w:gridCol w:w="1253"/>
        <w:gridCol w:w="1296"/>
      </w:tblGrid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3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Внешнеторговый оборот</w:t>
            </w:r>
          </w:p>
        </w:tc>
        <w:tc>
          <w:tcPr>
            <w:tcW w:w="1349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Экспорт</w:t>
            </w:r>
          </w:p>
        </w:tc>
        <w:tc>
          <w:tcPr>
            <w:tcW w:w="1253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Импорт</w:t>
            </w:r>
          </w:p>
        </w:tc>
        <w:tc>
          <w:tcPr>
            <w:tcW w:w="1296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Сальдо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96,6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53,6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43,0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10,6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104,0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59,7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44,3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118,3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50,5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17,3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145,5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62,6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20,3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1996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158,6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90,6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68,0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161,0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89,0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72,0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1998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132,9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58,0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115,2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75,7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39,5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36,2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150,4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105,5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60,6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156,4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53,4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49,6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151,8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105,8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46,0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212,0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135,9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783247" w:rsidRPr="00783247">
        <w:trPr>
          <w:trHeight w:val="20"/>
          <w:jc w:val="center"/>
        </w:trPr>
        <w:tc>
          <w:tcPr>
            <w:tcW w:w="840" w:type="dxa"/>
            <w:shd w:val="clear" w:color="auto" w:fill="FFFFFF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930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276,8</w:t>
            </w:r>
          </w:p>
        </w:tc>
        <w:tc>
          <w:tcPr>
            <w:tcW w:w="1349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182,0</w:t>
            </w:r>
          </w:p>
        </w:tc>
        <w:tc>
          <w:tcPr>
            <w:tcW w:w="1253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296" w:type="dxa"/>
            <w:shd w:val="clear" w:color="auto" w:fill="FFFFFF"/>
            <w:vAlign w:val="bottom"/>
          </w:tcPr>
          <w:p w:rsidR="00783247" w:rsidRPr="00783247" w:rsidRDefault="00783247" w:rsidP="00783247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3247">
              <w:rPr>
                <w:rFonts w:ascii="Times New Roman" w:hAnsi="Times New Roman"/>
                <w:sz w:val="28"/>
                <w:szCs w:val="28"/>
              </w:rPr>
              <w:t>87,2</w:t>
            </w:r>
          </w:p>
        </w:tc>
      </w:tr>
    </w:tbl>
    <w:p w:rsidR="00783247" w:rsidRPr="00BD05BA" w:rsidRDefault="00783247" w:rsidP="00783247">
      <w:pPr>
        <w:shd w:val="clear" w:color="auto" w:fill="FFFFFF"/>
        <w:spacing w:after="6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83247">
        <w:rPr>
          <w:rFonts w:ascii="Times New Roman" w:hAnsi="Times New Roman"/>
          <w:sz w:val="28"/>
          <w:szCs w:val="28"/>
        </w:rPr>
        <w:t>Объем внешней торговли в России в текущих ценах (млрд. долл.)</w:t>
      </w:r>
      <w:r w:rsidR="00BD05BA">
        <w:rPr>
          <w:rFonts w:ascii="Times New Roman" w:hAnsi="Times New Roman"/>
          <w:sz w:val="28"/>
          <w:szCs w:val="28"/>
        </w:rPr>
        <w:t xml:space="preserve"> </w:t>
      </w:r>
      <w:r w:rsidR="00BD05BA">
        <w:rPr>
          <w:rFonts w:ascii="Times New Roman" w:hAnsi="Times New Roman"/>
          <w:sz w:val="28"/>
          <w:szCs w:val="28"/>
          <w:lang w:val="en-US"/>
        </w:rPr>
        <w:t>[</w:t>
      </w:r>
      <w:r w:rsidR="00BD05BA">
        <w:rPr>
          <w:rFonts w:ascii="Times New Roman" w:hAnsi="Times New Roman"/>
          <w:sz w:val="28"/>
          <w:szCs w:val="28"/>
        </w:rPr>
        <w:t>1, стр. 111</w:t>
      </w:r>
      <w:r w:rsidR="00BD05BA">
        <w:rPr>
          <w:rFonts w:ascii="Times New Roman" w:hAnsi="Times New Roman"/>
          <w:sz w:val="28"/>
          <w:szCs w:val="28"/>
          <w:lang w:val="en-US"/>
        </w:rPr>
        <w:t>]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условиях высокой внешней задолженности положительное сальдо внешней торговли способствовало накоплению иностранной валюты, обслуживанию и погашению внешнего долга и в целом проведению Россией более самостоятельной экономической политики.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Во внешнеторговых отношениях выделяются два крупных политико-географических сектора внешней торговли России: страны СНГ, или «ближнее зарубежье», и «дальнее зарубежье». Их выделение связано с рядом различий в регулировании, системе расчетов и ценообразовании. Во внешней торговле России абсолютно преобладают связи с развитыми странами с рыночной экономикой, страны СНГ занимают второе место. Третья группа внешнеторговых партнеров России - государства Центральной и Восточной Европы, бывшие члены СЭВ. В последние годы растет объем торговли с развивающимися странами. Главные партнеры здесь - Турция, Южная Корея, Индия, Китай. В то же время до минимума сократилась торговля с такими бывшими членами СЭВ, как Куба, Монголия и Вьетнам, а также КНДР.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Товарная структура импорта и экспорта России соответствует спросу, предъявляемому на российские товары на мировом рынке, и спросу на иностранные товары на внутреннем рынке России. Однако она не соответствует экономическому, интеллектуальному, промышленному и агроклиматическому потенциалам России.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Она является следствием спада производства и неконкурентоспособности многих российских товаров.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экспорте России преобладают сырая нефть, природный газ и нефтепродукты. Удельный вес этой группы традиционно превышал 40%, а в настоящее время при высоких ценах на нефть составляет около 50% стоимости экспорта. Его колебания в стоимости экспорта зависят от мировых цен на энергоресурсы.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Второе место в экспорте России занимают металлы. Экспортные поставки металлов, в первую очередь проката, серьезно поддерживают черную металлургию России. Проблемы экспорта российского металла - в том, что в США и ряде других стран против российского проката ведется антидемпинговая кампания, угрожающая российским поставщикам квотированием и антидемпинговыми пошлинами. Россия - один из четырех главных экспортеров алюминия, один из трех - никеля, почти монополист по экспорту платины, палладия и других металлов платиновой группы.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Экспорт драгоценных камней осуществляется по соглашению с алмазным монополистом - фирмой «Де Бирс». Эта корпорация обязалась закупать у российской компании «Алроса» сырые алмазы на сумму не менее 550 млн. долл. в год.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Машины, оборудование и транспортные средства занимают очень небольшое место в российском экспорте, причем больше трети его направляется в страны СНГ. Это самое слабое звено российского экспорта, отражающее как неконкурентоспособность российского машиностроения, так и недостатки государственной промышленной политики, «пороки» конверсии военно-промышленного комплекса. Рынки стран Центральной и Восточной Европы для российского машиностроения потеряны, идет борьба за рынки Китая и ряда развивающихся стран.</w:t>
      </w:r>
    </w:p>
    <w:p w:rsidR="00783247" w:rsidRPr="00BD05BA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торговле оружием Россия конкурирует с США, Францией и другими странами. С начала 2000-х гг. Россия занимала на мировом рынке вооружений и военной техники третье место после США и Великобритании. В 2004 г. поставки вооружений и военной техники из России составляют около 6 млрд. долл. Заключены перспективные контракты со странами Юго-Восточной Азии, прежде всего с Индией.</w:t>
      </w:r>
      <w:r w:rsidR="00BD05BA">
        <w:rPr>
          <w:rFonts w:ascii="Times New Roman" w:hAnsi="Times New Roman"/>
          <w:sz w:val="28"/>
          <w:szCs w:val="28"/>
        </w:rPr>
        <w:t xml:space="preserve"> </w:t>
      </w:r>
      <w:r w:rsidR="00BD05BA" w:rsidRPr="00BD05BA">
        <w:rPr>
          <w:rFonts w:ascii="Times New Roman" w:hAnsi="Times New Roman"/>
          <w:sz w:val="28"/>
          <w:szCs w:val="28"/>
        </w:rPr>
        <w:t>[</w:t>
      </w:r>
      <w:r w:rsidR="00BD05BA">
        <w:rPr>
          <w:rFonts w:ascii="Times New Roman" w:hAnsi="Times New Roman"/>
          <w:sz w:val="28"/>
          <w:szCs w:val="28"/>
        </w:rPr>
        <w:t>1, стр. 112</w:t>
      </w:r>
      <w:r w:rsidR="00BD05BA" w:rsidRPr="00BD05BA">
        <w:rPr>
          <w:rFonts w:ascii="Times New Roman" w:hAnsi="Times New Roman"/>
          <w:sz w:val="28"/>
          <w:szCs w:val="28"/>
        </w:rPr>
        <w:t>]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импорте неизменно преобладает товарная группа «Машины оборудование и транспортные средства» (31-36%). Это вообще характерно для импорта развитых стран. Однако товарная структура данной группы за последние годы изменилась: сократился ввоз промышленного оборудования, а основное место заняли легковые автомобили, бытовая техника, электронная аппаратура, компьютеры. Соответствующие отрасли промышленности России оказались неконкурентоспособными, за исключением отечественного автомобилестроения, которое держится благодаря протекционистским мерам.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Финансовый кризис августа 1998 г. привел к определенному вытеснению импортной продукции и, в еще большей степени, к перемещению ряда производств в Россию посредством прямых иностранных инвестиций. Это произошло в молочной, масложировой, кондитерской, пивоваренной, табачной промышленности, производстве соков, безалкогольных напитков и т. д., нередко под традиционными российскими марками.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Следует заметить, что ориентация России во внешней торговле на развитые страны с рыночной экономикой и сырьевая направленность российского экспорта взаимосвязаны. Хотя России и предоставили статус страны с рыночной экономикой, ей еще предстоит добиться ликвидации дискриминационных ограничений в отношении российского экспорта готовой продукции.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b/>
          <w:bCs/>
          <w:sz w:val="28"/>
          <w:szCs w:val="28"/>
        </w:rPr>
        <w:t xml:space="preserve">Россия на рынке услуг </w:t>
      </w:r>
      <w:r w:rsidRPr="00783247">
        <w:rPr>
          <w:rFonts w:ascii="Times New Roman" w:hAnsi="Times New Roman"/>
          <w:sz w:val="28"/>
          <w:szCs w:val="28"/>
        </w:rPr>
        <w:t>представлена слабо. В этом направлении наиболее перспективными представляются рынки туристических и транспортных услуг.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Быстрый рост международных поездок граждан России происходит со второй половины 80-х гг. Международный туризм в Российской Федерации стал более динамичным, но даже в лучшие для международного туризма годы поток российских туристов не составлял и 1% мирового потока.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2002 г., по данным Госкомстата РФ, число граждан России, в качестве туристов выезжавших за рубеж, впервые превысило 5 млн. человек. При этом россияне больше всего посещали Турцию, Польшу, Китай, Украину, Египет, Испанию, Германию, Италию. Первые места, которые занимают Турция, Китай, Украина, Польша, связаны с «челночной» и приграничной торговлей, а не с оказанием туристических услуг в их классических формах. Финансовый кризис 1998 г. резко сократил выездной туризм в страны СНГ.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Во въездном туризме в России лидируют Польша, Финляндия, Китай, Германия и США. Экспорт туристических услуг требует крупных инвестиций, прежде всего на строительство гостиниц и других средств размещения. Хотя в Москве, Санкт-Петербурге и Сочи появились первоклассные отели, в том числе и принадлежащие известным международным фирмам («Холидей Инн», «Кемпински», «Мариотт», «Шератон»), сохраняется нехватка гостиниц, обеспечивающих привычный уровень комфорта и сервиса для иностранных туристов.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Несоответствие в соотношении цены и качества в организации въездного туризма, недостатки в рекламе и маркетинге, впечатление о России как о стране криминала - все это сдерясивает рост въездного туризма, несмотря на богатейшие туристские ресурсы.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 xml:space="preserve">Транспортные пути России включены в общую мировую транспортную систему, и Россия участвует в международном рынке </w:t>
      </w:r>
      <w:r w:rsidRPr="00783247">
        <w:rPr>
          <w:rFonts w:ascii="Times New Roman" w:hAnsi="Times New Roman"/>
          <w:b/>
          <w:bCs/>
          <w:sz w:val="28"/>
          <w:szCs w:val="28"/>
        </w:rPr>
        <w:t xml:space="preserve">транспортных услуг. </w:t>
      </w:r>
      <w:r w:rsidRPr="00783247">
        <w:rPr>
          <w:rFonts w:ascii="Times New Roman" w:hAnsi="Times New Roman"/>
          <w:sz w:val="28"/>
          <w:szCs w:val="28"/>
        </w:rPr>
        <w:t>Огромная территория России обусловила преобладание железных дорог, а также исключительную роль трубопроводов. Железные дороги и магистральные трубопроводы России остаются в государственной собственности, тогда как морской, речной, автомобильный и авиационный транспорт акционирован и приватизирован. Исключительное значение приобретают в этих условиях тарифная политика, привлечение инвестиций и поиски оптимального сочетания государственного управления и рыночного регулирования.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России не применяются протекционистские методы в отношении национальных перевозчиков. При прочих равных условиях российский перевозчик проигрывает иностранному из-за более высоких налогов и длительных административных и таможенных процедур.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Из всех видов транспорта, задействованных в экспорте транспортных услуг, в наиболее сложном положении оказался морской флот России. Распад СССР повлек раздел флота и оттеснил Россию от портов на Черном и Балтийском морях. Около 80% танкеров отошли Латвии и Азербайджану, 70% контейнеровозов - Украине и Литве, причем новые владельцы не в состоянии эффективно их использовать. Происходят старение и сокращение флота, а новые суда зачастую регистрируются за рубежом, поскольку построены под долгосрочные залоговые кредиты иностранных банков. Растущая часть морских перевозок России обслуживается иностранными судами.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Внутренний водный транспорт наращивает международные перевозки, используя свои преимущества, так как иностранные суда на внутренние водные пути России не допускаются.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Развитие транспортного комплекса России предполагается по следующим направлениям: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1) рост конкурентоспособности российских перевозок;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2) создание путей для транспортировки российских товаров на мировой рынок, минуя порты стран Балтии, а частично и территорию Украины, с целью уменьшения расходов на транзит;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3) использование преимуществ географического положения России для организации транзитных транспортных коридоров Восток - Запад, Север - Юг.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Использование транзитного положения России связано прежде всего с Транссибирской магистралью, которая имеет выходы в Азии на транспортные системы Китая, Монголии, Кореи, а через Европейскую территорию России и Белоруссию - в страны Западной Европы. Транзит по железным дорогам России с Востока в Европу сокращает время и стоимость доставки грузов по сравнению с морским путем вокруг Азии. Российские железные дороги представляют собой один из трансконтинентальных мостов по перевозке грузов контейнерами без промежуточных складских операций. Помимо платы за транзит, Россия выигрывает от полной загрузки и реконструкции Транссиба, по которому уже сейчас можно перевозить до 500 тыс. контейнеров в год.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Проект транспортного коридора Север - Юг разрабатывается Россией в сотрудничестве с Индией, Ираном и другими государствами Южной Азии и Персидского залива. В нем должны быть задействованы автомобильный, железнодорожный, морской и речной транспорт. Значительная часть коридора обеспечивается существующей российской инфраструктурой, но проект потребует создания новых портов и паромной переправы на Каспии, более современных типов судов - контейнеровозов. Только для обустройства портов и паромной переправы нужно 2,5-3 млрд. долл. инвестиций.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2001 г. начались регулярные полеты по кроссполярным маршрутам, соединяющим США и Канаду со странами Восточной и Юго-Восточной Азии над сухопутной частью России и Северным Ледовитым океаном.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Развивается трубопроводный транспорт. К числу осуществляемых транзитных проектов относится строительство нефтепроводов из Азербайджана и Казахстана. Разработан вариант экспорта нефти Тимано-Печерской провинции «Балтийские трубопроводные системы». Проект позволит сократить расходы на транспортировку нефти в Европу, в том числе за счет экономии платы за транзит через порты стран Балтии. Для осуществления проекта часть средств выделяется из бюджета, но необходимы и коммерческие кредиты, включая иностранные. Существуют крупные проекты прокладки магистральных газопроводов: «Ямал - Европа» через территорию Белоруссии и Польши, «Голубой поток» - по дну Черного моря в Турцию.</w:t>
      </w:r>
    </w:p>
    <w:p w:rsidR="00783247" w:rsidRPr="00BD05BA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 xml:space="preserve">На </w:t>
      </w:r>
      <w:r w:rsidRPr="00783247">
        <w:rPr>
          <w:rFonts w:ascii="Times New Roman" w:hAnsi="Times New Roman"/>
          <w:b/>
          <w:bCs/>
          <w:sz w:val="28"/>
          <w:szCs w:val="28"/>
        </w:rPr>
        <w:t xml:space="preserve">международном рынке технологий </w:t>
      </w:r>
      <w:r w:rsidRPr="00783247">
        <w:rPr>
          <w:rFonts w:ascii="Times New Roman" w:hAnsi="Times New Roman"/>
          <w:sz w:val="28"/>
          <w:szCs w:val="28"/>
        </w:rPr>
        <w:t>значительного места Россия не занимает. Господствующее положение здесь имеют развитые страны - США, Западная Европа, Япония, возрастает роль новых индустриальных стран, Китая, Индии.</w:t>
      </w:r>
      <w:r w:rsidR="00BD05BA" w:rsidRPr="00BD05BA">
        <w:rPr>
          <w:rFonts w:ascii="Times New Roman" w:hAnsi="Times New Roman"/>
          <w:sz w:val="28"/>
          <w:szCs w:val="28"/>
        </w:rPr>
        <w:t>[</w:t>
      </w:r>
      <w:r w:rsidR="00BD05BA">
        <w:rPr>
          <w:rFonts w:ascii="Times New Roman" w:hAnsi="Times New Roman"/>
          <w:sz w:val="28"/>
          <w:szCs w:val="28"/>
        </w:rPr>
        <w:t>1, стр. 113</w:t>
      </w:r>
      <w:r w:rsidR="00BD05BA" w:rsidRPr="00BD05BA">
        <w:rPr>
          <w:rFonts w:ascii="Times New Roman" w:hAnsi="Times New Roman"/>
          <w:sz w:val="28"/>
          <w:szCs w:val="28"/>
        </w:rPr>
        <w:t>]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В 90-е гг. научно-технические исследования в России оказались в очень тяжелом положении, но с 1999 г. положение в области НИОКР начинает меняться к лучшему, увеличиваются бюджетные ассигнования, средства организаций предпринимательского сектора и других источников составляют уже до 50% финансирования. В марте 2002 г. были приняты документы, определяющие государственную научно-техническую политику на ближайшие 10 лет: «Основы политики Российской Федерации в области развития науки, технологий и техники на период до 2010 года и дальнейшую перспективу», «Приоритетные направления развития науки, технологий и техники на период до 2010 года».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На мировом рынке высоких технологий Россия сохраняет конкурентоспособность по целому ряду направлений. Прежде всего, это относится к производству и услугам в ракетно-космической промышленности и наукоемким отраслям оборонно-промышленного комплекса, включая участие в международных космических программах и экспорте вооружений. В России имеется потенциал для создания конкурентоспособной экспортной продукции в таких отраслях, как оптоэлектроника, ядерные технологии, программное обеспечение, телекоммуникационное оборудование, разработка новых материалов.</w:t>
      </w:r>
    </w:p>
    <w:p w:rsidR="00783247" w:rsidRP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Российская торговля технологиями с зарубежными странами имеет тенденцию к некоторому росту, но в целом остается скромной. К концу 90-х гг. по стоимости импорт в этой сфере превышал экспорт в 7 раз. Если экспортные соглашения реализуются преимущественно в сфере науки и научного обслуживания, то в импорте преобладают лицензии и инжиниринговые услуги, применяемые в промышленности. Роялти и лицензированные платежи в экспорте услуг не достигают 100 млн. долл. В этой диспропорции отражаются низкий внутренний спрос на инновации и недостаток средств на доведение изобретений и открытий до производства.</w:t>
      </w:r>
    </w:p>
    <w:p w:rsidR="00783247" w:rsidRDefault="00783247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Прочие виды услуг, помимо перечисленных, на мировом рынке неконкурентоспособны. Полная либерализация рынков услуг в соответствии с требованиями ВТО способна поставить под вопрос сохранение нашей банковской системы, страховых и других аналогичных институтов, так как их конкурентоспособность значительно ниже западных. Утрата российского суверенитета над рынком СМИ, информационно-телекоммуникационных, рекламных, консультационных и иных услуг угрожает национальной безопасности страны, ибо ставит под сомнение возможность сохранения национальной культуры, гуманитарной направленности образования и воспитания граждан.</w:t>
      </w:r>
    </w:p>
    <w:p w:rsidR="005C13DF" w:rsidRPr="005C13DF" w:rsidRDefault="005C13DF" w:rsidP="005C13DF">
      <w:pPr>
        <w:pStyle w:val="11"/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5C13DF">
        <w:rPr>
          <w:rFonts w:ascii="Times New Roman" w:hAnsi="Times New Roman"/>
          <w:b/>
          <w:sz w:val="28"/>
          <w:szCs w:val="28"/>
        </w:rPr>
        <w:t>Тесты.</w:t>
      </w:r>
    </w:p>
    <w:p w:rsidR="000B5564" w:rsidRDefault="005C13DF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5C13DF">
        <w:rPr>
          <w:rFonts w:ascii="Times New Roman" w:hAnsi="Times New Roman"/>
          <w:b/>
          <w:sz w:val="28"/>
          <w:szCs w:val="28"/>
        </w:rPr>
        <w:t>2.</w:t>
      </w:r>
      <w:r w:rsidR="000B5564">
        <w:rPr>
          <w:rFonts w:ascii="Times New Roman" w:hAnsi="Times New Roman"/>
          <w:b/>
          <w:sz w:val="28"/>
          <w:szCs w:val="28"/>
        </w:rPr>
        <w:t xml:space="preserve"> Международные экономические отношения включают: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А) международное движение рабочей силы,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Б) национальные рынки стран,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В) международные авиалинии,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Г) международную торговлю товарами и услугами,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Д) международные валютно-кредитные отношения,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Е) политические процессы, происходящие в определенных странах,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Ж) международное движение капиталов.</w:t>
      </w:r>
    </w:p>
    <w:p w:rsidR="000B5564" w:rsidRPr="000B5564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0B5564">
        <w:rPr>
          <w:rFonts w:ascii="Times New Roman" w:hAnsi="Times New Roman"/>
          <w:sz w:val="28"/>
          <w:szCs w:val="28"/>
        </w:rPr>
        <w:t>Правильный ответ: А, Г, Д, Ж, В.</w:t>
      </w:r>
    </w:p>
    <w:p w:rsidR="005C13DF" w:rsidRPr="005C13DF" w:rsidRDefault="000B5564" w:rsidP="005C13DF">
      <w:pPr>
        <w:pStyle w:val="11"/>
        <w:spacing w:after="0"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5C13DF" w:rsidRPr="005C13DF">
        <w:rPr>
          <w:rFonts w:ascii="Times New Roman" w:hAnsi="Times New Roman"/>
          <w:b/>
          <w:sz w:val="28"/>
          <w:szCs w:val="28"/>
        </w:rPr>
        <w:t>ТНК – это:</w:t>
      </w:r>
    </w:p>
    <w:p w:rsidR="005C13DF" w:rsidRDefault="005C13DF" w:rsidP="005C13DF">
      <w:pPr>
        <w:pStyle w:val="1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корпорация, действующая в нескольких отраслях;</w:t>
      </w:r>
    </w:p>
    <w:p w:rsidR="005C13DF" w:rsidRDefault="005C13DF" w:rsidP="005C13DF">
      <w:pPr>
        <w:pStyle w:val="1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крупнейшая национальная фирма;</w:t>
      </w:r>
    </w:p>
    <w:p w:rsidR="005C13DF" w:rsidRPr="00D4668F" w:rsidRDefault="005C13DF" w:rsidP="005C13DF">
      <w:pPr>
        <w:pStyle w:val="1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668F">
        <w:rPr>
          <w:rFonts w:ascii="Times New Roman" w:hAnsi="Times New Roman"/>
          <w:sz w:val="28"/>
          <w:szCs w:val="28"/>
        </w:rPr>
        <w:t>корпорация, головная компания которой имеет свои отделения во многих странах, осуществляя координацию и интеграцию их деятельности.</w:t>
      </w:r>
    </w:p>
    <w:p w:rsidR="005C13DF" w:rsidRPr="00D4668F" w:rsidRDefault="005C13DF" w:rsidP="005C13DF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Правильный ответ в), так как ТНК это корпорация имеющая свои подразделения в двух или более странах, независимо от юридической формы и поля деятельности.</w:t>
      </w:r>
    </w:p>
    <w:p w:rsidR="00D84317" w:rsidRDefault="00D84317" w:rsidP="00D84317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84317" w:rsidRDefault="00D84317" w:rsidP="00D84317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5C13DF" w:rsidRPr="002251D8">
        <w:rPr>
          <w:rFonts w:ascii="Times New Roman" w:hAnsi="Times New Roman"/>
          <w:b/>
          <w:sz w:val="28"/>
          <w:szCs w:val="28"/>
        </w:rPr>
        <w:t>Задача</w:t>
      </w:r>
    </w:p>
    <w:p w:rsidR="005C13DF" w:rsidRPr="002251D8" w:rsidRDefault="005C13DF" w:rsidP="00D84317">
      <w:pPr>
        <w:spacing w:line="360" w:lineRule="auto"/>
        <w:rPr>
          <w:rFonts w:ascii="Times New Roman" w:hAnsi="Times New Roman"/>
          <w:sz w:val="28"/>
          <w:szCs w:val="28"/>
        </w:rPr>
      </w:pPr>
      <w:r w:rsidRPr="002251D8">
        <w:rPr>
          <w:rFonts w:ascii="Times New Roman" w:hAnsi="Times New Roman"/>
          <w:sz w:val="28"/>
          <w:szCs w:val="28"/>
        </w:rPr>
        <w:t>На основании статей, приведенных в таблице, составьте платежный баланс страны «Дельта», классифицирую каждую из операций как кредит или дебет.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5868"/>
        <w:gridCol w:w="3446"/>
      </w:tblGrid>
      <w:tr w:rsidR="008B2763" w:rsidRPr="002251D8">
        <w:trPr>
          <w:trHeight w:val="49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b/>
                <w:sz w:val="24"/>
                <w:szCs w:val="24"/>
              </w:rPr>
            </w:pPr>
            <w:r w:rsidRPr="000B5564">
              <w:rPr>
                <w:b/>
                <w:sz w:val="24"/>
                <w:szCs w:val="24"/>
              </w:rPr>
              <w:t>Операции</w:t>
            </w:r>
          </w:p>
        </w:tc>
        <w:tc>
          <w:tcPr>
            <w:tcW w:w="3446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b/>
                <w:sz w:val="24"/>
                <w:szCs w:val="24"/>
              </w:rPr>
            </w:pPr>
            <w:r w:rsidRPr="000B5564">
              <w:rPr>
                <w:b/>
                <w:sz w:val="24"/>
                <w:szCs w:val="24"/>
              </w:rPr>
              <w:t>Оценка, млн ден. ед.</w:t>
            </w:r>
          </w:p>
        </w:tc>
      </w:tr>
      <w:tr w:rsidR="008B2763" w:rsidRPr="002251D8">
        <w:trPr>
          <w:trHeight w:val="506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Экспорт нефти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6</w:t>
            </w:r>
          </w:p>
        </w:tc>
      </w:tr>
      <w:tr w:rsidR="008B2763" w:rsidRPr="002251D8">
        <w:trPr>
          <w:trHeight w:val="25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Импорт зерна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5</w:t>
            </w:r>
          </w:p>
        </w:tc>
      </w:tr>
      <w:tr w:rsidR="008B2763" w:rsidRPr="002251D8">
        <w:trPr>
          <w:trHeight w:val="24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Экспорт оборудования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2</w:t>
            </w:r>
          </w:p>
        </w:tc>
      </w:tr>
      <w:tr w:rsidR="008B2763" w:rsidRPr="002251D8">
        <w:trPr>
          <w:trHeight w:val="25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Доходы от туризма иностранцев в «Дельте»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6</w:t>
            </w:r>
          </w:p>
        </w:tc>
      </w:tr>
      <w:tr w:rsidR="008B2763" w:rsidRPr="002251D8">
        <w:trPr>
          <w:trHeight w:val="25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Денежные переводы иностранцам из «Дельты»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2</w:t>
            </w:r>
          </w:p>
        </w:tc>
      </w:tr>
      <w:tr w:rsidR="008B2763" w:rsidRPr="002251D8">
        <w:trPr>
          <w:trHeight w:val="25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Покупка акций частных корпораций Франции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6</w:t>
            </w:r>
          </w:p>
        </w:tc>
      </w:tr>
      <w:tr w:rsidR="008B2763" w:rsidRPr="002251D8">
        <w:trPr>
          <w:trHeight w:val="253"/>
        </w:trPr>
        <w:tc>
          <w:tcPr>
            <w:tcW w:w="5868" w:type="dxa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Покупка золота у иностранных граждан</w:t>
            </w:r>
          </w:p>
        </w:tc>
        <w:tc>
          <w:tcPr>
            <w:tcW w:w="3446" w:type="dxa"/>
            <w:vAlign w:val="center"/>
          </w:tcPr>
          <w:p w:rsidR="008B2763" w:rsidRPr="000B5564" w:rsidRDefault="008B2763" w:rsidP="002251D8">
            <w:pPr>
              <w:spacing w:line="360" w:lineRule="auto"/>
              <w:ind w:firstLine="360"/>
              <w:jc w:val="both"/>
              <w:rPr>
                <w:sz w:val="24"/>
                <w:szCs w:val="24"/>
              </w:rPr>
            </w:pPr>
            <w:r w:rsidRPr="000B5564">
              <w:rPr>
                <w:sz w:val="24"/>
                <w:szCs w:val="24"/>
              </w:rPr>
              <w:t>1</w:t>
            </w:r>
          </w:p>
        </w:tc>
      </w:tr>
    </w:tbl>
    <w:p w:rsidR="005C13DF" w:rsidRPr="002251D8" w:rsidRDefault="005C13DF" w:rsidP="002251D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251D8">
        <w:rPr>
          <w:rFonts w:ascii="Times New Roman" w:hAnsi="Times New Roman"/>
          <w:i/>
          <w:sz w:val="28"/>
          <w:szCs w:val="28"/>
        </w:rPr>
        <w:t>Платежный баланс</w:t>
      </w:r>
      <w:r w:rsidRPr="002251D8">
        <w:rPr>
          <w:rFonts w:ascii="Times New Roman" w:hAnsi="Times New Roman"/>
          <w:sz w:val="28"/>
          <w:szCs w:val="28"/>
        </w:rPr>
        <w:t xml:space="preserve"> - соотношение денежных платежей, поступающих в страну из-за границы, и всех ее платежей за границу в течение определенного периода времени (год, квартал, месяц). В платежном балансе находят стоимостное выражение все внешнеэкономические операции страны. </w:t>
      </w:r>
    </w:p>
    <w:p w:rsidR="005C13DF" w:rsidRPr="002251D8" w:rsidRDefault="002251D8" w:rsidP="002251D8">
      <w:pPr>
        <w:spacing w:line="360" w:lineRule="auto"/>
        <w:ind w:firstLine="36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Платежный баланс страны</w:t>
      </w:r>
      <w:r w:rsidR="005C13DF" w:rsidRPr="002251D8">
        <w:rPr>
          <w:rFonts w:ascii="Times New Roman" w:hAnsi="Times New Roman"/>
          <w:i/>
          <w:sz w:val="28"/>
          <w:szCs w:val="28"/>
        </w:rPr>
        <w:t>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5"/>
        <w:gridCol w:w="3482"/>
      </w:tblGrid>
      <w:tr w:rsidR="005C13DF" w:rsidRPr="002251D8">
        <w:trPr>
          <w:trHeight w:val="258"/>
        </w:trPr>
        <w:tc>
          <w:tcPr>
            <w:tcW w:w="8667" w:type="dxa"/>
            <w:gridSpan w:val="2"/>
          </w:tcPr>
          <w:p w:rsidR="005C13DF" w:rsidRPr="000B5564" w:rsidRDefault="005C13DF" w:rsidP="002251D8">
            <w:pPr>
              <w:spacing w:line="360" w:lineRule="auto"/>
              <w:ind w:left="180"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5564">
              <w:rPr>
                <w:rFonts w:ascii="Times New Roman" w:hAnsi="Times New Roman"/>
                <w:b/>
                <w:sz w:val="24"/>
                <w:szCs w:val="24"/>
              </w:rPr>
              <w:t>Дебет</w:t>
            </w:r>
          </w:p>
        </w:tc>
      </w:tr>
      <w:tr w:rsidR="002251D8" w:rsidRPr="002251D8">
        <w:trPr>
          <w:trHeight w:val="302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Импорт зерна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251D8" w:rsidRPr="002251D8">
        <w:trPr>
          <w:trHeight w:val="332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Доходы от туризма иностранцев в «Дельте»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251D8" w:rsidRPr="002251D8">
        <w:trPr>
          <w:trHeight w:val="363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Денежные переводы иностранцам из «Дельты»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1D8" w:rsidRPr="002251D8">
        <w:trPr>
          <w:trHeight w:val="272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Покупка золота у иностранных граждан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C13DF" w:rsidRPr="002251D8">
        <w:trPr>
          <w:trHeight w:val="695"/>
        </w:trPr>
        <w:tc>
          <w:tcPr>
            <w:tcW w:w="8667" w:type="dxa"/>
            <w:gridSpan w:val="2"/>
            <w:vAlign w:val="bottom"/>
          </w:tcPr>
          <w:p w:rsidR="005C13DF" w:rsidRPr="000B5564" w:rsidRDefault="005C13DF" w:rsidP="002251D8">
            <w:pPr>
              <w:spacing w:line="360" w:lineRule="auto"/>
              <w:ind w:left="18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 xml:space="preserve">Итого по дебету:                                                  </w:t>
            </w:r>
            <w:r w:rsidR="002251D8" w:rsidRPr="000B5564">
              <w:rPr>
                <w:rFonts w:ascii="Times New Roman" w:hAnsi="Times New Roman"/>
                <w:sz w:val="24"/>
                <w:szCs w:val="24"/>
              </w:rPr>
              <w:t>14 млн.</w:t>
            </w:r>
            <w:r w:rsidRPr="000B5564">
              <w:rPr>
                <w:rFonts w:ascii="Times New Roman" w:hAnsi="Times New Roman"/>
                <w:sz w:val="24"/>
                <w:szCs w:val="24"/>
              </w:rPr>
              <w:t xml:space="preserve"> ден. ед.</w:t>
            </w:r>
          </w:p>
          <w:p w:rsidR="005C13DF" w:rsidRPr="000B5564" w:rsidRDefault="005C13DF" w:rsidP="002251D8">
            <w:pPr>
              <w:spacing w:line="360" w:lineRule="auto"/>
              <w:ind w:left="18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w:rsidR="005C13DF" w:rsidRPr="002251D8">
        <w:trPr>
          <w:trHeight w:val="363"/>
        </w:trPr>
        <w:tc>
          <w:tcPr>
            <w:tcW w:w="8667" w:type="dxa"/>
            <w:gridSpan w:val="2"/>
          </w:tcPr>
          <w:p w:rsidR="005C13DF" w:rsidRPr="000B5564" w:rsidRDefault="005C13DF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b/>
                <w:sz w:val="24"/>
                <w:szCs w:val="24"/>
              </w:rPr>
              <w:t>Кредит</w:t>
            </w:r>
          </w:p>
        </w:tc>
      </w:tr>
      <w:tr w:rsidR="002251D8" w:rsidRPr="002251D8">
        <w:trPr>
          <w:trHeight w:val="272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Экспорт нефти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251D8" w:rsidRPr="002251D8">
        <w:trPr>
          <w:trHeight w:val="302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Экспорт оборудования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251D8" w:rsidRPr="002251D8">
        <w:trPr>
          <w:trHeight w:val="740"/>
        </w:trPr>
        <w:tc>
          <w:tcPr>
            <w:tcW w:w="5185" w:type="dxa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Покупка акций частных корпораций Франции</w:t>
            </w:r>
          </w:p>
        </w:tc>
        <w:tc>
          <w:tcPr>
            <w:tcW w:w="3482" w:type="dxa"/>
            <w:vAlign w:val="center"/>
          </w:tcPr>
          <w:p w:rsidR="002251D8" w:rsidRPr="000B5564" w:rsidRDefault="002251D8" w:rsidP="002251D8">
            <w:pPr>
              <w:spacing w:line="36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251D8" w:rsidRPr="002251D8">
        <w:trPr>
          <w:trHeight w:val="771"/>
        </w:trPr>
        <w:tc>
          <w:tcPr>
            <w:tcW w:w="8667" w:type="dxa"/>
            <w:gridSpan w:val="2"/>
          </w:tcPr>
          <w:p w:rsidR="002251D8" w:rsidRPr="000B5564" w:rsidRDefault="002251D8" w:rsidP="002251D8">
            <w:pPr>
              <w:tabs>
                <w:tab w:val="left" w:pos="5040"/>
              </w:tabs>
              <w:spacing w:line="360" w:lineRule="auto"/>
              <w:ind w:left="18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564">
              <w:rPr>
                <w:rFonts w:ascii="Times New Roman" w:hAnsi="Times New Roman"/>
                <w:sz w:val="24"/>
                <w:szCs w:val="24"/>
              </w:rPr>
              <w:t xml:space="preserve">Итого по кредиту:                                                       14 млн ден. ед.  </w:t>
            </w:r>
          </w:p>
        </w:tc>
      </w:tr>
    </w:tbl>
    <w:p w:rsidR="005C13DF" w:rsidRPr="00FE0FE3" w:rsidRDefault="005C13DF" w:rsidP="005C13DF">
      <w:pPr>
        <w:tabs>
          <w:tab w:val="left" w:pos="5040"/>
        </w:tabs>
        <w:spacing w:line="360" w:lineRule="auto"/>
        <w:ind w:firstLine="360"/>
        <w:jc w:val="both"/>
        <w:rPr>
          <w:sz w:val="28"/>
          <w:szCs w:val="28"/>
        </w:rPr>
      </w:pPr>
      <w:r w:rsidRPr="00FE0FE3">
        <w:rPr>
          <w:sz w:val="28"/>
          <w:szCs w:val="28"/>
        </w:rPr>
        <w:t xml:space="preserve">      </w:t>
      </w:r>
    </w:p>
    <w:p w:rsidR="005C13DF" w:rsidRPr="00FE0FE3" w:rsidRDefault="005C13DF" w:rsidP="005C13DF">
      <w:pPr>
        <w:tabs>
          <w:tab w:val="left" w:pos="5040"/>
        </w:tabs>
        <w:spacing w:line="360" w:lineRule="auto"/>
        <w:ind w:firstLine="360"/>
        <w:jc w:val="both"/>
        <w:rPr>
          <w:sz w:val="28"/>
          <w:szCs w:val="28"/>
        </w:rPr>
      </w:pPr>
      <w:r w:rsidRPr="002251D8">
        <w:rPr>
          <w:rFonts w:ascii="Times New Roman" w:hAnsi="Times New Roman"/>
          <w:sz w:val="28"/>
          <w:szCs w:val="28"/>
        </w:rPr>
        <w:t xml:space="preserve">Так как дебетовая итоговая сумма и кредитовая итоговая сумма равны можно сделать вывод что страна </w:t>
      </w:r>
      <w:r w:rsidR="002251D8" w:rsidRPr="002251D8">
        <w:rPr>
          <w:rFonts w:ascii="Times New Roman" w:hAnsi="Times New Roman"/>
          <w:sz w:val="28"/>
          <w:szCs w:val="28"/>
        </w:rPr>
        <w:t>«Дельта»</w:t>
      </w:r>
      <w:r w:rsidRPr="002251D8">
        <w:rPr>
          <w:rFonts w:ascii="Times New Roman" w:hAnsi="Times New Roman"/>
          <w:sz w:val="28"/>
          <w:szCs w:val="28"/>
        </w:rPr>
        <w:t xml:space="preserve"> является платежеспособной</w:t>
      </w:r>
      <w:r w:rsidRPr="00FE0FE3">
        <w:rPr>
          <w:sz w:val="28"/>
          <w:szCs w:val="28"/>
        </w:rPr>
        <w:t xml:space="preserve">.              </w:t>
      </w:r>
    </w:p>
    <w:p w:rsidR="005C13DF" w:rsidRPr="00FE0FE3" w:rsidRDefault="005C13DF" w:rsidP="005C13DF">
      <w:pPr>
        <w:spacing w:line="360" w:lineRule="auto"/>
        <w:ind w:firstLine="360"/>
        <w:jc w:val="both"/>
        <w:rPr>
          <w:sz w:val="28"/>
          <w:szCs w:val="28"/>
        </w:rPr>
      </w:pPr>
    </w:p>
    <w:p w:rsidR="005C13DF" w:rsidRPr="00FE0FE3" w:rsidRDefault="005C13DF" w:rsidP="005C13DF">
      <w:pPr>
        <w:spacing w:line="360" w:lineRule="auto"/>
        <w:ind w:firstLine="360"/>
        <w:jc w:val="both"/>
        <w:rPr>
          <w:sz w:val="28"/>
          <w:szCs w:val="28"/>
        </w:rPr>
      </w:pPr>
    </w:p>
    <w:p w:rsidR="005C13DF" w:rsidRPr="00FE0FE3" w:rsidRDefault="005C13DF" w:rsidP="005C13DF">
      <w:pPr>
        <w:spacing w:line="360" w:lineRule="auto"/>
        <w:ind w:firstLine="360"/>
        <w:jc w:val="both"/>
        <w:rPr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C13DF" w:rsidRDefault="005C13DF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564" w:rsidRDefault="000B5564" w:rsidP="00783247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D05BA" w:rsidRPr="00BD05BA" w:rsidRDefault="00BD05BA" w:rsidP="00BD05B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05BA">
        <w:rPr>
          <w:rFonts w:ascii="Times New Roman" w:hAnsi="Times New Roman"/>
          <w:b/>
          <w:sz w:val="28"/>
          <w:szCs w:val="28"/>
        </w:rPr>
        <w:t>Литература.</w:t>
      </w:r>
    </w:p>
    <w:p w:rsidR="00783247" w:rsidRPr="00783247" w:rsidRDefault="0078324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>1. Мировая экономика: учеб. / Л. С. Падалкина, В. В. Клочков, С. В. Тарасова [и др.]; под ред. И. П. Николаевой. - М. : ТК Велби, Изд-во Проспект, 2007. - 240 с</w:t>
      </w:r>
    </w:p>
    <w:p w:rsidR="00783247" w:rsidRPr="00783247" w:rsidRDefault="00783247" w:rsidP="00783247">
      <w:pPr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 xml:space="preserve">2. Международная экономика – Н.П.Фигурнова,М.,Омега-Л,2007г. </w:t>
      </w:r>
    </w:p>
    <w:p w:rsidR="00783247" w:rsidRPr="00783247" w:rsidRDefault="00783247" w:rsidP="0078324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3247">
        <w:rPr>
          <w:rFonts w:ascii="Times New Roman" w:hAnsi="Times New Roman"/>
          <w:sz w:val="28"/>
          <w:szCs w:val="28"/>
        </w:rPr>
        <w:t xml:space="preserve"> 3. Экономическая теория. - И.П.Николаева, М., Проспект, </w:t>
      </w:r>
      <w:smartTag w:uri="urn:schemas-microsoft-com:office:smarttags" w:element="metricconverter">
        <w:smartTagPr>
          <w:attr w:name="ProductID" w:val="2000 г"/>
        </w:smartTagPr>
        <w:r w:rsidRPr="00783247">
          <w:rPr>
            <w:rFonts w:ascii="Times New Roman" w:hAnsi="Times New Roman"/>
            <w:sz w:val="28"/>
            <w:szCs w:val="28"/>
          </w:rPr>
          <w:t>2000 г</w:t>
        </w:r>
      </w:smartTag>
      <w:r w:rsidRPr="00783247">
        <w:rPr>
          <w:rFonts w:ascii="Times New Roman" w:hAnsi="Times New Roman"/>
          <w:sz w:val="28"/>
          <w:szCs w:val="28"/>
        </w:rPr>
        <w:t>.</w:t>
      </w:r>
    </w:p>
    <w:p w:rsidR="00783247" w:rsidRPr="00783247" w:rsidRDefault="0078324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783247">
        <w:rPr>
          <w:rFonts w:ascii="Times New Roman" w:eastAsia="Times New Roman" w:hAnsi="Times New Roman"/>
          <w:bCs/>
          <w:sz w:val="28"/>
          <w:szCs w:val="28"/>
          <w:lang w:eastAsia="ru-RU"/>
        </w:rPr>
        <w:t>4. Хмелев И.Б. 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ировая экономика</w:t>
      </w:r>
      <w:r w:rsidRPr="007832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</w:t>
      </w:r>
      <w:r w:rsidRPr="00783247">
        <w:rPr>
          <w:rFonts w:ascii="Times New Roman" w:eastAsia="BookAntiqua" w:hAnsi="Times New Roman"/>
          <w:sz w:val="28"/>
          <w:szCs w:val="28"/>
          <w:lang w:eastAsia="ru-RU"/>
        </w:rPr>
        <w:t>Учебно-методический комплекс. – М.: Изд. центр ЕАОИ, 2009. – 360 стр.</w:t>
      </w:r>
    </w:p>
    <w:p w:rsidR="00783247" w:rsidRDefault="0078324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7832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Содержание.</w:t>
      </w:r>
    </w:p>
    <w:p w:rsidR="00D84317" w:rsidRP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Pr="00D84317">
        <w:rPr>
          <w:rFonts w:ascii="Times New Roman" w:eastAsia="Times New Roman" w:hAnsi="Times New Roman"/>
          <w:bCs/>
          <w:sz w:val="28"/>
          <w:szCs w:val="28"/>
          <w:lang w:eastAsia="ru-RU"/>
        </w:rPr>
        <w:t>Внешняя торговля России: структура и динамика.</w:t>
      </w:r>
    </w:p>
    <w:p w:rsidR="00D84317" w:rsidRP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BookAntiqua" w:hAnsi="Times New Roman"/>
          <w:sz w:val="28"/>
          <w:szCs w:val="28"/>
          <w:lang w:eastAsia="ru-RU"/>
        </w:rPr>
      </w:pPr>
      <w:r w:rsidRPr="00D84317">
        <w:rPr>
          <w:rFonts w:ascii="Times New Roman" w:eastAsia="BookAntiqua" w:hAnsi="Times New Roman"/>
          <w:sz w:val="28"/>
          <w:szCs w:val="28"/>
          <w:lang w:eastAsia="ru-RU"/>
        </w:rPr>
        <w:t>1.2. Место России на мировом рынке товаров и услуг.</w:t>
      </w:r>
    </w:p>
    <w:p w:rsidR="00D84317" w:rsidRPr="00D84317" w:rsidRDefault="00D84317" w:rsidP="00D84317">
      <w:pPr>
        <w:pStyle w:val="1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84317">
        <w:rPr>
          <w:rFonts w:ascii="Times New Roman" w:hAnsi="Times New Roman"/>
          <w:sz w:val="28"/>
          <w:szCs w:val="28"/>
        </w:rPr>
        <w:t>2. Тесты.</w:t>
      </w:r>
    </w:p>
    <w:p w:rsidR="00D84317" w:rsidRDefault="00D84317" w:rsidP="00D843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4317">
        <w:rPr>
          <w:rFonts w:ascii="Times New Roman" w:hAnsi="Times New Roman"/>
          <w:sz w:val="28"/>
          <w:szCs w:val="28"/>
        </w:rPr>
        <w:t>3. Задача</w:t>
      </w:r>
      <w:r>
        <w:rPr>
          <w:rFonts w:ascii="Times New Roman" w:hAnsi="Times New Roman"/>
          <w:sz w:val="28"/>
          <w:szCs w:val="28"/>
        </w:rPr>
        <w:t>.</w:t>
      </w:r>
    </w:p>
    <w:p w:rsidR="00D84317" w:rsidRPr="00D84317" w:rsidRDefault="00D84317" w:rsidP="00D843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84317">
        <w:rPr>
          <w:rFonts w:ascii="Times New Roman" w:hAnsi="Times New Roman"/>
          <w:sz w:val="28"/>
          <w:szCs w:val="28"/>
        </w:rPr>
        <w:t>Литература.</w:t>
      </w:r>
    </w:p>
    <w:p w:rsidR="00D84317" w:rsidRDefault="00B3551F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Приложение.</w:t>
      </w: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317" w:rsidRDefault="00D84317" w:rsidP="00D843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3551F" w:rsidRDefault="00B3551F" w:rsidP="00653D9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Приложение.</w:t>
      </w: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008"/>
        <w:gridCol w:w="4680"/>
        <w:gridCol w:w="1490"/>
        <w:gridCol w:w="2393"/>
      </w:tblGrid>
      <w:tr w:rsidR="00B3551F">
        <w:trPr>
          <w:trHeight w:val="529"/>
        </w:trPr>
        <w:tc>
          <w:tcPr>
            <w:tcW w:w="1008" w:type="dxa"/>
            <w:vAlign w:val="center"/>
          </w:tcPr>
          <w:p w:rsidR="00B3551F" w:rsidRPr="005E2798" w:rsidRDefault="00B3551F" w:rsidP="00B3551F">
            <w:pPr>
              <w:jc w:val="center"/>
              <w:rPr>
                <w:b/>
                <w:sz w:val="28"/>
                <w:szCs w:val="28"/>
              </w:rPr>
            </w:pPr>
            <w:r w:rsidRPr="005E279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80" w:type="dxa"/>
            <w:vAlign w:val="center"/>
          </w:tcPr>
          <w:p w:rsidR="00B3551F" w:rsidRPr="005E2798" w:rsidRDefault="00B3551F" w:rsidP="00B3551F">
            <w:pPr>
              <w:jc w:val="center"/>
              <w:rPr>
                <w:b/>
                <w:sz w:val="28"/>
                <w:szCs w:val="28"/>
              </w:rPr>
            </w:pPr>
            <w:r w:rsidRPr="005E2798">
              <w:rPr>
                <w:b/>
                <w:sz w:val="28"/>
                <w:szCs w:val="28"/>
              </w:rPr>
              <w:t>НАЗВАНИЕ</w:t>
            </w:r>
          </w:p>
          <w:p w:rsidR="00B3551F" w:rsidRPr="005E2798" w:rsidRDefault="00B3551F" w:rsidP="00B355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90" w:type="dxa"/>
            <w:vAlign w:val="center"/>
          </w:tcPr>
          <w:p w:rsidR="00B3551F" w:rsidRPr="005E2798" w:rsidRDefault="00B3551F" w:rsidP="00B3551F">
            <w:pPr>
              <w:jc w:val="center"/>
              <w:rPr>
                <w:b/>
                <w:sz w:val="28"/>
                <w:szCs w:val="28"/>
              </w:rPr>
            </w:pPr>
            <w:r w:rsidRPr="005E2798">
              <w:rPr>
                <w:b/>
                <w:sz w:val="28"/>
                <w:szCs w:val="28"/>
              </w:rPr>
              <w:t>ГОД создания</w:t>
            </w:r>
          </w:p>
        </w:tc>
        <w:tc>
          <w:tcPr>
            <w:tcW w:w="2393" w:type="dxa"/>
            <w:vAlign w:val="center"/>
          </w:tcPr>
          <w:p w:rsidR="00B3551F" w:rsidRPr="005E2798" w:rsidRDefault="00B3551F" w:rsidP="00B3551F">
            <w:pPr>
              <w:jc w:val="center"/>
              <w:rPr>
                <w:b/>
                <w:sz w:val="28"/>
                <w:szCs w:val="28"/>
              </w:rPr>
            </w:pPr>
            <w:r w:rsidRPr="005E2798">
              <w:rPr>
                <w:b/>
                <w:sz w:val="28"/>
                <w:szCs w:val="28"/>
              </w:rPr>
              <w:t>СТРАНЫ, входящие в группировку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Экономическое сообщество стран Западной Африки (ЭКОВАС)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1975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Бенин, Буркина-Фасо, Острова Зеленого Мыса, Кот-д’Ивуар, Гамбия, Гана, Гвинея, Гвинея-Бисау, Либерия, Мали, Мавритания, Нигер, Нигерия, Сенегал, Сьерра-Леоне, Того – 16 стран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2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Центральноазиатское экономическое сообщество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Казахстан, Узбекистан, Киргизия, Таджикистан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3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 xml:space="preserve">Карибское сообщество (CARICOM) 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1967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Антигуа и Барбуда, Багамы, Барбадос, Белиз, Доминика, Гайана, Гренада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4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Содружество независимых государств (СНГ)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1992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Армения, Азербайджан, Беларусь, Грузия, Казахстан, Киргизия, Молдова, Россия, Таджикистан, Туркменистан, Украина, Узбекистан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5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Европейское экономическое сообщество  (ЕЭС)</w:t>
            </w:r>
          </w:p>
          <w:p w:rsidR="00B3551F" w:rsidRDefault="00B3551F" w:rsidP="00B3551F">
            <w:pPr>
              <w:jc w:val="both"/>
            </w:pPr>
            <w:r>
              <w:t>Европейский союз (ЕС)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1957</w:t>
            </w:r>
          </w:p>
          <w:p w:rsidR="00B3551F" w:rsidRDefault="00B3551F" w:rsidP="00B3551F">
            <w:pPr>
              <w:jc w:val="both"/>
            </w:pPr>
          </w:p>
          <w:p w:rsidR="00B3551F" w:rsidRDefault="00B3551F" w:rsidP="00B3551F">
            <w:pPr>
              <w:jc w:val="both"/>
            </w:pPr>
            <w:r>
              <w:t>1993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Австрия, Бельгия, Великобритания, Дания, Германия, Греция, Ирландия, Испания, Италия, Люксембург, Нидерланды, Португалия, Финляндия, Франция, Швеция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6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Западноафриканский экономический и валютный союз (ЮЭМОА)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1994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Бенин, Буркина-Фасо, Кот-д’Ивуар, Мали, Нигерия, Сенегал, Того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7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 xml:space="preserve">Ассоциация стран Юго-Восточной Азии (ASEAN) 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1967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Бруней, Индонезия, Малайзия, Сингапур, Таиланд, Филиппины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8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 xml:space="preserve">Латиноамериканская зона свободной торговли (LAFTA) 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1960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Аргентина, Боливия, Бразилия, Венесуэла, Колумбия, Мексика, Парагвай, Перу, Уругвай, Чили, Эквадор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9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Экономический союз (Бенилюкс)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1948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Бельгия, Нидерланды, Люксембург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10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rPr>
                <w:i/>
                <w:iCs/>
              </w:rPr>
              <w:t xml:space="preserve">Североамериканское соглашение о свободной торговле </w:t>
            </w:r>
            <w:r>
              <w:t>(NAFTA)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1988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США, Канада, Мексика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11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«Азиатско-Тихоокеанское экономическое сотрудничество» (АТЭС)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1989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Австралия, Бруней, Канада, Индонезия, Малайзия, Япония, Новая Зеландия, Южная Корея, Сингапур, Таиланд, Филиппины, США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12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Сообщество развития Юга Африки (САДК)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1973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Ангола, Ботсвана, Лесото, Малави, Мозамбик, Намибия, Свазиленд, Танзания, Замбия и Зимбабве, ЮАР, Мавритания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13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Организация экономического сотрудничества (ECO)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1964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Афганистан, Азербайджан, Иран, Казахстан, Киргизстан, Пакистан, Таджикистан, Туркменистан, Турция, Узбекистан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14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 xml:space="preserve">Андская группа (Andian Group) 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1969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Боливия, Венесуэла, Колумбия, Перу, Эквадор</w:t>
            </w:r>
          </w:p>
        </w:tc>
      </w:tr>
      <w:tr w:rsidR="00B3551F">
        <w:tc>
          <w:tcPr>
            <w:tcW w:w="1008" w:type="dxa"/>
          </w:tcPr>
          <w:p w:rsidR="00B3551F" w:rsidRDefault="00B3551F" w:rsidP="00B3551F">
            <w:pPr>
              <w:jc w:val="both"/>
            </w:pPr>
            <w:r>
              <w:t>15</w:t>
            </w:r>
          </w:p>
        </w:tc>
        <w:tc>
          <w:tcPr>
            <w:tcW w:w="4680" w:type="dxa"/>
          </w:tcPr>
          <w:p w:rsidR="00B3551F" w:rsidRDefault="00B3551F" w:rsidP="00B3551F">
            <w:pPr>
              <w:jc w:val="both"/>
            </w:pPr>
            <w:r>
              <w:t>Евразийское Экономическое Сообщество (ЕврАзЭС)</w:t>
            </w:r>
          </w:p>
        </w:tc>
        <w:tc>
          <w:tcPr>
            <w:tcW w:w="1490" w:type="dxa"/>
          </w:tcPr>
          <w:p w:rsidR="00B3551F" w:rsidRDefault="00B3551F" w:rsidP="00B3551F">
            <w:pPr>
              <w:jc w:val="both"/>
            </w:pPr>
            <w:r>
              <w:t>2000</w:t>
            </w:r>
          </w:p>
        </w:tc>
        <w:tc>
          <w:tcPr>
            <w:tcW w:w="2393" w:type="dxa"/>
          </w:tcPr>
          <w:p w:rsidR="00B3551F" w:rsidRDefault="00B3551F" w:rsidP="00B3551F">
            <w:pPr>
              <w:jc w:val="both"/>
            </w:pPr>
            <w:r>
              <w:t>Белоруссии, Казахстана, Киргизии, России и Таджикистана</w:t>
            </w:r>
          </w:p>
        </w:tc>
      </w:tr>
    </w:tbl>
    <w:p w:rsidR="00B3551F" w:rsidRPr="00783247" w:rsidRDefault="00B3551F" w:rsidP="00653D9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3551F" w:rsidRPr="00783247" w:rsidSect="00394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44A7E"/>
    <w:multiLevelType w:val="multilevel"/>
    <w:tmpl w:val="1472D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B18C3"/>
    <w:multiLevelType w:val="multilevel"/>
    <w:tmpl w:val="7B780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952782"/>
    <w:multiLevelType w:val="multilevel"/>
    <w:tmpl w:val="C64E43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C8B2D95"/>
    <w:multiLevelType w:val="multilevel"/>
    <w:tmpl w:val="B7A0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AE02A7"/>
    <w:multiLevelType w:val="hybridMultilevel"/>
    <w:tmpl w:val="31F61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D96D2A"/>
    <w:multiLevelType w:val="multilevel"/>
    <w:tmpl w:val="83840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62504D2"/>
    <w:multiLevelType w:val="hybridMultilevel"/>
    <w:tmpl w:val="64A81F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B02017"/>
    <w:multiLevelType w:val="multilevel"/>
    <w:tmpl w:val="ADCE3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3A52FE"/>
    <w:multiLevelType w:val="hybridMultilevel"/>
    <w:tmpl w:val="0FD23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140E04"/>
    <w:multiLevelType w:val="multilevel"/>
    <w:tmpl w:val="A082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7A613B"/>
    <w:multiLevelType w:val="multilevel"/>
    <w:tmpl w:val="C9E8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2F6F1A"/>
    <w:multiLevelType w:val="hybridMultilevel"/>
    <w:tmpl w:val="57AEF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387687"/>
    <w:multiLevelType w:val="multilevel"/>
    <w:tmpl w:val="E820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B20A16"/>
    <w:multiLevelType w:val="hybridMultilevel"/>
    <w:tmpl w:val="4C2EF17C"/>
    <w:lvl w:ilvl="0" w:tplc="A796B3CC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7EEE483E"/>
    <w:multiLevelType w:val="multilevel"/>
    <w:tmpl w:val="77C2B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1"/>
  </w:num>
  <w:num w:numId="12">
    <w:abstractNumId w:val="4"/>
  </w:num>
  <w:num w:numId="13">
    <w:abstractNumId w:val="13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0D0"/>
    <w:rsid w:val="000B5564"/>
    <w:rsid w:val="00101E1A"/>
    <w:rsid w:val="001100D0"/>
    <w:rsid w:val="001272F6"/>
    <w:rsid w:val="002251D8"/>
    <w:rsid w:val="0024476C"/>
    <w:rsid w:val="00394B07"/>
    <w:rsid w:val="00430BB5"/>
    <w:rsid w:val="005139B3"/>
    <w:rsid w:val="005C13DF"/>
    <w:rsid w:val="00653D98"/>
    <w:rsid w:val="007610A7"/>
    <w:rsid w:val="00783247"/>
    <w:rsid w:val="00853DD2"/>
    <w:rsid w:val="008710F2"/>
    <w:rsid w:val="008B2763"/>
    <w:rsid w:val="008D52D5"/>
    <w:rsid w:val="00903DAF"/>
    <w:rsid w:val="00A13B7D"/>
    <w:rsid w:val="00B3551F"/>
    <w:rsid w:val="00B374AB"/>
    <w:rsid w:val="00B526DB"/>
    <w:rsid w:val="00B95B73"/>
    <w:rsid w:val="00BC019C"/>
    <w:rsid w:val="00BD05BA"/>
    <w:rsid w:val="00C87DF3"/>
    <w:rsid w:val="00D84317"/>
    <w:rsid w:val="00F63D50"/>
    <w:rsid w:val="00F9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CB47E-B97F-4BA9-95F3-9EA4E154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B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100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100D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0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100D0"/>
    <w:rPr>
      <w:color w:val="0000FF"/>
      <w:u w:val="single"/>
    </w:rPr>
  </w:style>
  <w:style w:type="character" w:customStyle="1" w:styleId="y5black">
    <w:name w:val="y5_black"/>
    <w:basedOn w:val="a0"/>
    <w:rsid w:val="001100D0"/>
  </w:style>
  <w:style w:type="character" w:styleId="a4">
    <w:name w:val="Emphasis"/>
    <w:basedOn w:val="a0"/>
    <w:uiPriority w:val="20"/>
    <w:qFormat/>
    <w:rsid w:val="001100D0"/>
    <w:rPr>
      <w:i/>
      <w:iCs/>
    </w:rPr>
  </w:style>
  <w:style w:type="character" w:customStyle="1" w:styleId="url">
    <w:name w:val="url"/>
    <w:basedOn w:val="a0"/>
    <w:rsid w:val="001100D0"/>
  </w:style>
  <w:style w:type="paragraph" w:styleId="a5">
    <w:name w:val="Normal (Web)"/>
    <w:basedOn w:val="a"/>
    <w:uiPriority w:val="99"/>
    <w:unhideWhenUsed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00D0"/>
  </w:style>
  <w:style w:type="paragraph" w:styleId="a6">
    <w:name w:val="Balloon Text"/>
    <w:basedOn w:val="a"/>
    <w:link w:val="a7"/>
    <w:uiPriority w:val="99"/>
    <w:semiHidden/>
    <w:unhideWhenUsed/>
    <w:rsid w:val="0011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0D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100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00D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xtcomment">
    <w:name w:val="txtcomment"/>
    <w:basedOn w:val="a"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00D0"/>
    <w:rPr>
      <w:rFonts w:ascii="Cambria" w:eastAsia="Times New Roman" w:hAnsi="Cambria" w:cs="Times New Roman"/>
      <w:b/>
      <w:bCs/>
      <w:color w:val="4F81BD"/>
    </w:rPr>
  </w:style>
  <w:style w:type="character" w:customStyle="1" w:styleId="apple-style-span">
    <w:name w:val="apple-style-span"/>
    <w:basedOn w:val="a0"/>
    <w:rsid w:val="001100D0"/>
  </w:style>
  <w:style w:type="character" w:styleId="a8">
    <w:name w:val="Strong"/>
    <w:basedOn w:val="a0"/>
    <w:uiPriority w:val="22"/>
    <w:qFormat/>
    <w:rsid w:val="001100D0"/>
    <w:rPr>
      <w:b/>
      <w:bCs/>
    </w:rPr>
  </w:style>
  <w:style w:type="paragraph" w:customStyle="1" w:styleId="style3">
    <w:name w:val="style3"/>
    <w:basedOn w:val="a"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bz">
    <w:name w:val="abz"/>
    <w:basedOn w:val="a"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">
    <w:name w:val="text2"/>
    <w:basedOn w:val="a"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">
    <w:name w:val="text3"/>
    <w:basedOn w:val="a"/>
    <w:rsid w:val="001100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C13DF"/>
    <w:pPr>
      <w:ind w:left="720"/>
    </w:pPr>
    <w:rPr>
      <w:rFonts w:eastAsia="Times New Roman"/>
      <w:lang w:eastAsia="ru-RU"/>
    </w:rPr>
  </w:style>
  <w:style w:type="paragraph" w:styleId="a9">
    <w:name w:val="Body Text"/>
    <w:basedOn w:val="a"/>
    <w:rsid w:val="005C13DF"/>
    <w:pPr>
      <w:suppressAutoHyphens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aa">
    <w:name w:val="Table Grid"/>
    <w:basedOn w:val="a1"/>
    <w:rsid w:val="005C13D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0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9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07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1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4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9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0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5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6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8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2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2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1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9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5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5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8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2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7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5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2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0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47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34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0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5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7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86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4421</Words>
  <Characters>25201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торговля России: структура и динамика</vt:lpstr>
    </vt:vector>
  </TitlesOfParts>
  <Company>Microsoft</Company>
  <LinksUpToDate>false</LinksUpToDate>
  <CharactersWithSpaces>29563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торговля России: структура и динамика</dc:title>
  <dc:subject/>
  <dc:creator>user</dc:creator>
  <cp:keywords/>
  <cp:lastModifiedBy>admin</cp:lastModifiedBy>
  <cp:revision>2</cp:revision>
  <dcterms:created xsi:type="dcterms:W3CDTF">2014-04-16T04:29:00Z</dcterms:created>
  <dcterms:modified xsi:type="dcterms:W3CDTF">2014-04-16T04:29:00Z</dcterms:modified>
</cp:coreProperties>
</file>