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447" w:rsidRDefault="00DB0447" w:rsidP="00665490">
      <w:pPr>
        <w:ind w:firstLine="0"/>
        <w:jc w:val="center"/>
        <w:rPr>
          <w:b/>
          <w:sz w:val="32"/>
        </w:rPr>
      </w:pPr>
    </w:p>
    <w:p w:rsidR="00442A2E" w:rsidRDefault="00442A2E" w:rsidP="00665490">
      <w:pPr>
        <w:ind w:firstLine="0"/>
        <w:jc w:val="center"/>
        <w:rPr>
          <w:b/>
          <w:sz w:val="32"/>
        </w:rPr>
      </w:pPr>
      <w:r>
        <w:rPr>
          <w:b/>
          <w:sz w:val="32"/>
        </w:rPr>
        <w:t>Содержание</w:t>
      </w:r>
    </w:p>
    <w:p w:rsidR="00442A2E" w:rsidRDefault="00442A2E" w:rsidP="001027FD">
      <w:pPr>
        <w:ind w:firstLine="0"/>
        <w:jc w:val="left"/>
        <w:rPr>
          <w:sz w:val="32"/>
        </w:rPr>
      </w:pPr>
      <w:r>
        <w:rPr>
          <w:sz w:val="32"/>
        </w:rPr>
        <w:t>Вв</w:t>
      </w:r>
      <w:r w:rsidRPr="00665490">
        <w:rPr>
          <w:sz w:val="32"/>
        </w:rPr>
        <w:t>едение</w:t>
      </w:r>
      <w:r>
        <w:rPr>
          <w:sz w:val="32"/>
        </w:rPr>
        <w:t xml:space="preserve"> ……………………………………………………..  3</w:t>
      </w:r>
    </w:p>
    <w:p w:rsidR="00442A2E" w:rsidRDefault="00442A2E" w:rsidP="00665490">
      <w:pPr>
        <w:ind w:firstLine="0"/>
        <w:jc w:val="left"/>
        <w:rPr>
          <w:sz w:val="32"/>
        </w:rPr>
      </w:pPr>
      <w:r>
        <w:rPr>
          <w:sz w:val="32"/>
        </w:rPr>
        <w:t>1.Общая характеристика экономики Мексики…………….  4</w:t>
      </w:r>
    </w:p>
    <w:p w:rsidR="00442A2E" w:rsidRDefault="00442A2E" w:rsidP="00665490">
      <w:pPr>
        <w:ind w:firstLine="0"/>
        <w:jc w:val="left"/>
        <w:rPr>
          <w:sz w:val="32"/>
        </w:rPr>
      </w:pPr>
      <w:r>
        <w:rPr>
          <w:sz w:val="32"/>
        </w:rPr>
        <w:t>2. Торгово-экономические отношения Мексики…………..  6</w:t>
      </w:r>
    </w:p>
    <w:p w:rsidR="00442A2E" w:rsidRDefault="00442A2E" w:rsidP="00665490">
      <w:pPr>
        <w:ind w:firstLine="0"/>
        <w:jc w:val="left"/>
        <w:rPr>
          <w:sz w:val="32"/>
        </w:rPr>
      </w:pPr>
      <w:r>
        <w:rPr>
          <w:sz w:val="32"/>
        </w:rPr>
        <w:t>3. Мексика и мировой финансовый кризис………………     9</w:t>
      </w:r>
    </w:p>
    <w:p w:rsidR="00442A2E" w:rsidRDefault="00442A2E" w:rsidP="00665490">
      <w:pPr>
        <w:ind w:firstLine="0"/>
        <w:jc w:val="left"/>
        <w:rPr>
          <w:sz w:val="32"/>
        </w:rPr>
      </w:pPr>
      <w:r>
        <w:rPr>
          <w:sz w:val="32"/>
        </w:rPr>
        <w:t>5.Экономические отношения с Россией…………………… 13</w:t>
      </w:r>
    </w:p>
    <w:p w:rsidR="00442A2E" w:rsidRDefault="00442A2E" w:rsidP="00665490">
      <w:pPr>
        <w:ind w:firstLine="0"/>
        <w:jc w:val="left"/>
        <w:rPr>
          <w:sz w:val="32"/>
        </w:rPr>
      </w:pPr>
      <w:r>
        <w:rPr>
          <w:sz w:val="32"/>
        </w:rPr>
        <w:t>Заключение…………………………...……………………… 18</w:t>
      </w:r>
    </w:p>
    <w:p w:rsidR="00442A2E" w:rsidRDefault="00442A2E" w:rsidP="00665490">
      <w:pPr>
        <w:ind w:firstLine="0"/>
        <w:jc w:val="left"/>
        <w:rPr>
          <w:sz w:val="32"/>
        </w:rPr>
      </w:pPr>
      <w:r>
        <w:rPr>
          <w:sz w:val="32"/>
        </w:rPr>
        <w:t>Список использованной литературы……………………….. 21</w:t>
      </w:r>
    </w:p>
    <w:p w:rsidR="00442A2E" w:rsidRDefault="00442A2E" w:rsidP="009938CB">
      <w:pPr>
        <w:ind w:firstLine="0"/>
        <w:jc w:val="left"/>
        <w:rPr>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p>
    <w:p w:rsidR="00442A2E" w:rsidRDefault="00442A2E" w:rsidP="009938CB">
      <w:pPr>
        <w:ind w:firstLine="0"/>
        <w:jc w:val="left"/>
        <w:rPr>
          <w:b/>
          <w:sz w:val="32"/>
        </w:rPr>
      </w:pPr>
      <w:r>
        <w:rPr>
          <w:b/>
          <w:sz w:val="32"/>
        </w:rPr>
        <w:t xml:space="preserve"> </w:t>
      </w:r>
      <w:r w:rsidRPr="009E2421">
        <w:rPr>
          <w:b/>
          <w:sz w:val="32"/>
        </w:rPr>
        <w:t xml:space="preserve">                        </w:t>
      </w:r>
      <w:r>
        <w:rPr>
          <w:b/>
          <w:sz w:val="32"/>
        </w:rPr>
        <w:t>ВВЕДЕНИЕ</w:t>
      </w:r>
    </w:p>
    <w:p w:rsidR="00442A2E" w:rsidRDefault="00442A2E" w:rsidP="009938CB">
      <w:pPr>
        <w:ind w:firstLine="454"/>
        <w:rPr>
          <w:sz w:val="28"/>
        </w:rPr>
      </w:pPr>
      <w:r>
        <w:rPr>
          <w:sz w:val="28"/>
        </w:rPr>
        <w:t xml:space="preserve">                                </w:t>
      </w:r>
    </w:p>
    <w:p w:rsidR="00442A2E" w:rsidRDefault="00442A2E" w:rsidP="00665490">
      <w:pPr>
        <w:contextualSpacing/>
        <w:rPr>
          <w:sz w:val="28"/>
        </w:rPr>
      </w:pPr>
      <w:r>
        <w:rPr>
          <w:sz w:val="28"/>
        </w:rPr>
        <w:t xml:space="preserve"> В настоящее  время внимание мирового сообщества привлечено бурным развитием " новых индустриальных стран " Азии, Африки  и  Латинской Америки.  В своём реферате я хочу осветить процессы, которые имели место и происходят сейчас в " новой индустриальной стране " Латинской Америки - Мексике.</w:t>
      </w:r>
    </w:p>
    <w:p w:rsidR="00442A2E" w:rsidRDefault="00442A2E" w:rsidP="00665490">
      <w:pPr>
        <w:contextualSpacing/>
        <w:rPr>
          <w:sz w:val="28"/>
        </w:rPr>
      </w:pPr>
      <w:r>
        <w:rPr>
          <w:sz w:val="28"/>
        </w:rPr>
        <w:t xml:space="preserve"> Несмотря на значительный разрыв в уровне социально-экономического развития от стран Азии и Африки, латиноамериканские государства имеют с ними ряд общих черт.</w:t>
      </w:r>
    </w:p>
    <w:p w:rsidR="00442A2E" w:rsidRDefault="00442A2E" w:rsidP="00665490">
      <w:pPr>
        <w:contextualSpacing/>
        <w:rPr>
          <w:sz w:val="28"/>
        </w:rPr>
      </w:pPr>
      <w:r>
        <w:rPr>
          <w:sz w:val="28"/>
        </w:rPr>
        <w:t xml:space="preserve"> Во-первых, для абсолютного большинства из них характерен низкий уровень развития производительных сил.  И хотя  современная  эпоха  характеризуется распространением научно-технической  революции, но  в  таких  странах, как  Гаити,  Гватемала, Сальвадор, Боливия, Эквадор, её влияние совсем не ощущается.</w:t>
      </w:r>
    </w:p>
    <w:p w:rsidR="00442A2E" w:rsidRDefault="00442A2E" w:rsidP="00665490">
      <w:pPr>
        <w:contextualSpacing/>
        <w:rPr>
          <w:sz w:val="28"/>
        </w:rPr>
      </w:pPr>
      <w:r>
        <w:rPr>
          <w:sz w:val="28"/>
        </w:rPr>
        <w:t xml:space="preserve"> Промышленный переворот проходит в этих странах очень  медленно. Большая часть населения сконцентрирована в деревне и занята примитивным ручным трудом.</w:t>
      </w:r>
    </w:p>
    <w:p w:rsidR="00442A2E" w:rsidRDefault="00442A2E" w:rsidP="00665490">
      <w:pPr>
        <w:contextualSpacing/>
        <w:rPr>
          <w:sz w:val="28"/>
        </w:rPr>
      </w:pPr>
      <w:r>
        <w:rPr>
          <w:sz w:val="28"/>
        </w:rPr>
        <w:t xml:space="preserve"> Во-вторых, широко распространены, прежде всего, в сельском хозяйстве, докапиталистические  отношения. Не только уже в названых странах, но и в таких,  как Мексика и Бразилия,</w:t>
      </w:r>
    </w:p>
    <w:p w:rsidR="00442A2E" w:rsidRDefault="00442A2E" w:rsidP="00665490">
      <w:pPr>
        <w:contextualSpacing/>
        <w:rPr>
          <w:sz w:val="28"/>
        </w:rPr>
      </w:pPr>
      <w:r>
        <w:rPr>
          <w:sz w:val="28"/>
        </w:rPr>
        <w:t>где капитализм  в  последние два десятилетия развивается очень интенсивно, в деревне распространены полуфеодальные отношения.</w:t>
      </w:r>
    </w:p>
    <w:p w:rsidR="00442A2E" w:rsidRPr="009938CB" w:rsidRDefault="00442A2E" w:rsidP="00665490">
      <w:pPr>
        <w:contextualSpacing/>
        <w:rPr>
          <w:sz w:val="28"/>
        </w:rPr>
      </w:pPr>
      <w:r>
        <w:rPr>
          <w:sz w:val="28"/>
        </w:rPr>
        <w:t xml:space="preserve"> В- третьих, основные отрасли  стран   латиноамериканского региона  находятся под сильным контролем со стороны </w:t>
      </w:r>
    </w:p>
    <w:p w:rsidR="00442A2E" w:rsidRDefault="00442A2E" w:rsidP="00665490">
      <w:pPr>
        <w:contextualSpacing/>
        <w:rPr>
          <w:sz w:val="28"/>
        </w:rPr>
      </w:pPr>
      <w:r>
        <w:rPr>
          <w:sz w:val="28"/>
        </w:rPr>
        <w:t>иностранного капитала. Ведь в Латинской Америке сосредоточено: - около 20 %  общих запасов руд цветных металлов;</w:t>
      </w:r>
    </w:p>
    <w:p w:rsidR="00442A2E" w:rsidRDefault="00442A2E" w:rsidP="00665490">
      <w:pPr>
        <w:contextualSpacing/>
        <w:rPr>
          <w:sz w:val="28"/>
        </w:rPr>
      </w:pPr>
      <w:r>
        <w:rPr>
          <w:sz w:val="28"/>
        </w:rPr>
        <w:t xml:space="preserve"> - более 80 %  ниобия;</w:t>
      </w:r>
    </w:p>
    <w:p w:rsidR="00442A2E" w:rsidRDefault="00442A2E" w:rsidP="00665490">
      <w:pPr>
        <w:contextualSpacing/>
        <w:rPr>
          <w:sz w:val="28"/>
        </w:rPr>
      </w:pPr>
      <w:r>
        <w:rPr>
          <w:sz w:val="28"/>
        </w:rPr>
        <w:t xml:space="preserve"> - более 40 %  бериллия, меди и серебра;</w:t>
      </w:r>
    </w:p>
    <w:p w:rsidR="00442A2E" w:rsidRDefault="00442A2E" w:rsidP="00665490">
      <w:pPr>
        <w:contextualSpacing/>
        <w:rPr>
          <w:sz w:val="28"/>
        </w:rPr>
      </w:pPr>
      <w:r>
        <w:rPr>
          <w:sz w:val="28"/>
        </w:rPr>
        <w:t xml:space="preserve">       - более 30 %  сурьмы  и графита;</w:t>
      </w:r>
    </w:p>
    <w:p w:rsidR="00442A2E" w:rsidRDefault="00442A2E" w:rsidP="00665490">
      <w:pPr>
        <w:ind w:left="472"/>
        <w:contextualSpacing/>
        <w:rPr>
          <w:sz w:val="28"/>
        </w:rPr>
      </w:pPr>
      <w:r>
        <w:rPr>
          <w:sz w:val="28"/>
        </w:rPr>
        <w:t xml:space="preserve"> - более 20 %  железных руд, бокситов, олова и серы от                           общемировых запасов.</w:t>
      </w:r>
    </w:p>
    <w:p w:rsidR="00442A2E" w:rsidRDefault="00442A2E" w:rsidP="00665490">
      <w:pPr>
        <w:contextualSpacing/>
        <w:rPr>
          <w:sz w:val="28"/>
        </w:rPr>
      </w:pPr>
      <w:r>
        <w:rPr>
          <w:sz w:val="28"/>
        </w:rPr>
        <w:t xml:space="preserve"> Однако не  все  латиноамериканские страны прошедшие два десятилетия характеризовались заметным  прогрессом. Не  смотря на общность исторических судеб, схожесть социально-экономических условий развития стран региона, между ними существуют значительные различия.  За исключением Кубы, строящей социализм. Никарагуа, осуществляющей глубокие прогрессивные  преобразования, все латиноамериканские страны развиваются по капиталистическому пути. Из них три страны - Бразилия, Мексика и Аргентина - значительно  превзошли  другие  страны  по уровню развития промышленности, по зрелости капиталистических  отношений. Прогрессивные  изменения  в  отраслевой  структуре экономики этих стран способствовали еще большему упрочению их позиций в  региональном промышленном производстве.</w:t>
      </w:r>
    </w:p>
    <w:p w:rsidR="00442A2E" w:rsidRPr="009938CB" w:rsidRDefault="00442A2E" w:rsidP="00665490">
      <w:pPr>
        <w:contextualSpacing/>
        <w:jc w:val="center"/>
        <w:rPr>
          <w:b/>
          <w:sz w:val="32"/>
        </w:rPr>
      </w:pPr>
    </w:p>
    <w:p w:rsidR="00442A2E" w:rsidRDefault="00442A2E" w:rsidP="00665490">
      <w:pPr>
        <w:contextualSpacing/>
        <w:jc w:val="center"/>
        <w:rPr>
          <w:b/>
          <w:sz w:val="32"/>
        </w:rPr>
      </w:pPr>
      <w:r>
        <w:rPr>
          <w:b/>
          <w:sz w:val="32"/>
        </w:rPr>
        <w:t>ОБЩИЕ СВЕДЕНИЯ</w:t>
      </w:r>
    </w:p>
    <w:p w:rsidR="00442A2E" w:rsidRDefault="00442A2E" w:rsidP="00665490">
      <w:pPr>
        <w:contextualSpacing/>
        <w:rPr>
          <w:sz w:val="28"/>
        </w:rPr>
      </w:pPr>
    </w:p>
    <w:p w:rsidR="00442A2E" w:rsidRPr="00E622C8" w:rsidRDefault="00442A2E" w:rsidP="00665490">
      <w:pPr>
        <w:contextualSpacing/>
        <w:rPr>
          <w:sz w:val="28"/>
        </w:rPr>
      </w:pPr>
      <w:r>
        <w:rPr>
          <w:sz w:val="28"/>
        </w:rPr>
        <w:t xml:space="preserve"> </w:t>
      </w:r>
      <w:r w:rsidRPr="00E622C8">
        <w:rPr>
          <w:sz w:val="28"/>
        </w:rPr>
        <w:t>В экономическом отношении Мексика – одна из наиболее крупных и развитых стран Латинской Америки. По добыче нефти страна занимает одно из первых мест в мире. Долгое время нефть составляла около 80% всего экспорта страны.</w:t>
      </w:r>
    </w:p>
    <w:p w:rsidR="00442A2E" w:rsidRPr="00E622C8" w:rsidRDefault="00442A2E" w:rsidP="00AB2B49">
      <w:pPr>
        <w:contextualSpacing/>
        <w:rPr>
          <w:sz w:val="28"/>
        </w:rPr>
      </w:pPr>
      <w:r w:rsidRPr="00E622C8">
        <w:rPr>
          <w:sz w:val="28"/>
        </w:rPr>
        <w:t>Ведущими отраслями промышленности традиционно считаются – нефтяная, горнодобывающая, текстильная и строительная.</w:t>
      </w:r>
    </w:p>
    <w:p w:rsidR="00442A2E" w:rsidRPr="00E622C8" w:rsidRDefault="00442A2E" w:rsidP="00AB2B49">
      <w:pPr>
        <w:contextualSpacing/>
        <w:rPr>
          <w:sz w:val="28"/>
        </w:rPr>
      </w:pPr>
      <w:r w:rsidRPr="00E622C8">
        <w:rPr>
          <w:sz w:val="28"/>
        </w:rPr>
        <w:t>Наряду с Бразилией и Аргентиной, Мексика образует «большую тройку» латиноамериканских индустриальных лидеров.</w:t>
      </w:r>
    </w:p>
    <w:p w:rsidR="00442A2E" w:rsidRPr="00E622C8" w:rsidRDefault="00442A2E" w:rsidP="00665490">
      <w:pPr>
        <w:contextualSpacing/>
        <w:rPr>
          <w:sz w:val="28"/>
        </w:rPr>
      </w:pPr>
      <w:r>
        <w:rPr>
          <w:sz w:val="28"/>
        </w:rPr>
        <w:t>Начиная с 2004</w:t>
      </w:r>
      <w:r w:rsidRPr="00E622C8">
        <w:rPr>
          <w:sz w:val="28"/>
        </w:rPr>
        <w:t xml:space="preserve"> </w:t>
      </w:r>
      <w:r>
        <w:rPr>
          <w:sz w:val="28"/>
        </w:rPr>
        <w:t>года, когда была разработана и</w:t>
      </w:r>
      <w:r w:rsidRPr="00E622C8">
        <w:rPr>
          <w:sz w:val="28"/>
        </w:rPr>
        <w:t xml:space="preserve"> </w:t>
      </w:r>
      <w:r>
        <w:rPr>
          <w:sz w:val="28"/>
        </w:rPr>
        <w:t>утверждена п</w:t>
      </w:r>
      <w:r w:rsidRPr="00E622C8">
        <w:rPr>
          <w:sz w:val="28"/>
        </w:rPr>
        <w:t>рограмма экономиче</w:t>
      </w:r>
      <w:r>
        <w:rPr>
          <w:sz w:val="28"/>
        </w:rPr>
        <w:t>ского развития страны на 2005-09</w:t>
      </w:r>
      <w:r w:rsidRPr="00E622C8">
        <w:rPr>
          <w:sz w:val="28"/>
        </w:rPr>
        <w:t>г г., состояние экономики Мексики характеризовалось значительным увеличением темпов ее развития. Темпы роста практически всех макроэкономических показателей были значительно выше по сравнению с предыдущими годами. Рост ВВП за год составил 7,1%, что является самым высоким показателем среди стран Латинской Америки. В промышленности также отмечались высокие темпы роста производства – 7,2%, п</w:t>
      </w:r>
      <w:r>
        <w:rPr>
          <w:sz w:val="28"/>
        </w:rPr>
        <w:t>очти в 2 раза больше, чем в 2004</w:t>
      </w:r>
      <w:r w:rsidRPr="00E622C8">
        <w:rPr>
          <w:sz w:val="28"/>
        </w:rPr>
        <w:t>. Однако высокие темпы развития промышленности не в одинаковой степени были характерны для ее отраслей. Особенный динамизм отмечался в автомобилестроении, электроэнергетической и нефтяной промышленности. Однако, такие сектора, как химическая, фармацевтическая и металлургическая промышленность испытывали определенные трудности, обусловленные рядом объективных причин.</w:t>
      </w:r>
    </w:p>
    <w:p w:rsidR="00442A2E" w:rsidRPr="00E622C8" w:rsidRDefault="00442A2E" w:rsidP="00AB2B49">
      <w:pPr>
        <w:ind w:firstLine="0"/>
        <w:contextualSpacing/>
        <w:rPr>
          <w:sz w:val="28"/>
        </w:rPr>
      </w:pPr>
      <w:r>
        <w:rPr>
          <w:sz w:val="28"/>
        </w:rPr>
        <w:t xml:space="preserve">          </w:t>
      </w:r>
      <w:r w:rsidRPr="00E622C8">
        <w:rPr>
          <w:sz w:val="28"/>
        </w:rPr>
        <w:t>Сложной оставалась ситуация в сельском хозяйстве. В первую очередь, она была вызвана климатическими условиями: засухой, ливневыми дождями, ураганами и наводнениями, повлекшими за собой тяжелые последствия для производителей с/х продукции.</w:t>
      </w:r>
    </w:p>
    <w:p w:rsidR="00442A2E" w:rsidRPr="00E622C8" w:rsidRDefault="00442A2E" w:rsidP="00AB2B49">
      <w:pPr>
        <w:ind w:firstLine="0"/>
        <w:contextualSpacing/>
        <w:rPr>
          <w:sz w:val="28"/>
        </w:rPr>
      </w:pPr>
      <w:r>
        <w:rPr>
          <w:sz w:val="28"/>
        </w:rPr>
        <w:t xml:space="preserve">           В целом в 2009</w:t>
      </w:r>
      <w:r w:rsidRPr="00E622C8">
        <w:rPr>
          <w:sz w:val="28"/>
        </w:rPr>
        <w:t xml:space="preserve"> г. все макроэкономические показатели характеризовались высоким динамизмом. Однако к концу года отмечалось некоторое снижение темпов экономического роста, вызванное в основном политическими причинами, а также замедлением экономического развития США, зависимость Мексики, от которых очень велика.</w:t>
      </w:r>
    </w:p>
    <w:p w:rsidR="00442A2E" w:rsidRPr="00E622C8" w:rsidRDefault="00442A2E" w:rsidP="00AB2B49">
      <w:pPr>
        <w:ind w:firstLine="0"/>
        <w:contextualSpacing/>
        <w:rPr>
          <w:sz w:val="28"/>
        </w:rPr>
      </w:pPr>
      <w:r>
        <w:rPr>
          <w:sz w:val="28"/>
        </w:rPr>
        <w:t xml:space="preserve">            </w:t>
      </w:r>
      <w:r w:rsidRPr="00E622C8">
        <w:rPr>
          <w:sz w:val="28"/>
        </w:rPr>
        <w:t>За год рост ВВП составил 7,1% – самый высокий результат среди латиноамериканских стран. Особенно интенсивный рост В</w:t>
      </w:r>
      <w:r>
        <w:rPr>
          <w:sz w:val="28"/>
        </w:rPr>
        <w:t>ВП был отмечен в 1 квартала 2009</w:t>
      </w:r>
      <w:r w:rsidRPr="00E622C8">
        <w:rPr>
          <w:sz w:val="28"/>
        </w:rPr>
        <w:t xml:space="preserve"> г. – 7,9%. Тем не менее, несмотря на его некоторое снижение к концу года, прирост ВВП в целом за год имел самый высокий показатель за последние 19 лет.</w:t>
      </w:r>
    </w:p>
    <w:p w:rsidR="00442A2E" w:rsidRPr="00E622C8" w:rsidRDefault="00442A2E" w:rsidP="00AB2B49">
      <w:pPr>
        <w:ind w:firstLine="0"/>
        <w:contextualSpacing/>
        <w:rPr>
          <w:sz w:val="28"/>
        </w:rPr>
      </w:pPr>
      <w:r>
        <w:rPr>
          <w:sz w:val="28"/>
        </w:rPr>
        <w:t xml:space="preserve">           </w:t>
      </w:r>
      <w:r w:rsidRPr="00E622C8">
        <w:rPr>
          <w:sz w:val="28"/>
        </w:rPr>
        <w:t xml:space="preserve">Промышленность характеризовалась высокими темпами роста производства. За год прирост промышленного </w:t>
      </w:r>
      <w:r>
        <w:rPr>
          <w:sz w:val="28"/>
        </w:rPr>
        <w:t>производства по сравнению с 2006</w:t>
      </w:r>
      <w:r w:rsidRPr="00E622C8">
        <w:rPr>
          <w:sz w:val="28"/>
        </w:rPr>
        <w:t xml:space="preserve"> г. составил 7,2%, почти в 2 раза больше. Однако снижение темпов развития к концу года было характерно и для промышленности.</w:t>
      </w:r>
      <w:r>
        <w:rPr>
          <w:sz w:val="28"/>
        </w:rPr>
        <w:t xml:space="preserve">          </w:t>
      </w:r>
      <w:r w:rsidRPr="00E622C8">
        <w:rPr>
          <w:sz w:val="28"/>
        </w:rPr>
        <w:t>Мексика завершила 200</w:t>
      </w:r>
      <w:r>
        <w:rPr>
          <w:sz w:val="28"/>
        </w:rPr>
        <w:t>6</w:t>
      </w:r>
      <w:r w:rsidRPr="00E622C8">
        <w:rPr>
          <w:sz w:val="28"/>
        </w:rPr>
        <w:t xml:space="preserve"> г. с инфляцией в 7,6%. Необходимо отметить что прошедшее шестилетие было первым в истории страны за последние 30 лет, в течение которого отмечалось постоянное снижение роста цен на товары и услуги. Тем не менее, несмотря на оптимистические оценки, темпы инфляции значительно опережали увеличение средней заработной платы.</w:t>
      </w:r>
    </w:p>
    <w:p w:rsidR="00442A2E" w:rsidRPr="00E622C8" w:rsidRDefault="00442A2E" w:rsidP="00AB2B49">
      <w:pPr>
        <w:ind w:firstLine="0"/>
        <w:contextualSpacing/>
        <w:rPr>
          <w:sz w:val="28"/>
        </w:rPr>
      </w:pPr>
      <w:r>
        <w:rPr>
          <w:sz w:val="28"/>
        </w:rPr>
        <w:t xml:space="preserve">           </w:t>
      </w:r>
      <w:r w:rsidRPr="00E622C8">
        <w:rPr>
          <w:sz w:val="28"/>
        </w:rPr>
        <w:t>Структура ВВП характеризовалась следующим образом: 29,1% ВВП приходилось на промышленность (в т.ч. 21,9% – обрабатывающая), 20,9% – торговля, 5,6% – сельское хозяйство, 44,4% – сектор услуг (транспорт, хранение, связь, страховой сектор, коммунальные услуги).</w:t>
      </w:r>
    </w:p>
    <w:p w:rsidR="00442A2E" w:rsidRPr="00E622C8" w:rsidRDefault="00442A2E" w:rsidP="00AB2B49">
      <w:pPr>
        <w:ind w:firstLine="0"/>
        <w:contextualSpacing/>
        <w:rPr>
          <w:sz w:val="28"/>
        </w:rPr>
      </w:pPr>
      <w:r>
        <w:rPr>
          <w:sz w:val="28"/>
        </w:rPr>
        <w:t xml:space="preserve">            По итогам 2009</w:t>
      </w:r>
      <w:r w:rsidRPr="00E622C8">
        <w:rPr>
          <w:sz w:val="28"/>
        </w:rPr>
        <w:t xml:space="preserve"> г. бюджет был сведен с дефицитом в 52,6 млрд. песо, что составляло 1% ВВП.</w:t>
      </w:r>
    </w:p>
    <w:p w:rsidR="00442A2E" w:rsidRPr="00E622C8" w:rsidRDefault="00442A2E" w:rsidP="00AB2B49">
      <w:pPr>
        <w:contextualSpacing/>
        <w:rPr>
          <w:sz w:val="28"/>
        </w:rPr>
      </w:pPr>
      <w:r>
        <w:rPr>
          <w:sz w:val="28"/>
        </w:rPr>
        <w:t>Бюджетные доходы в 2009</w:t>
      </w:r>
      <w:r w:rsidRPr="00E622C8">
        <w:rPr>
          <w:sz w:val="28"/>
        </w:rPr>
        <w:t xml:space="preserve"> г. составили 1,195 трлн. п</w:t>
      </w:r>
      <w:r>
        <w:rPr>
          <w:sz w:val="28"/>
        </w:rPr>
        <w:t>есо, что на 25% выше, чем в 2007</w:t>
      </w:r>
      <w:r w:rsidRPr="00E622C8">
        <w:rPr>
          <w:sz w:val="28"/>
        </w:rPr>
        <w:t xml:space="preserve"> г., значительно увеличились поступления в бюджет от нефтяного сектора за счет роста мировых цен. Они имели уровень 146,963 млрд. песо. На 9,8% возросли поступления федеральных налогов (565,4 млрд. песо), особенно выросли сборы налога на прибыль, что в первую очередь было связано с высокими т</w:t>
      </w:r>
      <w:r>
        <w:rPr>
          <w:sz w:val="28"/>
        </w:rPr>
        <w:t>емпами развития экономики в 2007</w:t>
      </w:r>
      <w:r w:rsidRPr="00E622C8">
        <w:rPr>
          <w:sz w:val="28"/>
        </w:rPr>
        <w:t xml:space="preserve"> г. (платежи этого налога по итогам года осуществляется в янв.-апр.), а также выплаты фискальной задолженности, образовавшейся ранее, по которой Минфином была дана отсрочка. На 7% в реальном исчислении увеличились поступления от НДС (169,1 млрд. песо), что было вызвано активизацией внутреннего рынка и ростом продаж. Почти на 59% вырос сбор спец налога на производство и услуги, который взимается с продаж бензина и дизельного топлива, алкогольных напитков, пива.</w:t>
      </w:r>
    </w:p>
    <w:p w:rsidR="00442A2E" w:rsidRPr="00E622C8" w:rsidRDefault="00442A2E" w:rsidP="00AB2B49">
      <w:pPr>
        <w:contextualSpacing/>
        <w:rPr>
          <w:sz w:val="28"/>
        </w:rPr>
      </w:pPr>
      <w:r>
        <w:rPr>
          <w:sz w:val="28"/>
        </w:rPr>
        <w:t>Бюджетные расходы в 2009</w:t>
      </w:r>
      <w:r w:rsidRPr="00E622C8">
        <w:rPr>
          <w:sz w:val="28"/>
        </w:rPr>
        <w:t xml:space="preserve"> г. составляли 1,248 трлн. песо, что на 23% выше, чем в предыдущие годы.</w:t>
      </w:r>
    </w:p>
    <w:p w:rsidR="00442A2E" w:rsidRPr="00E622C8" w:rsidRDefault="00442A2E" w:rsidP="00665490">
      <w:pPr>
        <w:contextualSpacing/>
        <w:rPr>
          <w:sz w:val="28"/>
        </w:rPr>
      </w:pPr>
      <w:r w:rsidRPr="00E622C8">
        <w:rPr>
          <w:sz w:val="28"/>
        </w:rPr>
        <w:t>Дополнительные поступления в бюджет страны за счет роста цен на нефть и нефтепродукты дали возможность правительству увеличить планируемые расходы на 16,517 млрд. песо. Эта сумма была распределена: в пенсионный фонд – 3,0 млрд. песо; фонд образования – 2,317 млрд. песо; фонд жил. строительства – 1,300 млрд. песо; с/х сектор – 1,150 млрд. песо; фонд поддержки малых предприятий – 0,060 млрд. песо; туризм – 0,170 млрд. песо; соц. обеспечение – 1,250 млрд. песо; фонды штатов – 6,870 млрд. песо; защита окружающей среды – 0,400 млрд. песо.</w:t>
      </w:r>
    </w:p>
    <w:p w:rsidR="00442A2E" w:rsidRPr="00E622C8" w:rsidRDefault="00442A2E" w:rsidP="00AB2B49">
      <w:pPr>
        <w:ind w:firstLine="0"/>
        <w:contextualSpacing/>
        <w:rPr>
          <w:sz w:val="28"/>
        </w:rPr>
      </w:pPr>
      <w:r>
        <w:rPr>
          <w:sz w:val="28"/>
        </w:rPr>
        <w:t xml:space="preserve">         </w:t>
      </w:r>
      <w:r w:rsidRPr="00E622C8">
        <w:rPr>
          <w:sz w:val="28"/>
        </w:rPr>
        <w:t>Правительством страны в последние годы большое внимание уделялось проблеме вне</w:t>
      </w:r>
      <w:r>
        <w:rPr>
          <w:sz w:val="28"/>
        </w:rPr>
        <w:t>шнего долга. Внешний долг в 2009</w:t>
      </w:r>
      <w:r w:rsidRPr="00E622C8">
        <w:rPr>
          <w:sz w:val="28"/>
        </w:rPr>
        <w:t xml:space="preserve"> г. составил 162,7 млрд. долл. (в 1995</w:t>
      </w:r>
      <w:r>
        <w:rPr>
          <w:sz w:val="28"/>
        </w:rPr>
        <w:t xml:space="preserve"> г. – 165,5 млрд. долл.). В 2009</w:t>
      </w:r>
      <w:r w:rsidRPr="00E622C8">
        <w:rPr>
          <w:sz w:val="28"/>
        </w:rPr>
        <w:t xml:space="preserve"> г. Мексика четко придерживалась прежней позиции – в срок, а по возможности досрочно, погашать свои международные обязательства. Реализация Мексикой такой политики заслужила одобрение со стороны международных финансовых организаций, а также утвердила общественное мнение о стране, как о надежном, платежеспособном партнер</w:t>
      </w:r>
      <w:r>
        <w:rPr>
          <w:sz w:val="28"/>
        </w:rPr>
        <w:t>е. Выплаты внешнего долга в 2009</w:t>
      </w:r>
      <w:r w:rsidRPr="00E622C8">
        <w:rPr>
          <w:sz w:val="28"/>
        </w:rPr>
        <w:t xml:space="preserve"> г. составили 50,8 млрд. долл.</w:t>
      </w:r>
    </w:p>
    <w:p w:rsidR="00442A2E" w:rsidRDefault="00442A2E" w:rsidP="00665490">
      <w:pPr>
        <w:ind w:firstLine="0"/>
        <w:contextualSpacing/>
        <w:rPr>
          <w:sz w:val="28"/>
        </w:rPr>
      </w:pPr>
      <w:r>
        <w:rPr>
          <w:sz w:val="28"/>
        </w:rPr>
        <w:t xml:space="preserve">          </w:t>
      </w:r>
      <w:r w:rsidRPr="00E622C8">
        <w:rPr>
          <w:sz w:val="28"/>
        </w:rPr>
        <w:t>В качестве приоритетных направлений экономического и политического развития на среднесрочную перспективу мексиканское правительство определило поддержание стабильного экономического и промышленного роста, снижение инфляции и уровня безработицы, совершенствование финансовой и налоговой систем, стабилизация курса национальной валюты, увеличение притока иностранных инвестиций, дальнейшее развитие экономических и торговых связей с зарубежными странами, в первую очередь, посредством заключения и реализации соглашений о свободной торговле.</w:t>
      </w:r>
    </w:p>
    <w:p w:rsidR="00442A2E" w:rsidRDefault="00442A2E" w:rsidP="00665490">
      <w:pPr>
        <w:contextualSpacing/>
        <w:rPr>
          <w:sz w:val="28"/>
        </w:rPr>
      </w:pPr>
    </w:p>
    <w:p w:rsidR="00442A2E" w:rsidRDefault="00442A2E" w:rsidP="00665490">
      <w:pPr>
        <w:contextualSpacing/>
        <w:rPr>
          <w:sz w:val="28"/>
        </w:rPr>
      </w:pPr>
    </w:p>
    <w:p w:rsidR="00442A2E" w:rsidRDefault="00442A2E" w:rsidP="00AB2B49">
      <w:pPr>
        <w:contextualSpacing/>
        <w:rPr>
          <w:b/>
          <w:sz w:val="28"/>
        </w:rPr>
      </w:pPr>
      <w:r>
        <w:rPr>
          <w:b/>
          <w:sz w:val="28"/>
        </w:rPr>
        <w:t>2.Торгово-экономические отношения Мексики</w:t>
      </w:r>
    </w:p>
    <w:p w:rsidR="00442A2E" w:rsidRPr="00AB2B49" w:rsidRDefault="00442A2E" w:rsidP="00AB2B49">
      <w:pPr>
        <w:contextualSpacing/>
        <w:rPr>
          <w:b/>
          <w:sz w:val="28"/>
        </w:rPr>
      </w:pPr>
    </w:p>
    <w:p w:rsidR="00442A2E" w:rsidRDefault="00442A2E" w:rsidP="00AB2B49">
      <w:pPr>
        <w:contextualSpacing/>
        <w:rPr>
          <w:sz w:val="28"/>
          <w:szCs w:val="28"/>
        </w:rPr>
      </w:pPr>
      <w:r w:rsidRPr="00B31684">
        <w:rPr>
          <w:sz w:val="28"/>
          <w:szCs w:val="28"/>
        </w:rPr>
        <w:t>На внешнюю торговлю приходится половина ВВП Мексики, и ее значение возрастает. Традиционное преобладание США во внешнеэкономических связях издавна побуждало Мексику разнообразить их. Наиболее широкие отношения в последние десятилетия XX в. установились у нее с Японией, которая вышла на второе место после США по объему товарооборота и на третье - по сумме капиталовложений. Высокая заинтересованность Японии связана со скудостью или отсутствием у нее базовых промышленных ресурсов, прежде всего нефти (на нее приходится две трети закупок). Основные японские инвестиции в Мексике сосредоточены в нефте-обрабатывающей, химической и других энергоемких отраслях, а также в автомобилестроении, судостроении, а в п</w:t>
      </w:r>
      <w:r>
        <w:rPr>
          <w:sz w:val="28"/>
          <w:szCs w:val="28"/>
        </w:rPr>
        <w:t>оследнее время - в электронике.</w:t>
      </w:r>
      <w:r w:rsidRPr="00B31684">
        <w:rPr>
          <w:sz w:val="28"/>
          <w:szCs w:val="28"/>
        </w:rPr>
        <w:br/>
        <w:t>Мексика способна выпускать массовые товары потребительского назначения, но она нуждается в разнообразных природно-сырьевых ресурсах, особенно нефти (мировой лидер по ее импорту). Китай выдвинулся на второе место после США в импорте Мексики, сбывая широкий круг розничной продукции и нанося ущерб национальному производству. Если в середине 1990-х гг. товарооборот с Китаем составлял поря</w:t>
      </w:r>
      <w:r>
        <w:rPr>
          <w:sz w:val="28"/>
          <w:szCs w:val="28"/>
        </w:rPr>
        <w:t>дка 230 млн. долларов, то в 2009</w:t>
      </w:r>
      <w:r w:rsidRPr="00B31684">
        <w:rPr>
          <w:sz w:val="28"/>
          <w:szCs w:val="28"/>
        </w:rPr>
        <w:t xml:space="preserve"> г. он приблизился к цифре в 18 млрд. долларов. Правда, торговый баланс здесь складывался не в пользу Мексики. Требования диверсифицировать внешнеэкономические связи, искать альтернативных партнеров были затронуты в основных документах предвыбо</w:t>
      </w:r>
      <w:r>
        <w:rPr>
          <w:sz w:val="28"/>
          <w:szCs w:val="28"/>
        </w:rPr>
        <w:t>рной кампании страны 2006 года.</w:t>
      </w:r>
      <w:r w:rsidRPr="00B31684">
        <w:rPr>
          <w:sz w:val="28"/>
          <w:szCs w:val="28"/>
        </w:rPr>
        <w:br/>
        <w:t xml:space="preserve">Внешняя торговля Мексики не только увеличивается в объеме, но и диверсифицируется - 80% ее экспорта составляют товары, прошедшие ту или иную промышленную обработку. Но в них за последние два-три года происходила некоторая перегруппировка - снижались поставки текстиля, металлоизделий, машин, и оборудования, в том числе автомобилей, возрастали продажи бумаги и химических продуктов. Увеличивалась сфера внешнеторговых услуг. </w:t>
      </w:r>
    </w:p>
    <w:p w:rsidR="00442A2E" w:rsidRDefault="00442A2E" w:rsidP="00AB2B49">
      <w:pPr>
        <w:contextualSpacing/>
        <w:rPr>
          <w:sz w:val="28"/>
          <w:szCs w:val="28"/>
        </w:rPr>
      </w:pPr>
    </w:p>
    <w:p w:rsidR="00442A2E" w:rsidRPr="00DC0D14" w:rsidRDefault="00442A2E" w:rsidP="00AB2B49">
      <w:pPr>
        <w:ind w:firstLine="0"/>
        <w:contextualSpacing/>
        <w:rPr>
          <w:sz w:val="28"/>
          <w:szCs w:val="28"/>
        </w:rPr>
      </w:pPr>
      <w:r w:rsidRPr="00DC0D14">
        <w:rPr>
          <w:sz w:val="28"/>
          <w:szCs w:val="28"/>
        </w:rPr>
        <w:t>Таблица 1</w:t>
      </w:r>
    </w:p>
    <w:p w:rsidR="00442A2E" w:rsidRPr="00DC0D14" w:rsidRDefault="00442A2E" w:rsidP="00AB2B49">
      <w:pPr>
        <w:contextualSpacing/>
        <w:rPr>
          <w:sz w:val="28"/>
          <w:szCs w:val="28"/>
        </w:rPr>
      </w:pPr>
    </w:p>
    <w:p w:rsidR="00442A2E" w:rsidRPr="00DC0D14" w:rsidRDefault="00442A2E" w:rsidP="00AB2B49">
      <w:pPr>
        <w:contextualSpacing/>
        <w:rPr>
          <w:sz w:val="28"/>
          <w:szCs w:val="28"/>
        </w:rPr>
      </w:pPr>
      <w:r w:rsidRPr="00DC0D14">
        <w:rPr>
          <w:sz w:val="28"/>
          <w:szCs w:val="28"/>
        </w:rPr>
        <w:t>С</w:t>
      </w:r>
      <w:r>
        <w:rPr>
          <w:sz w:val="28"/>
          <w:szCs w:val="28"/>
        </w:rPr>
        <w:t>труктура экспорта Мексики в 2009</w:t>
      </w:r>
      <w:r w:rsidRPr="00DC0D14">
        <w:rPr>
          <w:sz w:val="28"/>
          <w:szCs w:val="28"/>
        </w:rPr>
        <w:t xml:space="preserve"> году (млн.$)</w:t>
      </w:r>
    </w:p>
    <w:p w:rsidR="00442A2E" w:rsidRDefault="00442A2E" w:rsidP="00AB2B49">
      <w:pPr>
        <w:contextualSpacing/>
        <w:rPr>
          <w:sz w:val="28"/>
          <w:szCs w:val="28"/>
        </w:rPr>
      </w:pPr>
    </w:p>
    <w:p w:rsidR="00442A2E" w:rsidRDefault="00442A2E" w:rsidP="00AB2B49">
      <w:pPr>
        <w:contextualSpacing/>
        <w:rPr>
          <w:sz w:val="28"/>
          <w:szCs w:val="28"/>
        </w:rPr>
      </w:pPr>
    </w:p>
    <w:p w:rsidR="00442A2E" w:rsidRDefault="00442A2E" w:rsidP="00AB2B49">
      <w:pPr>
        <w:contextualSpacing/>
        <w:rPr>
          <w:sz w:val="28"/>
          <w:szCs w:val="28"/>
        </w:rPr>
      </w:pPr>
    </w:p>
    <w:tbl>
      <w:tblPr>
        <w:tblpPr w:leftFromText="180" w:rightFromText="180" w:vertAnchor="text" w:horzAnchor="margin" w:tblpY="-313"/>
        <w:tblOverlap w:val="never"/>
        <w:tblW w:w="4819" w:type="pct"/>
        <w:tblCellSpacing w:w="7" w:type="dxa"/>
        <w:tblCellMar>
          <w:top w:w="15" w:type="dxa"/>
          <w:left w:w="15" w:type="dxa"/>
          <w:bottom w:w="15" w:type="dxa"/>
          <w:right w:w="15" w:type="dxa"/>
        </w:tblCellMar>
        <w:tblLook w:val="00A0" w:firstRow="1" w:lastRow="0" w:firstColumn="1" w:lastColumn="0" w:noHBand="0" w:noVBand="0"/>
      </w:tblPr>
      <w:tblGrid>
        <w:gridCol w:w="7696"/>
        <w:gridCol w:w="1376"/>
      </w:tblGrid>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 xml:space="preserve">Экспорт товаров всего </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249,961</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Пища</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13,472</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 xml:space="preserve">Товары потребительского спроса, в т.ч. топливо </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59,028</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 xml:space="preserve">Сельскохозяйственное сырье </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0,995</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Руды и металлы</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5,924</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Цветные металлы</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3,391</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Топливо</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38,636</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Производственные товары</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189,148</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Продукты химии</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8,832</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Машиностроение</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135,168</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Др. произв. Товары</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45,148</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Железо и сталь</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4,189</w:t>
            </w:r>
          </w:p>
        </w:tc>
      </w:tr>
      <w:tr w:rsidR="00442A2E" w:rsidRPr="00DC0D14" w:rsidTr="00DC0D14">
        <w:trPr>
          <w:tblCellSpacing w:w="7" w:type="dxa"/>
        </w:trPr>
        <w:tc>
          <w:tcPr>
            <w:tcW w:w="4230" w:type="pct"/>
            <w:shd w:val="clear" w:color="auto" w:fill="F2F2F8"/>
          </w:tcPr>
          <w:p w:rsidR="00442A2E" w:rsidRPr="00DC0D14" w:rsidRDefault="00442A2E" w:rsidP="00AB2B49">
            <w:pPr>
              <w:contextualSpacing/>
              <w:jc w:val="left"/>
              <w:rPr>
                <w:sz w:val="24"/>
                <w:szCs w:val="24"/>
              </w:rPr>
            </w:pPr>
            <w:r w:rsidRPr="00DC0D14">
              <w:rPr>
                <w:sz w:val="24"/>
                <w:szCs w:val="24"/>
              </w:rPr>
              <w:t>Текстиль, пряжа, ткани, одежда</w:t>
            </w:r>
          </w:p>
        </w:tc>
        <w:tc>
          <w:tcPr>
            <w:tcW w:w="747" w:type="pct"/>
            <w:shd w:val="clear" w:color="auto" w:fill="F2F2F8"/>
          </w:tcPr>
          <w:p w:rsidR="00442A2E" w:rsidRPr="00DC0D14" w:rsidRDefault="00442A2E" w:rsidP="00AB2B49">
            <w:pPr>
              <w:contextualSpacing/>
              <w:jc w:val="right"/>
              <w:rPr>
                <w:sz w:val="24"/>
                <w:szCs w:val="24"/>
              </w:rPr>
            </w:pPr>
            <w:r w:rsidRPr="00DC0D14">
              <w:rPr>
                <w:sz w:val="24"/>
                <w:szCs w:val="24"/>
              </w:rPr>
              <w:t>8,73</w:t>
            </w:r>
          </w:p>
        </w:tc>
      </w:tr>
    </w:tbl>
    <w:p w:rsidR="00442A2E" w:rsidRPr="00DC0D14" w:rsidRDefault="00442A2E" w:rsidP="00AB2B49">
      <w:pPr>
        <w:contextualSpacing/>
        <w:rPr>
          <w:sz w:val="18"/>
          <w:szCs w:val="18"/>
          <w:lang w:val="en-US"/>
        </w:rPr>
      </w:pPr>
      <w:r w:rsidRPr="00DC0D14">
        <w:rPr>
          <w:sz w:val="18"/>
          <w:szCs w:val="18"/>
          <w:lang w:val="en-US"/>
        </w:rPr>
        <w:t>  </w:t>
      </w:r>
      <w:r w:rsidRPr="00DC0D14">
        <w:rPr>
          <w:b/>
          <w:bCs/>
          <w:sz w:val="18"/>
          <w:szCs w:val="18"/>
        </w:rPr>
        <w:t>Источник</w:t>
      </w:r>
      <w:r w:rsidRPr="00DC0D14">
        <w:rPr>
          <w:sz w:val="18"/>
          <w:szCs w:val="18"/>
          <w:lang w:val="en-US"/>
        </w:rPr>
        <w:t xml:space="preserve">: http://www.unctad.org/statistics/Unctad </w:t>
      </w:r>
      <w:r>
        <w:rPr>
          <w:sz w:val="18"/>
          <w:szCs w:val="18"/>
          <w:lang w:val="en-US"/>
        </w:rPr>
        <w:t>Handbook of statistics 20</w:t>
      </w:r>
      <w:r w:rsidRPr="00DC0D14">
        <w:rPr>
          <w:sz w:val="18"/>
          <w:szCs w:val="18"/>
          <w:lang w:val="en-US"/>
        </w:rPr>
        <w:t>10.</w:t>
      </w:r>
    </w:p>
    <w:p w:rsidR="00442A2E" w:rsidRPr="00DC0D14" w:rsidRDefault="00442A2E" w:rsidP="00AB2B49">
      <w:pPr>
        <w:contextualSpacing/>
        <w:rPr>
          <w:sz w:val="28"/>
          <w:szCs w:val="28"/>
          <w:lang w:val="en-US"/>
        </w:rPr>
      </w:pPr>
    </w:p>
    <w:p w:rsidR="00442A2E" w:rsidRPr="00DC0D14" w:rsidRDefault="00442A2E" w:rsidP="00AB2B49">
      <w:pPr>
        <w:contextualSpacing/>
        <w:jc w:val="left"/>
        <w:rPr>
          <w:sz w:val="24"/>
          <w:szCs w:val="24"/>
          <w:lang w:val="en-US"/>
        </w:rPr>
      </w:pPr>
    </w:p>
    <w:tbl>
      <w:tblPr>
        <w:tblW w:w="5000" w:type="pct"/>
        <w:tblCellSpacing w:w="0" w:type="dxa"/>
        <w:tblCellMar>
          <w:left w:w="0" w:type="dxa"/>
          <w:right w:w="0" w:type="dxa"/>
        </w:tblCellMar>
        <w:tblLook w:val="00A0" w:firstRow="1" w:lastRow="0" w:firstColumn="1" w:lastColumn="0" w:noHBand="0" w:noVBand="0"/>
      </w:tblPr>
      <w:tblGrid>
        <w:gridCol w:w="225"/>
        <w:gridCol w:w="9130"/>
      </w:tblGrid>
      <w:tr w:rsidR="00442A2E" w:rsidRPr="001027FD" w:rsidTr="00DC0D14">
        <w:trPr>
          <w:tblCellSpacing w:w="0" w:type="dxa"/>
        </w:trPr>
        <w:tc>
          <w:tcPr>
            <w:tcW w:w="225" w:type="dxa"/>
            <w:tcBorders>
              <w:top w:val="nil"/>
              <w:left w:val="nil"/>
              <w:bottom w:val="nil"/>
              <w:right w:val="nil"/>
            </w:tcBorders>
          </w:tcPr>
          <w:p w:rsidR="00442A2E" w:rsidRPr="00DC0D14" w:rsidRDefault="00442A2E" w:rsidP="00AB2B49">
            <w:pPr>
              <w:contextualSpacing/>
              <w:jc w:val="left"/>
              <w:rPr>
                <w:sz w:val="24"/>
                <w:szCs w:val="24"/>
                <w:lang w:val="en-US"/>
              </w:rPr>
            </w:pPr>
            <w:r w:rsidRPr="00DC0D14">
              <w:rPr>
                <w:sz w:val="24"/>
                <w:szCs w:val="24"/>
                <w:lang w:val="en-US"/>
              </w:rPr>
              <w:t> </w:t>
            </w:r>
          </w:p>
        </w:tc>
        <w:tc>
          <w:tcPr>
            <w:tcW w:w="0" w:type="auto"/>
            <w:tcBorders>
              <w:top w:val="nil"/>
              <w:left w:val="nil"/>
              <w:bottom w:val="nil"/>
              <w:right w:val="nil"/>
            </w:tcBorders>
          </w:tcPr>
          <w:tbl>
            <w:tblPr>
              <w:tblW w:w="5000" w:type="pct"/>
              <w:tblCellSpacing w:w="7" w:type="dxa"/>
              <w:tblCellMar>
                <w:top w:w="15" w:type="dxa"/>
                <w:left w:w="15" w:type="dxa"/>
                <w:bottom w:w="15" w:type="dxa"/>
                <w:right w:w="15" w:type="dxa"/>
              </w:tblCellMar>
              <w:tblLook w:val="00A0" w:firstRow="1" w:lastRow="0" w:firstColumn="1" w:lastColumn="0" w:noHBand="0" w:noVBand="0"/>
            </w:tblPr>
            <w:tblGrid>
              <w:gridCol w:w="9130"/>
            </w:tblGrid>
            <w:tr w:rsidR="00442A2E" w:rsidRPr="001027FD">
              <w:trPr>
                <w:tblCellSpacing w:w="7" w:type="dxa"/>
              </w:trPr>
              <w:tc>
                <w:tcPr>
                  <w:tcW w:w="0" w:type="auto"/>
                </w:tcPr>
                <w:tbl>
                  <w:tblPr>
                    <w:tblW w:w="5000" w:type="pct"/>
                    <w:tblCellSpacing w:w="0" w:type="dxa"/>
                    <w:tblCellMar>
                      <w:left w:w="0" w:type="dxa"/>
                      <w:right w:w="0" w:type="dxa"/>
                    </w:tblCellMar>
                    <w:tblLook w:val="00A0" w:firstRow="1" w:lastRow="0" w:firstColumn="1" w:lastColumn="0" w:noHBand="0" w:noVBand="0"/>
                  </w:tblPr>
                  <w:tblGrid>
                    <w:gridCol w:w="9072"/>
                  </w:tblGrid>
                  <w:tr w:rsidR="00442A2E" w:rsidRPr="001027FD">
                    <w:trPr>
                      <w:tblCellSpacing w:w="0" w:type="dxa"/>
                    </w:trPr>
                    <w:tc>
                      <w:tcPr>
                        <w:tcW w:w="0" w:type="auto"/>
                        <w:tcBorders>
                          <w:top w:val="nil"/>
                          <w:left w:val="nil"/>
                          <w:bottom w:val="nil"/>
                          <w:right w:val="nil"/>
                        </w:tcBorders>
                        <w:shd w:val="clear" w:color="auto" w:fill="000000"/>
                      </w:tcPr>
                      <w:p w:rsidR="00442A2E" w:rsidRPr="00DC0D14" w:rsidRDefault="00442A2E" w:rsidP="00AB2B49">
                        <w:pPr>
                          <w:contextualSpacing/>
                          <w:jc w:val="left"/>
                          <w:rPr>
                            <w:sz w:val="24"/>
                            <w:szCs w:val="24"/>
                            <w:lang w:val="en-US"/>
                          </w:rPr>
                        </w:pPr>
                      </w:p>
                    </w:tc>
                  </w:tr>
                </w:tbl>
                <w:p w:rsidR="00442A2E" w:rsidRPr="00DC0D14" w:rsidRDefault="00442A2E" w:rsidP="00AB2B49">
                  <w:pPr>
                    <w:contextualSpacing/>
                    <w:jc w:val="left"/>
                    <w:rPr>
                      <w:sz w:val="24"/>
                      <w:szCs w:val="24"/>
                      <w:lang w:val="en-US"/>
                    </w:rPr>
                  </w:pPr>
                </w:p>
              </w:tc>
            </w:tr>
          </w:tbl>
          <w:p w:rsidR="00442A2E" w:rsidRPr="00DC0D14" w:rsidRDefault="00442A2E" w:rsidP="00AB2B49">
            <w:pPr>
              <w:contextualSpacing/>
              <w:jc w:val="left"/>
              <w:rPr>
                <w:sz w:val="24"/>
                <w:szCs w:val="24"/>
                <w:lang w:val="en-US"/>
              </w:rPr>
            </w:pPr>
          </w:p>
        </w:tc>
      </w:tr>
    </w:tbl>
    <w:p w:rsidR="00442A2E" w:rsidRPr="00DC0D14" w:rsidRDefault="00442A2E" w:rsidP="00AB2B49">
      <w:pPr>
        <w:contextualSpacing/>
        <w:rPr>
          <w:sz w:val="28"/>
          <w:szCs w:val="28"/>
          <w:lang w:val="en-US"/>
        </w:rPr>
      </w:pPr>
    </w:p>
    <w:p w:rsidR="00442A2E" w:rsidRPr="00B31684" w:rsidRDefault="00442A2E" w:rsidP="00AB2B49">
      <w:pPr>
        <w:contextualSpacing/>
        <w:rPr>
          <w:sz w:val="28"/>
          <w:szCs w:val="28"/>
        </w:rPr>
      </w:pPr>
      <w:r w:rsidRPr="00B31684">
        <w:rPr>
          <w:sz w:val="28"/>
          <w:szCs w:val="28"/>
        </w:rPr>
        <w:t xml:space="preserve">Тем не менее, главной товарной группой остаются нефть и нефтепродукты. Добыча нефти в мексиканской экономике выходит на первый план, начиная с 1970-х годов. Основой мексиканской экономики является нефтяная промышленность. По добыче нефти страна занимает одно из первых мест в мире. Ежегодно компания «Petroleos Mexicanos» (Pemex), самая большая нефтедобывающая компания Латинской Америки, поставляет на рынок несколько сотен миллиардов баррелей нефти ежегодно. Являясь крупным поставщиком нефти, Мексика играет, несомненно, важную роль на нефтяном рынке. </w:t>
      </w:r>
      <w:r w:rsidRPr="00B31684">
        <w:rPr>
          <w:sz w:val="28"/>
          <w:szCs w:val="28"/>
        </w:rPr>
        <w:br/>
      </w:r>
      <w:r w:rsidRPr="00B31684">
        <w:rPr>
          <w:sz w:val="28"/>
          <w:szCs w:val="28"/>
        </w:rPr>
        <w:br/>
        <w:t xml:space="preserve">Сбалансировать внешнюю торговлю, внешние платежные операции – важная задача нового правительства. Торговля с США складывается у Мексики с активным балансом (нефть – главный продукт, 2-е место после Саудовской Аравии). Торговые отношения с крупнейшими странами Южной Америки - Аргентиной и Бразилией характеризуются пассивом. Мексика покупает в Аргентине в два раза больше, чем продает, в Бразилии - в 6 раз больше (2005 год). Экспорт на Кубу составляет треть продаж в Аргентину. </w:t>
      </w:r>
      <w:r w:rsidRPr="00B31684">
        <w:rPr>
          <w:sz w:val="28"/>
          <w:szCs w:val="28"/>
        </w:rPr>
        <w:br/>
      </w:r>
      <w:r w:rsidRPr="00B31684">
        <w:rPr>
          <w:sz w:val="28"/>
          <w:szCs w:val="28"/>
        </w:rPr>
        <w:br/>
        <w:t>В сфере услуг, безусловно, лидирует туризм. По приносимым доходам он занимает второе место после торговли нефтью и газом. Туристы посещают в основном район Мехико и полуостров Юкатан, где в древности находились государства майя и ацтеков. Пользуются популярностью и пляжи Мексиканского залива и тихоокеанского побережья.</w:t>
      </w:r>
      <w:r w:rsidRPr="00B31684">
        <w:rPr>
          <w:sz w:val="28"/>
          <w:szCs w:val="28"/>
        </w:rPr>
        <w:br/>
      </w:r>
      <w:r w:rsidRPr="00B31684">
        <w:rPr>
          <w:sz w:val="28"/>
          <w:szCs w:val="28"/>
        </w:rPr>
        <w:br/>
        <w:t>С давних времен внешняя торговля стран региона формировалась под воздействием транснациональных интересов. Зарубежные предприниматели фактически определяли структуру, объемы экспорта и его географию, а тем самым прямо или косвенно и соответствующие показатели импорта, общее направление внешнеторговой деятельности. Для них была характерна ориентация Латинской Америки на приоритетное обслуживание потребностей внешнего рынка.</w:t>
      </w:r>
      <w:r w:rsidRPr="00B31684">
        <w:rPr>
          <w:sz w:val="28"/>
          <w:szCs w:val="28"/>
        </w:rPr>
        <w:br/>
      </w:r>
      <w:r w:rsidRPr="00B31684">
        <w:rPr>
          <w:sz w:val="28"/>
          <w:szCs w:val="28"/>
        </w:rPr>
        <w:br/>
        <w:t>По мере зарождения и нарастания в регионе движения за экономическую безопасность укреплялась концепция эффективной внешней торговли. При поддержке государства возникали отрасли обрабатывающей промышленности, "скотоводческие", "кофейные" и "банановые" хозяйства превращались в аграрно-промышленные структуры с соответствующими сдвигами в экспорте и импорте. Подобные перемены не устраивали как зарубежных коммерсантов, так и традиционных местных предпринимателей. Центрам было нежелательно появление на мировом рынке новых конкурентов и они делали все возможное, чтобы страны региона, по крайней мере их большинство, оставались поставщиками сырья и промышленной продукции первых поколений. Для этой цели использовался широкий ассортимент средств: связанные кредиты, таможенно-тарифная практика, административно-торговые рычаги и т. д. В результате усилившихся в последнее время масштабных слияний и объединений «производственно-финансовый транснациональный конгломерат превратился в новую мировую властную структуру».</w:t>
      </w:r>
      <w:r w:rsidRPr="00B31684">
        <w:rPr>
          <w:sz w:val="28"/>
          <w:szCs w:val="28"/>
        </w:rPr>
        <w:br/>
      </w:r>
      <w:r w:rsidRPr="00B31684">
        <w:rPr>
          <w:sz w:val="28"/>
          <w:szCs w:val="28"/>
        </w:rPr>
        <w:br/>
        <w:t xml:space="preserve">ТНК с определенной цикличностью модернизируют свой экспорт, оставляя периферии производство и экспорт вчерашнего дня, более трудоемкое и ресурсоемкое. Центры, например, отдали Латинской Америке экспорт несортовой стали, сохранив за собой вывоз на мировой рынок специальных видов стали со сложной технологией. В Мексике ТНК стали вывозить на внешний рынок телевизоры, электробытовую технику, счетные устройства, отводя национальным предпринимателям в основном экспорт готовых изделий простейшего потребительского назначения. </w:t>
      </w:r>
    </w:p>
    <w:p w:rsidR="00442A2E" w:rsidRPr="00D125A9" w:rsidRDefault="00442A2E" w:rsidP="00AB2B49">
      <w:pPr>
        <w:contextualSpacing/>
        <w:rPr>
          <w:sz w:val="28"/>
          <w:szCs w:val="28"/>
        </w:rPr>
      </w:pPr>
      <w:r w:rsidRPr="00D125A9">
        <w:rPr>
          <w:sz w:val="28"/>
          <w:szCs w:val="28"/>
        </w:rPr>
        <w:t>Экспорт — 230 млрд долл. (в 2009 году) — промышленные товары, нефть и нефтепродукты, серебро, фрукты, овощи, кофе, хлопок.</w:t>
      </w:r>
    </w:p>
    <w:p w:rsidR="00442A2E" w:rsidRPr="00D125A9" w:rsidRDefault="00442A2E" w:rsidP="00AB2B49">
      <w:pPr>
        <w:contextualSpacing/>
        <w:rPr>
          <w:sz w:val="28"/>
          <w:szCs w:val="28"/>
        </w:rPr>
      </w:pPr>
      <w:r w:rsidRPr="00D125A9">
        <w:rPr>
          <w:sz w:val="28"/>
          <w:szCs w:val="28"/>
        </w:rPr>
        <w:t>Основные покупатели — США 80,5 %, Канада 3,6 %, Германия 1,4 %.</w:t>
      </w:r>
    </w:p>
    <w:p w:rsidR="00442A2E" w:rsidRPr="00D125A9" w:rsidRDefault="00442A2E" w:rsidP="00AB2B49">
      <w:pPr>
        <w:contextualSpacing/>
        <w:rPr>
          <w:sz w:val="28"/>
          <w:szCs w:val="28"/>
        </w:rPr>
      </w:pPr>
      <w:r w:rsidRPr="00D125A9">
        <w:rPr>
          <w:sz w:val="28"/>
          <w:szCs w:val="28"/>
        </w:rPr>
        <w:t>Импорт — 234 млрд долл. (в 2009 году) — промышленное оборудование, детали автомобилей (для сборки и запчасти), авиационная техника.</w:t>
      </w:r>
    </w:p>
    <w:p w:rsidR="00442A2E" w:rsidRPr="00D125A9" w:rsidRDefault="00442A2E" w:rsidP="00AB2B49">
      <w:pPr>
        <w:contextualSpacing/>
        <w:rPr>
          <w:sz w:val="28"/>
          <w:szCs w:val="28"/>
        </w:rPr>
      </w:pPr>
      <w:r w:rsidRPr="00D125A9">
        <w:rPr>
          <w:sz w:val="28"/>
          <w:szCs w:val="28"/>
        </w:rPr>
        <w:t>Основные поставщики — США 48 %, Китай 13,5 %, Япония 4,8 %, Южная Корея 4,6 %, Германия 4,1 %.</w:t>
      </w:r>
    </w:p>
    <w:p w:rsidR="00442A2E" w:rsidRPr="001027FD" w:rsidRDefault="00442A2E" w:rsidP="00AB2B49">
      <w:pPr>
        <w:contextualSpacing/>
        <w:rPr>
          <w:sz w:val="28"/>
          <w:szCs w:val="28"/>
        </w:rPr>
      </w:pPr>
    </w:p>
    <w:p w:rsidR="00442A2E" w:rsidRPr="001027FD" w:rsidRDefault="00442A2E" w:rsidP="00AB2B49">
      <w:pPr>
        <w:contextualSpacing/>
        <w:rPr>
          <w:sz w:val="28"/>
          <w:szCs w:val="28"/>
        </w:rPr>
      </w:pPr>
    </w:p>
    <w:p w:rsidR="00442A2E" w:rsidRDefault="00442A2E" w:rsidP="00AB2B49">
      <w:pPr>
        <w:contextualSpacing/>
        <w:rPr>
          <w:b/>
          <w:bCs/>
          <w:sz w:val="28"/>
          <w:szCs w:val="28"/>
        </w:rPr>
      </w:pPr>
      <w:r>
        <w:rPr>
          <w:b/>
          <w:bCs/>
          <w:sz w:val="28"/>
          <w:szCs w:val="28"/>
        </w:rPr>
        <w:t>3.</w:t>
      </w:r>
      <w:r w:rsidRPr="0012403B">
        <w:rPr>
          <w:b/>
          <w:bCs/>
          <w:sz w:val="28"/>
          <w:szCs w:val="28"/>
        </w:rPr>
        <w:t>Мексика и экономический кризис</w:t>
      </w:r>
    </w:p>
    <w:p w:rsidR="00442A2E" w:rsidRPr="0012403B" w:rsidRDefault="00442A2E" w:rsidP="00AB2B49">
      <w:pPr>
        <w:contextualSpacing/>
        <w:rPr>
          <w:b/>
          <w:bCs/>
          <w:sz w:val="28"/>
          <w:szCs w:val="28"/>
        </w:rPr>
      </w:pPr>
    </w:p>
    <w:p w:rsidR="00442A2E" w:rsidRPr="0012403B" w:rsidRDefault="00442A2E" w:rsidP="00AB2B49">
      <w:pPr>
        <w:contextualSpacing/>
        <w:rPr>
          <w:sz w:val="28"/>
          <w:szCs w:val="28"/>
        </w:rPr>
      </w:pPr>
      <w:r w:rsidRPr="0012403B">
        <w:rPr>
          <w:sz w:val="28"/>
          <w:szCs w:val="28"/>
        </w:rPr>
        <w:t xml:space="preserve">«Бедная Мексика! Ты так далеко от бога, и так близко к США!» Порфирио ДиасЕсть старое изречение: «когда американская экономика чихнет, у мексиканской начинается воспаление легких». </w:t>
      </w:r>
    </w:p>
    <w:p w:rsidR="00442A2E" w:rsidRPr="0012403B" w:rsidRDefault="00442A2E" w:rsidP="00AB2B49">
      <w:pPr>
        <w:contextualSpacing/>
        <w:rPr>
          <w:sz w:val="28"/>
          <w:szCs w:val="28"/>
        </w:rPr>
      </w:pPr>
      <w:r w:rsidRPr="0012403B">
        <w:rPr>
          <w:sz w:val="28"/>
          <w:szCs w:val="28"/>
        </w:rPr>
        <w:t>Например, во время краха интернер-пузыря, 2000-2001 гг. когда американская экономика упала с 3.7% до 0.8 %, экономика Мексики снизилась с 6.6 % до 0 %, что стало причиной горя миллионов людей. Но что будет, когда воспаление легких у самой американской экономики? Углубляющийся американский финансовый кризис уже отразился на мировой экономике, Мексика не исключение.</w:t>
      </w:r>
    </w:p>
    <w:p w:rsidR="00442A2E" w:rsidRPr="0012403B" w:rsidRDefault="00442A2E" w:rsidP="00AB2B49">
      <w:pPr>
        <w:contextualSpacing/>
        <w:rPr>
          <w:sz w:val="28"/>
          <w:szCs w:val="28"/>
        </w:rPr>
      </w:pPr>
      <w:r w:rsidRPr="0012403B">
        <w:rPr>
          <w:sz w:val="28"/>
          <w:szCs w:val="28"/>
        </w:rPr>
        <w:t>Мексиканский президент Фелипе Кальдерон – рассматриваемый миллионами мексиканцев как узурпатор и незаконный президент, который стал президентом в результате масштабных фальсификаций на выборах. Он недавно заявил, что Мексика больше экономически не зависит от США, и поэтому кризис ее не коснется. Столкнувшись с все возрастающей социальной неустойчивостью и падением доходов от добычи нефти, Кальдерон должен делать хорошую мину и найти оправдание роста правительственных репрессий против оппозиции. Социальное недовольство в стране, достигает точки кипения, и дальнейшее ужесточение социальной политики президента, неизбежно вызовет еще большую мобилизацию масс. К несчастью для Кальдерона, действительность далека от его оптимистических оценок.</w:t>
      </w:r>
    </w:p>
    <w:p w:rsidR="00442A2E" w:rsidRPr="0012403B" w:rsidRDefault="00442A2E" w:rsidP="00AB2B49">
      <w:pPr>
        <w:contextualSpacing/>
        <w:rPr>
          <w:sz w:val="28"/>
          <w:szCs w:val="28"/>
        </w:rPr>
      </w:pPr>
      <w:r w:rsidRPr="0012403B">
        <w:rPr>
          <w:sz w:val="28"/>
          <w:szCs w:val="28"/>
        </w:rPr>
        <w:t>Согласно Альфредо Кутино (Alfredo Coutino), старейшему экономисту Латинской Америки: «Мексика – наиболее зависимая от американского кризиса экономика». А как отмечает Джордж Грайсон (George Grayson), эксперт по Мексике в Колледже «Вильям и Мари» в Виржинии: «Я думаю, что Кальдерон похож на оленя окруженный машинами со всех четырех сторон». И как может быть иначе, когда 80% мексиканского экспорта идет в США, а американские потребители и компании, сокращают закупки? Американский экономический кризис уже отразился на миллионах мексиканцев, живущих дома и за границей. В течение многих десятилетий американские корпорации переводили свои производства в Мексику, из-за более дешевой рабочей силы. Теперь, фабрики в Мексике закрываются, а рабочие места перемещаются в Азию. Согласно ООН с 1970 г. по 2007 г., вклад стран Латинской Америки в мировую экономику сохранялся в пределах 5.7 %, в то время как Азия росла с 18 % до 29 %. Сегодня доля Мексики в мировой экономики с 1.4 % в 1980 упала до 1.2 %. Другими словами, регион не развивался в течение 40 лет, а в последние время, еще до кризиса, экономика Мексики вообще снижалась.</w:t>
      </w:r>
    </w:p>
    <w:p w:rsidR="00442A2E" w:rsidRPr="0012403B" w:rsidRDefault="00442A2E" w:rsidP="00AB2B49">
      <w:pPr>
        <w:contextualSpacing/>
        <w:rPr>
          <w:sz w:val="28"/>
          <w:szCs w:val="28"/>
        </w:rPr>
      </w:pPr>
      <w:r w:rsidRPr="0012403B">
        <w:rPr>
          <w:sz w:val="28"/>
          <w:szCs w:val="28"/>
        </w:rPr>
        <w:t>Но эти цифры не дают полной картины. В тот же самый период астрономически выросла концентрация богатства в руках крошечного меньшинства. Это привело к самому невообразимому обнищанию миллионов латиноамериканских рабочих, крестьян и молодежи. Недавние исследования Организации Экономического Сотрудничества и Развития показало, что самое большое неравенство между богатыми и бедными среди стран ОЭСР наблюдается именно в Мексике, в которой доходы самых богатых 10% более чем в 25 раз больше чем у 10 % самых бедных. Третий богач мира, уступающий только Биллу Гейтсу ($56 млрд.) и Уоренну Баффету ($52 млрд.) это не житель Японии, Германии или королевской семьи из Саудовской Аравии, это мексиканец Карлос Слим, имеющий $49 млрд., больше чем ежегодный ВВП многих небольших стран.</w:t>
      </w:r>
    </w:p>
    <w:p w:rsidR="00442A2E" w:rsidRPr="0012403B" w:rsidRDefault="00442A2E" w:rsidP="00AB2B49">
      <w:pPr>
        <w:contextualSpacing/>
        <w:rPr>
          <w:sz w:val="28"/>
          <w:szCs w:val="28"/>
        </w:rPr>
      </w:pPr>
      <w:r w:rsidRPr="0012403B">
        <w:rPr>
          <w:sz w:val="28"/>
          <w:szCs w:val="28"/>
        </w:rPr>
        <w:t>Он заработал свое состояние, после того как государственная телекоммуникационная компания была приватизирована. Сегодня капиталисты собираются приватизировать государственную нефтяную промышленность.</w:t>
      </w:r>
    </w:p>
    <w:p w:rsidR="00442A2E" w:rsidRPr="0012403B" w:rsidRDefault="00442A2E" w:rsidP="00AB2B49">
      <w:pPr>
        <w:ind w:firstLine="0"/>
        <w:contextualSpacing/>
        <w:rPr>
          <w:sz w:val="28"/>
          <w:szCs w:val="28"/>
        </w:rPr>
      </w:pPr>
      <w:r>
        <w:rPr>
          <w:sz w:val="28"/>
          <w:szCs w:val="28"/>
        </w:rPr>
        <w:t xml:space="preserve">         </w:t>
      </w:r>
      <w:r w:rsidRPr="0012403B">
        <w:rPr>
          <w:sz w:val="28"/>
          <w:szCs w:val="28"/>
        </w:rPr>
        <w:t>Мировые финансовые рынки в последние недели, прибывали в страхе, мексиканское песо упало до новых уровней.</w:t>
      </w:r>
    </w:p>
    <w:p w:rsidR="00442A2E" w:rsidRPr="0012403B" w:rsidRDefault="00442A2E" w:rsidP="00AB2B49">
      <w:pPr>
        <w:contextualSpacing/>
        <w:rPr>
          <w:sz w:val="28"/>
          <w:szCs w:val="28"/>
        </w:rPr>
      </w:pPr>
      <w:r w:rsidRPr="0012403B">
        <w:rPr>
          <w:sz w:val="28"/>
          <w:szCs w:val="28"/>
        </w:rPr>
        <w:t>Снижение было большим, чем девальвация 1994 г. Впервые с 1998 г., мексиканский ЦБ вынужден был продавать доллары ($11,2 млрд.), чтобы предотвратить полный крах национальной валюты. Сегодня курс доллара равен 1 доллар – 14 песо, в некоторых регионах страны, особенно вдоль границы, он достигает и 17 песо. Были даже разговоры об «золотом песо», но они окончились нечем.</w:t>
      </w:r>
    </w:p>
    <w:p w:rsidR="00442A2E" w:rsidRPr="0012403B" w:rsidRDefault="00442A2E" w:rsidP="00AB2B49">
      <w:pPr>
        <w:contextualSpacing/>
        <w:rPr>
          <w:sz w:val="28"/>
          <w:szCs w:val="28"/>
        </w:rPr>
      </w:pPr>
      <w:r w:rsidRPr="0012403B">
        <w:rPr>
          <w:sz w:val="28"/>
          <w:szCs w:val="28"/>
        </w:rPr>
        <w:t>Согласно последним сообщениям, розничная продажа сокращается. Генаро Алонсо Тавера (Genaro Alonso Tavera), бывший президент ассоциации валютных менял, сообщил, что этот бизнес упал на 30%. Кроме того, выросли розничные цены, на 5.47 % в сентябре, и как предполагают, инфляция будет расти и дальше. Другими словами, покупательная способность мексиканских рабочих уменьшается из-за девальвации и инфляции. Так, килограмм маисовых лепешек, которые всего несколько месяцев назад стоили 10 песо, теперь стоят 15 песо или больше. Это огромное увеличение прожиточного минимума.</w:t>
      </w:r>
    </w:p>
    <w:p w:rsidR="00442A2E" w:rsidRPr="0012403B" w:rsidRDefault="00442A2E" w:rsidP="00AB2B49">
      <w:pPr>
        <w:contextualSpacing/>
        <w:rPr>
          <w:sz w:val="28"/>
          <w:szCs w:val="28"/>
        </w:rPr>
      </w:pPr>
      <w:r w:rsidRPr="0012403B">
        <w:rPr>
          <w:sz w:val="28"/>
          <w:szCs w:val="28"/>
        </w:rPr>
        <w:t>Только одно это неизбежно поднимет новый шквал классовой борьбы, даже более острой, чем в 2006 г., когда трудящиеся выступили против фальсификации выборов, организовали Коммуну Оахаки, провели несколько крупных забастовок и студенческих мобилизаций. Эти события перевернули всю политическую жизнь страны. Те события только бледная тень, того, что может произойти в самое ближайшее будущее. Назревают серьезные классовые конфронтации: мексиканские массы загоняются в безвыходное положение, и у них не остается выбора, кроме борьбы. Два самых доходных поступлений: государственная нефтяная корпорация - PEMEX, и денежные переводы мексиканских рабочих-мигрантов в США. Однако, цена на нефть упала с $147,27 за баррель в июле, до менее $70 в октябре. Если взять во внимание падение производства, разрушение инфраструктуры, коррупции и неквалифицированного руководства, то вырисовывается большие финансовые проблемы. Падают и цены на другие экспортные товары и услуги. Снижаются доходы от туризма.</w:t>
      </w:r>
    </w:p>
    <w:p w:rsidR="00442A2E" w:rsidRPr="00665490" w:rsidRDefault="00442A2E" w:rsidP="00AB2B49">
      <w:pPr>
        <w:contextualSpacing/>
        <w:rPr>
          <w:sz w:val="28"/>
          <w:szCs w:val="28"/>
        </w:rPr>
      </w:pPr>
      <w:r w:rsidRPr="0012403B">
        <w:rPr>
          <w:sz w:val="28"/>
          <w:szCs w:val="28"/>
        </w:rPr>
        <w:t>Калдерон собирается приватизировать PEMEX, как возможность получения наличности для поддержания экономики на плаву, но главным образом, для обогащения мексиканских капиталистов и иностранные нефтяные компании. При сохранении капитализма, всегда отбирают у бедных и дают богатым, будь то приватизация или национализация.</w:t>
      </w:r>
    </w:p>
    <w:p w:rsidR="00442A2E" w:rsidRPr="0012403B" w:rsidRDefault="00442A2E" w:rsidP="00AB2B49">
      <w:pPr>
        <w:contextualSpacing/>
        <w:rPr>
          <w:sz w:val="28"/>
          <w:szCs w:val="28"/>
        </w:rPr>
      </w:pPr>
      <w:r w:rsidRPr="0012403B">
        <w:rPr>
          <w:sz w:val="28"/>
          <w:szCs w:val="28"/>
        </w:rPr>
        <w:t>Что касается другого источника поступления валюты – деньги, присылаемые мексиканскими рабочими из США, в августе прислали на 12% меньше, чем год назад, самое резкое понижение за 12 лет: $1,9 млрд. в этом году, в сравнении с $2,2 млрд. в прошлом году. За первые 8 месяцев 2008 г. было прислано на 4 % меньше денег, чем за этот же период 2007 г. Около, 11 млн. мексиканцев живут в США, вынужденные иммигрировать туда в поисках работы. Многие семьи, и даже целые города и регионы, полностью зависят от этих поступлений. Сегодня этот источник начинает пересыхать.</w:t>
      </w:r>
    </w:p>
    <w:p w:rsidR="00442A2E" w:rsidRPr="0012403B" w:rsidRDefault="00442A2E" w:rsidP="00AB2B49">
      <w:pPr>
        <w:contextualSpacing/>
        <w:rPr>
          <w:sz w:val="28"/>
          <w:szCs w:val="28"/>
        </w:rPr>
      </w:pPr>
      <w:r w:rsidRPr="0012403B">
        <w:rPr>
          <w:sz w:val="28"/>
          <w:szCs w:val="28"/>
        </w:rPr>
        <w:t>Во времена экономического кризиса рабочие-иммигранты попадают в самую трудную ситуацию. Их увольняют и высылают тысячами, не выплачивают заработанное, у них нет никакой правовой защиты, и они постоянно подвергаются полицейскому террору. Гостарбайтеров используют как козлов отпущения во времена экономического кризиса, чтобы отвести внимание от реальных причин и виновников экономического кризиса – капиталистической системы.</w:t>
      </w:r>
    </w:p>
    <w:p w:rsidR="00442A2E" w:rsidRPr="0012403B" w:rsidRDefault="00442A2E" w:rsidP="00AB2B49">
      <w:pPr>
        <w:contextualSpacing/>
        <w:rPr>
          <w:sz w:val="28"/>
          <w:szCs w:val="28"/>
        </w:rPr>
      </w:pPr>
      <w:r w:rsidRPr="0012403B">
        <w:rPr>
          <w:sz w:val="28"/>
          <w:szCs w:val="28"/>
        </w:rPr>
        <w:t>С 1 октября 2007 г. по 31 августа 2008 г. Иммиграционные и Таможенные службы провели 1 172 нападения на места работы гостарбайтеров и сотни нападений на места их проживания. Одна такая проверка, в Поствилле, штат Айова, привела к аресту 389 рабочих-мигрантов. Это операция стоила более $5.2 млн. сюда не включены расходы, понесенные министерством труда или федеральной прокуратурой (более $13 300 на арестованного). Это ни что иное, как кампания государственного терроризма (использующая деньги налогоплательщиков) развязанная против самых угнетенных слоев рабочего класса. И все же у миллионов мексиканцев и других латиноамериканцев нет иного выбора, кроме иммиграции в США. Проще говоря, дома их положение еще ужаснее. Так как кризис разрастается, миллионы людей будут искать выход из того тупика, в который завел капитализм. Аресты, высылки, увеличение пограничных застав, строительство стены по границе, это упреждающий удар по латиноамериканской революции, которая сметет все искусственные границы нарисованные империализмом. Ничего так не бояться капиталисты по обеим сторонам границы, как объединенного мирового рабочего класса.</w:t>
      </w:r>
    </w:p>
    <w:p w:rsidR="00442A2E" w:rsidRPr="0012403B" w:rsidRDefault="00442A2E" w:rsidP="00AB2B49">
      <w:pPr>
        <w:contextualSpacing/>
        <w:rPr>
          <w:sz w:val="28"/>
          <w:szCs w:val="28"/>
        </w:rPr>
      </w:pPr>
      <w:r w:rsidRPr="0012403B">
        <w:rPr>
          <w:sz w:val="28"/>
          <w:szCs w:val="28"/>
        </w:rPr>
        <w:t>В то время, как дельцы Уолл Стрит получают миллиарды долларов налогоплательщиков, миллионы американских рабочих теряют свои дома, рабочие места и надежды на будущее. Но для жителей Мексики ситуация много хуже. Для миллионов нелегальных рабочих в США, неотвратимо наступают тяжелые времена. «Миграционный кризис» – часть общего кризиса капитализма. Интересы всех рабочих одни для всех, независимо от места их рождения. В ближайшее время правящий класс приложит все усилия, чтобы разделить рабочих по национальному признаку или этнической принадлежности. Единственное решение – единство рабочего класса, воинственная организация и мобилизация против реального врага – капиталистов и капитализма.</w:t>
      </w:r>
    </w:p>
    <w:p w:rsidR="00442A2E" w:rsidRPr="0012403B" w:rsidRDefault="00442A2E" w:rsidP="00AB2B49">
      <w:pPr>
        <w:contextualSpacing/>
        <w:rPr>
          <w:sz w:val="28"/>
          <w:szCs w:val="28"/>
        </w:rPr>
      </w:pPr>
      <w:r w:rsidRPr="0012403B">
        <w:rPr>
          <w:sz w:val="28"/>
          <w:szCs w:val="28"/>
        </w:rPr>
        <w:t>Мировой кризис капитализма расширяется. Американская и мексиканская экономическая системы сильно связаны, и произошедшее в одной стране немедленно отразиться на другой. Мексиканский рабочий класс жестоко эксплуатировался в течение многих десятилетий. Целые области находятся сегодня вне правительственного контроля, тысячи гражданских лиц ежегодно, погибают во время перестрелок полиции и наркоторговцев, мало отличающихся друг от друга. Некоторые буржуазные аналитики даже говорят, что страна стоит на пороге «разрушения государства», как это уже произошло в Пакистане и Афганистане. И это происходит у границы, самой сильной мировой державы. Выбор, стоящий перед мексиканскими массами: социализм или варварство.</w:t>
      </w:r>
    </w:p>
    <w:p w:rsidR="00442A2E" w:rsidRPr="0012403B" w:rsidRDefault="00442A2E" w:rsidP="00AB2B49">
      <w:pPr>
        <w:contextualSpacing/>
        <w:rPr>
          <w:sz w:val="28"/>
          <w:szCs w:val="28"/>
        </w:rPr>
      </w:pPr>
      <w:r w:rsidRPr="0012403B">
        <w:rPr>
          <w:sz w:val="28"/>
          <w:szCs w:val="28"/>
        </w:rPr>
        <w:t>Но есть и другая сторона истории.</w:t>
      </w:r>
    </w:p>
    <w:p w:rsidR="00442A2E" w:rsidRPr="0012403B" w:rsidRDefault="00442A2E" w:rsidP="00AB2B49">
      <w:pPr>
        <w:contextualSpacing/>
        <w:rPr>
          <w:sz w:val="28"/>
          <w:szCs w:val="28"/>
        </w:rPr>
      </w:pPr>
      <w:r w:rsidRPr="0012403B">
        <w:rPr>
          <w:sz w:val="28"/>
          <w:szCs w:val="28"/>
        </w:rPr>
        <w:t>Время мирового кризиса капитализма – эпоха мировой революции. Мексиканские массы снова и снова, показывают, что они помнят свои героические революционные традиции прошлого. В последние годы, миллионы мексиканских рабочих, бедняков и молодежи проводили мобилизации в борьбе за улучшение жизни, социальную защиту, государственное образование, против фальсификаций выборов, против планов приватизации нефтяной промышленности, за увеличение заработной платы. В ближайшее время мексиканские рабочие вместе со своими американскими братьями по классу, будут бороться за лучшее будущее. Но добиться лучшего будущего, невозможно добиться без уничтожения капитализма.</w:t>
      </w:r>
    </w:p>
    <w:p w:rsidR="00442A2E" w:rsidRPr="001027FD" w:rsidRDefault="00442A2E" w:rsidP="00AB2B49">
      <w:pPr>
        <w:contextualSpacing/>
        <w:rPr>
          <w:sz w:val="28"/>
          <w:szCs w:val="28"/>
        </w:rPr>
      </w:pPr>
    </w:p>
    <w:p w:rsidR="00442A2E" w:rsidRPr="00665490" w:rsidRDefault="00442A2E" w:rsidP="00665490">
      <w:pPr>
        <w:contextualSpacing/>
        <w:rPr>
          <w:sz w:val="28"/>
          <w:szCs w:val="28"/>
        </w:rPr>
      </w:pPr>
    </w:p>
    <w:p w:rsidR="00442A2E" w:rsidRDefault="00442A2E" w:rsidP="00665490">
      <w:pPr>
        <w:suppressAutoHyphens/>
        <w:autoSpaceDE w:val="0"/>
        <w:autoSpaceDN w:val="0"/>
        <w:contextualSpacing/>
        <w:outlineLvl w:val="1"/>
        <w:rPr>
          <w:b/>
          <w:sz w:val="28"/>
          <w:szCs w:val="28"/>
        </w:rPr>
      </w:pPr>
      <w:bookmarkStart w:id="0" w:name="_Toc83976566"/>
      <w:r w:rsidRPr="00AB2B49">
        <w:rPr>
          <w:b/>
          <w:sz w:val="28"/>
          <w:szCs w:val="28"/>
        </w:rPr>
        <w:t xml:space="preserve">4. </w:t>
      </w:r>
      <w:r w:rsidRPr="00665490">
        <w:rPr>
          <w:b/>
          <w:sz w:val="28"/>
          <w:szCs w:val="28"/>
        </w:rPr>
        <w:t>Экономические отношения с</w:t>
      </w:r>
      <w:bookmarkEnd w:id="0"/>
      <w:r w:rsidRPr="00AB2B49">
        <w:rPr>
          <w:b/>
          <w:sz w:val="28"/>
          <w:szCs w:val="28"/>
        </w:rPr>
        <w:t xml:space="preserve"> Россией</w:t>
      </w:r>
    </w:p>
    <w:p w:rsidR="00442A2E" w:rsidRPr="001F0211" w:rsidRDefault="00442A2E" w:rsidP="00C61473">
      <w:pPr>
        <w:ind w:firstLine="0"/>
        <w:contextualSpacing/>
        <w:rPr>
          <w:sz w:val="28"/>
          <w:szCs w:val="28"/>
        </w:rPr>
      </w:pPr>
      <w:r>
        <w:rPr>
          <w:b/>
          <w:sz w:val="28"/>
          <w:szCs w:val="28"/>
        </w:rPr>
        <w:t xml:space="preserve">           </w:t>
      </w:r>
      <w:r w:rsidRPr="001F0211">
        <w:rPr>
          <w:b/>
          <w:bCs/>
          <w:sz w:val="28"/>
          <w:szCs w:val="28"/>
        </w:rPr>
        <w:t xml:space="preserve"> </w:t>
      </w:r>
    </w:p>
    <w:p w:rsidR="00442A2E" w:rsidRPr="001F0211" w:rsidRDefault="00442A2E" w:rsidP="00C61473">
      <w:pPr>
        <w:ind w:firstLine="0"/>
        <w:contextualSpacing/>
        <w:rPr>
          <w:sz w:val="28"/>
          <w:szCs w:val="28"/>
        </w:rPr>
      </w:pPr>
      <w:r w:rsidRPr="001F0211">
        <w:rPr>
          <w:b/>
          <w:bCs/>
          <w:sz w:val="28"/>
          <w:szCs w:val="28"/>
        </w:rPr>
        <w:t xml:space="preserve"> Российско-мексиканское сотрудничество</w: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Латинская Америка переживает серьезные перемены. С одной стороны, государства региона отходят от прежних стандартов экономической политики и поведения на международной арене. С другой - меняется характер внешнего воздействия. Традиционно здесь доминировали США, теперь же усиливается присутствие других мировых держав, благодаря чему расширяется поле деятельности для политического маневра. Последствия новой ситуации могут быть весьма разнообразны и зачастую противоречивы, однако она сулит неплохие шансы для укрепления российских позиций в регионе.</w:t>
      </w:r>
    </w:p>
    <w:p w:rsidR="00442A2E" w:rsidRPr="001F0211" w:rsidRDefault="00442A2E" w:rsidP="001F0211">
      <w:pPr>
        <w:contextualSpacing/>
        <w:rPr>
          <w:sz w:val="28"/>
          <w:szCs w:val="28"/>
        </w:rPr>
      </w:pPr>
      <w:r w:rsidRPr="001F0211">
        <w:rPr>
          <w:sz w:val="28"/>
          <w:szCs w:val="28"/>
        </w:rPr>
        <w:t>Дипломатические отношения России с одной из ведущих стран Латинской Америки - Мексики, которая постепенно выходит из периферийной зоны мировой экономики и политики, были установлены в 1890 году. Обе страны содержат посольства в столицах другой страны - Москве и Мехико.</w:t>
      </w:r>
    </w:p>
    <w:p w:rsidR="00442A2E" w:rsidRPr="001F0211" w:rsidRDefault="00442A2E" w:rsidP="001F0211">
      <w:pPr>
        <w:contextualSpacing/>
        <w:rPr>
          <w:sz w:val="28"/>
          <w:szCs w:val="28"/>
        </w:rPr>
      </w:pPr>
      <w:r w:rsidRPr="001F0211">
        <w:rPr>
          <w:sz w:val="28"/>
          <w:szCs w:val="28"/>
        </w:rPr>
        <w:t>Благодаря хорошим отношениям с Россией, Мексика закупила различную российскую военную технику. Военно-морские силы Мексики обрели на вооружение БТР-60, Урал-4320, МИ-171, а также переносной ракетно-зенитный комплекс "Игла". В данный момент все оборудование еще находится на службе Вооруженных Сил Мексики.</w:t>
      </w:r>
    </w:p>
    <w:p w:rsidR="00442A2E" w:rsidRDefault="00442A2E" w:rsidP="001F0211">
      <w:pPr>
        <w:contextualSpacing/>
        <w:rPr>
          <w:sz w:val="28"/>
          <w:szCs w:val="28"/>
        </w:rPr>
      </w:pPr>
      <w:r w:rsidRPr="001F0211">
        <w:rPr>
          <w:sz w:val="28"/>
          <w:szCs w:val="28"/>
        </w:rPr>
        <w:t>Данные исследования Всемирного банка, проведенного в 2009 году, приведены в таблице № 2.</w:t>
      </w:r>
      <w:r>
        <w:rPr>
          <w:sz w:val="28"/>
          <w:szCs w:val="28"/>
        </w:rPr>
        <w:t xml:space="preserve">  </w:t>
      </w: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Таблица № 2</w:t>
      </w:r>
    </w:p>
    <w:p w:rsidR="00442A2E" w:rsidRPr="001F0211" w:rsidRDefault="00442A2E" w:rsidP="001F0211">
      <w:pPr>
        <w:contextualSpacing/>
        <w:rPr>
          <w:sz w:val="28"/>
          <w:szCs w:val="28"/>
        </w:rPr>
      </w:pPr>
      <w:r w:rsidRPr="001F0211">
        <w:rPr>
          <w:b/>
          <w:bCs/>
          <w:sz w:val="28"/>
          <w:szCs w:val="28"/>
        </w:rPr>
        <w:t>Рейтинговая таблица: Страны и территории по размеру валового национального дохода на душу населения1</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819"/>
        <w:gridCol w:w="5304"/>
        <w:gridCol w:w="2303"/>
      </w:tblGrid>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Место</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Экономика</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Доход, $</w:t>
            </w:r>
          </w:p>
        </w:tc>
      </w:tr>
      <w:tr w:rsidR="00442A2E" w:rsidRPr="001F0211" w:rsidTr="001F0211">
        <w:trPr>
          <w:tblCellSpacing w:w="0" w:type="dxa"/>
        </w:trPr>
        <w:tc>
          <w:tcPr>
            <w:tcW w:w="0" w:type="auto"/>
            <w:gridSpan w:val="3"/>
            <w:tcBorders>
              <w:top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b/>
                <w:bCs/>
                <w:sz w:val="28"/>
                <w:szCs w:val="28"/>
              </w:rPr>
              <w:t>Страны с высоким уровнем дохода на душу населения</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6</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Швейцария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65,330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14</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США</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47,580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18</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Великобритания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45,390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22</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Германия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42,440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23</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Франция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42,2502</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30</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Япония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38,210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32</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Италия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35,240</w:t>
            </w:r>
          </w:p>
        </w:tc>
      </w:tr>
      <w:tr w:rsidR="00442A2E" w:rsidRPr="001F0211" w:rsidTr="001F0211">
        <w:trPr>
          <w:tblCellSpacing w:w="0" w:type="dxa"/>
        </w:trPr>
        <w:tc>
          <w:tcPr>
            <w:tcW w:w="0" w:type="auto"/>
            <w:gridSpan w:val="3"/>
            <w:tcBorders>
              <w:top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b/>
                <w:bCs/>
                <w:sz w:val="28"/>
                <w:szCs w:val="28"/>
              </w:rPr>
              <w:t xml:space="preserve">Страны со средним уровнем дохода на душу населения (выше среднего) </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74</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Мексика</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9,980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75</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Российская Федерация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9,620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77</w:t>
            </w:r>
          </w:p>
        </w:tc>
        <w:tc>
          <w:tcPr>
            <w:tcW w:w="0" w:type="auto"/>
            <w:tcBorders>
              <w:top w:val="outset" w:sz="6" w:space="0" w:color="000000"/>
              <w:left w:val="outset" w:sz="6" w:space="0" w:color="000000"/>
              <w:bottom w:val="outset" w:sz="6" w:space="0" w:color="000000"/>
              <w:right w:val="outset" w:sz="6" w:space="0" w:color="000000"/>
            </w:tcBorders>
            <w:vAlign w:val="center"/>
          </w:tcPr>
          <w:p w:rsidR="00442A2E" w:rsidRPr="001F0211" w:rsidRDefault="00442A2E" w:rsidP="001F0211">
            <w:pPr>
              <w:contextualSpacing/>
              <w:rPr>
                <w:sz w:val="28"/>
                <w:szCs w:val="28"/>
              </w:rPr>
            </w:pPr>
            <w:r w:rsidRPr="001F0211">
              <w:rPr>
                <w:sz w:val="28"/>
                <w:szCs w:val="28"/>
              </w:rPr>
              <w:t>Турция</w:t>
            </w:r>
          </w:p>
        </w:tc>
        <w:tc>
          <w:tcPr>
            <w:tcW w:w="0" w:type="auto"/>
            <w:tcBorders>
              <w:top w:val="outset" w:sz="6" w:space="0" w:color="000000"/>
              <w:left w:val="outset" w:sz="6" w:space="0" w:color="000000"/>
              <w:bottom w:val="outset" w:sz="6" w:space="0" w:color="000000"/>
            </w:tcBorders>
            <w:vAlign w:val="center"/>
          </w:tcPr>
          <w:p w:rsidR="00442A2E" w:rsidRPr="001F0211" w:rsidRDefault="00442A2E" w:rsidP="001F0211">
            <w:pPr>
              <w:contextualSpacing/>
              <w:rPr>
                <w:sz w:val="28"/>
                <w:szCs w:val="28"/>
              </w:rPr>
            </w:pPr>
            <w:r w:rsidRPr="001F0211">
              <w:rPr>
                <w:sz w:val="28"/>
                <w:szCs w:val="28"/>
              </w:rPr>
              <w:t>9,340</w:t>
            </w:r>
          </w:p>
        </w:tc>
      </w:tr>
    </w:tbl>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1 В таблице приводится перечень стран с подтвержденной оценкой размера валового национального дохода на душу населения, рассчитанной по методологии Atlas Method. Текущие данные приведены по состоянию на 2008 год (опубликованы в 2009 году).</w:t>
      </w:r>
    </w:p>
    <w:p w:rsidR="00442A2E" w:rsidRPr="001F0211" w:rsidRDefault="00442A2E" w:rsidP="001F0211">
      <w:pPr>
        <w:contextualSpacing/>
        <w:rPr>
          <w:sz w:val="28"/>
          <w:szCs w:val="28"/>
        </w:rPr>
      </w:pPr>
      <w:r w:rsidRPr="001F0211">
        <w:rPr>
          <w:sz w:val="28"/>
          <w:szCs w:val="28"/>
        </w:rPr>
        <w:t>2 Данные не включают турецкий Кипр.</w: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b/>
          <w:bCs/>
          <w:sz w:val="28"/>
          <w:szCs w:val="28"/>
        </w:rPr>
        <w:t xml:space="preserve"> Динамика торговли товарами Россия - Мексика.</w:t>
      </w:r>
    </w:p>
    <w:p w:rsidR="00442A2E" w:rsidRPr="001F0211" w:rsidRDefault="00442A2E" w:rsidP="001F0211">
      <w:pPr>
        <w:contextualSpacing/>
        <w:rPr>
          <w:sz w:val="28"/>
          <w:szCs w:val="28"/>
        </w:rPr>
      </w:pPr>
      <w:r w:rsidRPr="001F0211">
        <w:rPr>
          <w:sz w:val="28"/>
          <w:szCs w:val="28"/>
        </w:rPr>
        <w:t>Динамика торговли товарами по данным Федеральной таможенной службы Российской Федерации, товарооборот России с Мексикой характеризуется следующими данными (млн. долл):</w: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b/>
          <w:bCs/>
          <w:sz w:val="28"/>
          <w:szCs w:val="28"/>
        </w:rPr>
        <w:t>Таблица № 3</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2105"/>
        <w:gridCol w:w="900"/>
        <w:gridCol w:w="1392"/>
        <w:gridCol w:w="1392"/>
        <w:gridCol w:w="2673"/>
      </w:tblGrid>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2005</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2006</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2007</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Январь - Июль 2008</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Товарооборот</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295,3</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433,2</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697,1</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607,0</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Темпы роста,%</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21,2</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46,6</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60,9</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77,2</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Экспорт</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208,5</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248,2</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285,1</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237,4</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Темпы роста,%</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15,6</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19,0</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14,9</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35,3</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Импорт</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86,8</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185,0</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412,0</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369,5</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Темпы роста,%</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37,3</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в 2,1 раза</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в 2,2 раза</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в 2,2 раза</w:t>
            </w:r>
          </w:p>
        </w:tc>
      </w:tr>
      <w:tr w:rsidR="00442A2E" w:rsidRPr="001F0211" w:rsidTr="001F0211">
        <w:trPr>
          <w:tblCellSpacing w:w="0" w:type="dxa"/>
        </w:trPr>
        <w:tc>
          <w:tcPr>
            <w:tcW w:w="0" w:type="auto"/>
            <w:tcBorders>
              <w:top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Сальдо</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121,7</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63,2</w:t>
            </w:r>
          </w:p>
        </w:tc>
        <w:tc>
          <w:tcPr>
            <w:tcW w:w="0" w:type="auto"/>
            <w:tcBorders>
              <w:top w:val="outset" w:sz="6" w:space="0" w:color="000000"/>
              <w:left w:val="outset" w:sz="6" w:space="0" w:color="000000"/>
              <w:bottom w:val="outset" w:sz="6" w:space="0" w:color="000000"/>
              <w:right w:val="outset" w:sz="6" w:space="0" w:color="000000"/>
            </w:tcBorders>
          </w:tcPr>
          <w:p w:rsidR="00442A2E" w:rsidRPr="001F0211" w:rsidRDefault="00442A2E" w:rsidP="001F0211">
            <w:pPr>
              <w:contextualSpacing/>
              <w:rPr>
                <w:sz w:val="28"/>
                <w:szCs w:val="28"/>
              </w:rPr>
            </w:pPr>
            <w:r w:rsidRPr="001F0211">
              <w:rPr>
                <w:sz w:val="28"/>
                <w:szCs w:val="28"/>
              </w:rPr>
              <w:t>-126,9</w:t>
            </w:r>
          </w:p>
        </w:tc>
        <w:tc>
          <w:tcPr>
            <w:tcW w:w="0" w:type="auto"/>
            <w:tcBorders>
              <w:top w:val="outset" w:sz="6" w:space="0" w:color="000000"/>
              <w:left w:val="outset" w:sz="6" w:space="0" w:color="000000"/>
              <w:bottom w:val="outset" w:sz="6" w:space="0" w:color="000000"/>
            </w:tcBorders>
          </w:tcPr>
          <w:p w:rsidR="00442A2E" w:rsidRPr="001F0211" w:rsidRDefault="00442A2E" w:rsidP="001F0211">
            <w:pPr>
              <w:contextualSpacing/>
              <w:rPr>
                <w:sz w:val="28"/>
                <w:szCs w:val="28"/>
              </w:rPr>
            </w:pPr>
            <w:r w:rsidRPr="001F0211">
              <w:rPr>
                <w:sz w:val="28"/>
                <w:szCs w:val="28"/>
              </w:rPr>
              <w:t>-132,1</w:t>
            </w:r>
          </w:p>
        </w:tc>
      </w:tr>
    </w:tbl>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В 2007 году на долю Мексики приходилось 0,1% российского экспорта и 0,1% импорта. Для Мексики Россия также не входит в число основных торговых партнеров: удельный вес России в мексиканском экспорте в 2007 году составил 0,001%.</w:t>
      </w:r>
    </w:p>
    <w:p w:rsidR="00442A2E" w:rsidRPr="001F0211" w:rsidRDefault="00442A2E" w:rsidP="001F0211">
      <w:pPr>
        <w:contextualSpacing/>
        <w:rPr>
          <w:sz w:val="28"/>
          <w:szCs w:val="28"/>
        </w:rPr>
      </w:pPr>
      <w:r w:rsidRPr="001F0211">
        <w:rPr>
          <w:sz w:val="28"/>
          <w:szCs w:val="28"/>
        </w:rPr>
        <w:t>Структура экспорта России в Мексику в 2007 году представлена в диаграмме № 1:</w: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b/>
          <w:bCs/>
          <w:sz w:val="28"/>
          <w:szCs w:val="28"/>
        </w:rPr>
        <w:t>Диаграмма № 1</w:t>
      </w:r>
    </w:p>
    <w:p w:rsidR="00442A2E" w:rsidRPr="001F0211" w:rsidRDefault="00FA7391" w:rsidP="001F0211">
      <w:pPr>
        <w:contextualSpacing/>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Экономика Мексики. Торговое сотрудничество с Российской Федерацией" style="width:387pt;height:187.5pt;visibility:visible">
            <v:imagedata r:id="rId7" o:title=""/>
          </v:shape>
        </w:pic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Структура импорта России из Мексики в 2007 году представлена двумя диаграммами, в одной из них представлены составляющие машинно-технической продукции (диаграмма № 2), а во второй общий объем импорта (диаграмма № 3):</w:t>
      </w:r>
    </w:p>
    <w:p w:rsidR="00442A2E" w:rsidRDefault="00442A2E" w:rsidP="001F0211">
      <w:pPr>
        <w:contextualSpacing/>
        <w:rPr>
          <w:sz w:val="28"/>
          <w:szCs w:val="28"/>
        </w:rPr>
      </w:pPr>
    </w:p>
    <w:p w:rsidR="00442A2E" w:rsidRDefault="00442A2E" w:rsidP="001F0211">
      <w:pPr>
        <w:contextualSpacing/>
        <w:rPr>
          <w:sz w:val="28"/>
          <w:szCs w:val="28"/>
        </w:rPr>
      </w:pPr>
    </w:p>
    <w:p w:rsidR="00442A2E" w:rsidRDefault="00442A2E" w:rsidP="001F0211">
      <w:pPr>
        <w:contextualSpacing/>
        <w:rPr>
          <w:sz w:val="28"/>
          <w:szCs w:val="28"/>
        </w:rPr>
      </w:pP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b/>
          <w:bCs/>
          <w:sz w:val="28"/>
          <w:szCs w:val="28"/>
        </w:rPr>
        <w:t>Диаграмма № 2</w:t>
      </w:r>
    </w:p>
    <w:p w:rsidR="00442A2E" w:rsidRPr="001F0211" w:rsidRDefault="00FA7391" w:rsidP="001F0211">
      <w:pPr>
        <w:contextualSpacing/>
        <w:rPr>
          <w:sz w:val="28"/>
          <w:szCs w:val="28"/>
        </w:rPr>
      </w:pPr>
      <w:r>
        <w:rPr>
          <w:noProof/>
          <w:sz w:val="28"/>
          <w:szCs w:val="28"/>
        </w:rPr>
        <w:pict>
          <v:shape id="Рисунок 4" o:spid="_x0000_i1026" type="#_x0000_t75" alt="Экономика Мексики. Торговое сотрудничество с Российской Федерацией" style="width:342pt;height:187.5pt;visibility:visible">
            <v:imagedata r:id="rId8" o:title=""/>
          </v:shape>
        </w:pic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b/>
          <w:bCs/>
          <w:sz w:val="28"/>
          <w:szCs w:val="28"/>
        </w:rPr>
        <w:t>Диаграмма № 3</w:t>
      </w:r>
    </w:p>
    <w:p w:rsidR="00442A2E" w:rsidRPr="001F0211" w:rsidRDefault="00FA7391" w:rsidP="001F0211">
      <w:pPr>
        <w:contextualSpacing/>
        <w:rPr>
          <w:sz w:val="28"/>
          <w:szCs w:val="28"/>
        </w:rPr>
      </w:pPr>
      <w:r>
        <w:rPr>
          <w:noProof/>
          <w:sz w:val="28"/>
          <w:szCs w:val="28"/>
        </w:rPr>
        <w:pict>
          <v:shape id="Рисунок 3" o:spid="_x0000_i1027" type="#_x0000_t75" alt="Экономика Мексики. Торговое сотрудничество с Российской Федерацией" style="width:352.5pt;height:198pt;visibility:visible">
            <v:imagedata r:id="rId9" o:title=""/>
          </v:shape>
        </w:pict>
      </w:r>
    </w:p>
    <w:p w:rsidR="00442A2E" w:rsidRPr="001F0211" w:rsidRDefault="00442A2E" w:rsidP="001F0211">
      <w:pPr>
        <w:contextualSpacing/>
        <w:rPr>
          <w:sz w:val="28"/>
          <w:szCs w:val="28"/>
        </w:rPr>
      </w:pPr>
    </w:p>
    <w:p w:rsidR="00442A2E" w:rsidRPr="001F0211" w:rsidRDefault="00442A2E" w:rsidP="001F0211">
      <w:pPr>
        <w:contextualSpacing/>
        <w:rPr>
          <w:sz w:val="28"/>
          <w:szCs w:val="28"/>
        </w:rPr>
      </w:pPr>
      <w:r w:rsidRPr="001F0211">
        <w:rPr>
          <w:sz w:val="28"/>
          <w:szCs w:val="28"/>
        </w:rPr>
        <w:t>В последние годы произошли коренные изменения в российско-мексиканских торгово-экономических связях:</w:t>
      </w:r>
    </w:p>
    <w:p w:rsidR="00442A2E" w:rsidRPr="001F0211" w:rsidRDefault="00442A2E" w:rsidP="001F0211">
      <w:pPr>
        <w:contextualSpacing/>
        <w:rPr>
          <w:sz w:val="28"/>
          <w:szCs w:val="28"/>
        </w:rPr>
      </w:pPr>
      <w:r w:rsidRPr="001F0211">
        <w:rPr>
          <w:sz w:val="28"/>
          <w:szCs w:val="28"/>
        </w:rPr>
        <w:t>активно развивается двустороннее торгово-экономическое сотрудничество в целом, в том числе как результат развития политического диалога на высшем уровне;</w:t>
      </w:r>
    </w:p>
    <w:p w:rsidR="00442A2E" w:rsidRPr="001F0211" w:rsidRDefault="00442A2E" w:rsidP="001F0211">
      <w:pPr>
        <w:contextualSpacing/>
        <w:rPr>
          <w:sz w:val="28"/>
          <w:szCs w:val="28"/>
        </w:rPr>
      </w:pPr>
      <w:r w:rsidRPr="001F0211">
        <w:rPr>
          <w:sz w:val="28"/>
          <w:szCs w:val="28"/>
        </w:rPr>
        <w:t>товарооборот увеличился до максимального в истории взаимной торговли уровня, достигнув в 2007 году 697,1 млн. долл.;</w:t>
      </w:r>
    </w:p>
    <w:p w:rsidR="00442A2E" w:rsidRPr="001F0211" w:rsidRDefault="00442A2E" w:rsidP="001F0211">
      <w:pPr>
        <w:contextualSpacing/>
        <w:rPr>
          <w:sz w:val="28"/>
          <w:szCs w:val="28"/>
        </w:rPr>
      </w:pPr>
      <w:r w:rsidRPr="001F0211">
        <w:rPr>
          <w:sz w:val="28"/>
          <w:szCs w:val="28"/>
        </w:rPr>
        <w:t>рост товарооборота в 2007 году произошел в основном за счет роста импорта из Мексики;</w:t>
      </w:r>
    </w:p>
    <w:p w:rsidR="00442A2E" w:rsidRPr="001F0211" w:rsidRDefault="00442A2E" w:rsidP="001F0211">
      <w:pPr>
        <w:contextualSpacing/>
        <w:rPr>
          <w:sz w:val="28"/>
          <w:szCs w:val="28"/>
        </w:rPr>
      </w:pPr>
      <w:r w:rsidRPr="001F0211">
        <w:rPr>
          <w:sz w:val="28"/>
          <w:szCs w:val="28"/>
        </w:rPr>
        <w:t>номенклатура экспорта и импорта существенно расширилась;</w:t>
      </w:r>
    </w:p>
    <w:p w:rsidR="00442A2E" w:rsidRPr="001F0211" w:rsidRDefault="00442A2E" w:rsidP="001F0211">
      <w:pPr>
        <w:contextualSpacing/>
        <w:rPr>
          <w:sz w:val="28"/>
          <w:szCs w:val="28"/>
        </w:rPr>
      </w:pPr>
      <w:r w:rsidRPr="001F0211">
        <w:rPr>
          <w:sz w:val="28"/>
          <w:szCs w:val="28"/>
        </w:rPr>
        <w:t>Мексика перестала быть поставщиком на российский рынок только продукции тропического земледелия, и в настоящее время экспортирует в Россию главным образом машины, оборудование и транспортные средства;</w:t>
      </w:r>
    </w:p>
    <w:p w:rsidR="00442A2E" w:rsidRPr="001F0211" w:rsidRDefault="00442A2E" w:rsidP="001F0211">
      <w:pPr>
        <w:contextualSpacing/>
        <w:rPr>
          <w:sz w:val="28"/>
          <w:szCs w:val="28"/>
        </w:rPr>
      </w:pPr>
      <w:r w:rsidRPr="001F0211">
        <w:rPr>
          <w:sz w:val="28"/>
          <w:szCs w:val="28"/>
        </w:rPr>
        <w:t>Отмечается активизация деятельности российских компаний на мексиканском рынке (в Мексике открыли свои представительства ОАО "Силовые машины", ОАО "СПАРК", ОАО "Камов-Холдинг", ОАО "УРАЛАЗ");</w:t>
      </w:r>
    </w:p>
    <w:p w:rsidR="00442A2E" w:rsidRPr="001F0211" w:rsidRDefault="00442A2E" w:rsidP="001F0211">
      <w:pPr>
        <w:contextualSpacing/>
        <w:rPr>
          <w:sz w:val="28"/>
          <w:szCs w:val="28"/>
        </w:rPr>
      </w:pPr>
      <w:r w:rsidRPr="001F0211">
        <w:rPr>
          <w:sz w:val="28"/>
          <w:szCs w:val="28"/>
        </w:rPr>
        <w:t>Создан механизм межбанковских расчетов (подписаны Соглашение о сотрудничестве между Внешторгбанком и Национальным банком внешней торговли Мексики, а также Соглашение о сотрудничестве между Внешэкономбанком и Национальным банком внешней торговли Мексики в области совместного финансирования экспорта в третьи страны).</w:t>
      </w:r>
    </w:p>
    <w:p w:rsidR="00442A2E" w:rsidRPr="001F0211" w:rsidRDefault="00442A2E" w:rsidP="001F0211">
      <w:pPr>
        <w:contextualSpacing/>
        <w:rPr>
          <w:sz w:val="28"/>
          <w:szCs w:val="28"/>
        </w:rPr>
      </w:pPr>
      <w:r w:rsidRPr="001F0211">
        <w:rPr>
          <w:sz w:val="28"/>
          <w:szCs w:val="28"/>
        </w:rPr>
        <w:t>В мае 2007 года ОАО "Силовые машины" в консорциуме с тремя мексиканскими компаниями завершило исполнение контракта на поставку оборудования для машинного зала и напорного водовода для ГЭС "Эль Кахон" (2х 375 МВт; общая стоимость проекта - 748,4 млн. долл., российская часть - 158 млн. долл). станция пущена в эксплуатацию в августе 2007 года.</w:t>
      </w:r>
    </w:p>
    <w:p w:rsidR="00442A2E" w:rsidRPr="001F0211" w:rsidRDefault="00442A2E" w:rsidP="001F0211">
      <w:pPr>
        <w:contextualSpacing/>
        <w:rPr>
          <w:sz w:val="28"/>
          <w:szCs w:val="28"/>
        </w:rPr>
      </w:pPr>
      <w:r w:rsidRPr="001F0211">
        <w:rPr>
          <w:sz w:val="28"/>
          <w:szCs w:val="28"/>
        </w:rPr>
        <w:t>В сентябре 2007 года ОАО "Силовые машины" в составе консорциума с мексиканскими строительными компаниями выиграло торги на поставку гидротурбин и гидрогенераторов ГЭС "Ла Йеска" (2х 375 МВт).</w:t>
      </w:r>
    </w:p>
    <w:p w:rsidR="00442A2E" w:rsidRPr="001F0211" w:rsidRDefault="00442A2E" w:rsidP="001F0211">
      <w:pPr>
        <w:contextualSpacing/>
        <w:rPr>
          <w:sz w:val="28"/>
          <w:szCs w:val="28"/>
        </w:rPr>
      </w:pPr>
      <w:r w:rsidRPr="001F0211">
        <w:rPr>
          <w:sz w:val="28"/>
          <w:szCs w:val="28"/>
        </w:rPr>
        <w:t>По данным за 2006 год, в Мексике зарегистрировано 35 предприятий с участием российского капитала, 17 из которых действует в сфере услуг (в основном в области туризма), 10 - в торговле, 5 - в обрабатывающей промышленности, 3 - в строительстве, за период с 1994 - 2007 г. г. объем инвестиций из России в мексиканскую экономику составил около 3 млн. долл.</w:t>
      </w:r>
    </w:p>
    <w:p w:rsidR="00442A2E" w:rsidRPr="001F0211" w:rsidRDefault="00442A2E" w:rsidP="001F0211">
      <w:pPr>
        <w:contextualSpacing/>
        <w:rPr>
          <w:sz w:val="28"/>
          <w:szCs w:val="28"/>
        </w:rPr>
      </w:pPr>
      <w:r w:rsidRPr="001F0211">
        <w:rPr>
          <w:sz w:val="28"/>
          <w:szCs w:val="28"/>
        </w:rPr>
        <w:t>Перспективы сотрудничества по развитию нефтегазовых ресурсов и газовой инфраструктуры Мексики обсудили в Москве в декабре 2009 года председатель правления ОАО "Газпром" Алексей Миллер с министром энергетики Мексики в России Альфредо Пересом Браво.</w:t>
      </w:r>
    </w:p>
    <w:p w:rsidR="00442A2E" w:rsidRPr="001F0211" w:rsidRDefault="00442A2E" w:rsidP="001F0211">
      <w:pPr>
        <w:contextualSpacing/>
        <w:rPr>
          <w:sz w:val="28"/>
          <w:szCs w:val="28"/>
        </w:rPr>
      </w:pPr>
      <w:r w:rsidRPr="001F0211">
        <w:rPr>
          <w:sz w:val="28"/>
          <w:szCs w:val="28"/>
        </w:rPr>
        <w:t>Участники встречи рассмотрели вопросы поставок в Мексику сжиженного природного газа с последующей его транспортировкой на рынок США, в рамках проекта "Сахалин-2".</w:t>
      </w:r>
    </w:p>
    <w:p w:rsidR="00442A2E" w:rsidRPr="001F0211" w:rsidRDefault="00442A2E" w:rsidP="001F0211">
      <w:pPr>
        <w:contextualSpacing/>
        <w:rPr>
          <w:sz w:val="28"/>
          <w:szCs w:val="28"/>
        </w:rPr>
      </w:pPr>
      <w:r w:rsidRPr="001F0211">
        <w:rPr>
          <w:sz w:val="28"/>
          <w:szCs w:val="28"/>
        </w:rPr>
        <w:t>В ходе переговоров стороны подтвердили заинтересованность в укреплении взаимовыгодного долгосрочного партнерства в энергетической сфере между ОАО "Газпром" и мексиканской компанией "Petroleos Mexicanos".</w:t>
      </w:r>
    </w:p>
    <w:p w:rsidR="00442A2E" w:rsidRPr="001F0211" w:rsidRDefault="00442A2E" w:rsidP="001F0211">
      <w:pPr>
        <w:contextualSpacing/>
        <w:rPr>
          <w:sz w:val="28"/>
          <w:szCs w:val="28"/>
        </w:rPr>
      </w:pPr>
      <w:r w:rsidRPr="001F0211">
        <w:rPr>
          <w:sz w:val="28"/>
          <w:szCs w:val="28"/>
        </w:rPr>
        <w:t>Доказанные запасы природного газа в Мексике составила 500 млрд. кубометров. Основные запасы газа находятся на севере страны. Кроме того, страна располагает значительными прогнозными ресурсами газа, в том числе на шельфе Мексиканского залива.</w:t>
      </w:r>
    </w:p>
    <w:p w:rsidR="00442A2E" w:rsidRPr="001F0211" w:rsidRDefault="00442A2E" w:rsidP="001F0211">
      <w:pPr>
        <w:contextualSpacing/>
        <w:rPr>
          <w:sz w:val="28"/>
          <w:szCs w:val="28"/>
        </w:rPr>
      </w:pPr>
      <w:r w:rsidRPr="001F0211">
        <w:rPr>
          <w:sz w:val="28"/>
          <w:szCs w:val="28"/>
        </w:rPr>
        <w:t>В 2008 году собственная добыча природного газа в Мексике 55 млрд. кубометров, внутреннее потребление - 67 млрд. кубометров, из них импорт из США составил около 10 млрд. кубометров. В энергобалансе страны природный газ составляет 27%.</w:t>
      </w:r>
    </w:p>
    <w:p w:rsidR="00442A2E" w:rsidRPr="001F0211" w:rsidRDefault="00442A2E" w:rsidP="001F0211">
      <w:pPr>
        <w:contextualSpacing/>
        <w:rPr>
          <w:sz w:val="28"/>
          <w:szCs w:val="28"/>
        </w:rPr>
      </w:pPr>
      <w:r w:rsidRPr="001F0211">
        <w:rPr>
          <w:sz w:val="28"/>
          <w:szCs w:val="28"/>
        </w:rPr>
        <w:t>В настоящее время министерством энергетики Мексики проводится политика замещения использования нефти природным газом.</w:t>
      </w:r>
    </w:p>
    <w:p w:rsidR="00442A2E" w:rsidRDefault="00442A2E" w:rsidP="00665490">
      <w:pPr>
        <w:contextualSpacing/>
        <w:rPr>
          <w:sz w:val="28"/>
          <w:szCs w:val="28"/>
        </w:rPr>
      </w:pPr>
    </w:p>
    <w:p w:rsidR="00442A2E" w:rsidRDefault="00442A2E" w:rsidP="00665490">
      <w:pPr>
        <w:contextualSpacing/>
        <w:rPr>
          <w:sz w:val="28"/>
          <w:szCs w:val="28"/>
        </w:rPr>
      </w:pPr>
    </w:p>
    <w:p w:rsidR="00442A2E" w:rsidRPr="001F0211" w:rsidRDefault="00442A2E" w:rsidP="001F0211">
      <w:pPr>
        <w:ind w:firstLine="680"/>
        <w:contextualSpacing/>
        <w:jc w:val="center"/>
        <w:rPr>
          <w:b/>
          <w:sz w:val="28"/>
          <w:szCs w:val="28"/>
        </w:rPr>
      </w:pPr>
      <w:r w:rsidRPr="001F0211">
        <w:rPr>
          <w:b/>
          <w:bCs/>
          <w:sz w:val="28"/>
          <w:szCs w:val="28"/>
        </w:rPr>
        <w:t>Заключение</w:t>
      </w:r>
    </w:p>
    <w:p w:rsidR="00442A2E" w:rsidRPr="001F0211" w:rsidRDefault="00442A2E" w:rsidP="001F0211">
      <w:pPr>
        <w:ind w:firstLine="680"/>
        <w:contextualSpacing/>
        <w:jc w:val="left"/>
        <w:rPr>
          <w:sz w:val="28"/>
          <w:szCs w:val="28"/>
        </w:rPr>
      </w:pPr>
    </w:p>
    <w:p w:rsidR="00442A2E" w:rsidRPr="001F0211" w:rsidRDefault="00442A2E" w:rsidP="001F0211">
      <w:pPr>
        <w:ind w:firstLine="680"/>
        <w:contextualSpacing/>
        <w:rPr>
          <w:sz w:val="28"/>
          <w:szCs w:val="28"/>
        </w:rPr>
      </w:pPr>
      <w:r w:rsidRPr="001F0211">
        <w:rPr>
          <w:sz w:val="28"/>
          <w:szCs w:val="28"/>
        </w:rPr>
        <w:t>Мексика - один из ключевых латиноамериканских партнеров России не только в региональных, но и международных делах.</w:t>
      </w:r>
    </w:p>
    <w:p w:rsidR="00442A2E" w:rsidRPr="001F0211" w:rsidRDefault="00442A2E" w:rsidP="001F0211">
      <w:pPr>
        <w:ind w:firstLine="680"/>
        <w:contextualSpacing/>
        <w:rPr>
          <w:sz w:val="28"/>
          <w:szCs w:val="28"/>
        </w:rPr>
      </w:pPr>
      <w:r w:rsidRPr="001F0211">
        <w:rPr>
          <w:sz w:val="28"/>
          <w:szCs w:val="28"/>
        </w:rPr>
        <w:t>В основе двустороннего взаимодействия лежат давние отношения дружбы и взаимовыгодного сотрудничества, подлинное уважение интересов друг друга, близость или совпадение подходов к большинству актуальных проблем современности.</w:t>
      </w:r>
    </w:p>
    <w:p w:rsidR="00442A2E" w:rsidRPr="001F0211" w:rsidRDefault="00442A2E" w:rsidP="001F0211">
      <w:pPr>
        <w:ind w:firstLine="680"/>
        <w:contextualSpacing/>
        <w:rPr>
          <w:sz w:val="28"/>
          <w:szCs w:val="28"/>
        </w:rPr>
      </w:pPr>
      <w:r w:rsidRPr="001F0211">
        <w:rPr>
          <w:sz w:val="28"/>
          <w:szCs w:val="28"/>
        </w:rPr>
        <w:t>Первые контакты между Россией и Мексикой начались еще в конце XVIII века. Торгово-экономические связи зародились на заре XIX века, а дипломатические отношения насчитывают уже более 100 лет.</w:t>
      </w:r>
    </w:p>
    <w:p w:rsidR="00442A2E" w:rsidRPr="001F0211" w:rsidRDefault="00442A2E" w:rsidP="001F0211">
      <w:pPr>
        <w:ind w:firstLine="680"/>
        <w:contextualSpacing/>
        <w:rPr>
          <w:sz w:val="28"/>
          <w:szCs w:val="28"/>
        </w:rPr>
      </w:pPr>
      <w:r w:rsidRPr="001F0211">
        <w:rPr>
          <w:sz w:val="28"/>
          <w:szCs w:val="28"/>
        </w:rPr>
        <w:t>По итогам официального визита в Москву Министра иностранных дел Мексики Х.А. Гуррии в январе 1997г. подписанная Декларация о принципах отношений и сотрудничества между Российской Федерацией и Мексиканскими Соединенными Штатами служит прочной основой для дальнейшего развития отношений сотрудничества на всех направлениях.</w:t>
      </w:r>
    </w:p>
    <w:p w:rsidR="00442A2E" w:rsidRPr="001F0211" w:rsidRDefault="00442A2E" w:rsidP="001F0211">
      <w:pPr>
        <w:ind w:firstLine="680"/>
        <w:contextualSpacing/>
        <w:rPr>
          <w:sz w:val="28"/>
          <w:szCs w:val="28"/>
        </w:rPr>
      </w:pPr>
      <w:r w:rsidRPr="001F0211">
        <w:rPr>
          <w:sz w:val="28"/>
          <w:szCs w:val="28"/>
        </w:rPr>
        <w:t>В последние годы значительно активизировались политические контакты с Мексикой, в т. ч. на высшем и высоком уровнях.В. В. Путин дважды встречался с предыдущим президентом Мексики, состоялись две встречи с нынешним главой мексиканского государства В. Фоксом.</w:t>
      </w:r>
    </w:p>
    <w:p w:rsidR="00442A2E" w:rsidRPr="001F0211" w:rsidRDefault="00442A2E" w:rsidP="001F0211">
      <w:pPr>
        <w:ind w:firstLine="680"/>
        <w:contextualSpacing/>
        <w:rPr>
          <w:sz w:val="28"/>
          <w:szCs w:val="28"/>
        </w:rPr>
      </w:pPr>
      <w:r w:rsidRPr="001F0211">
        <w:rPr>
          <w:sz w:val="28"/>
          <w:szCs w:val="28"/>
        </w:rPr>
        <w:t>В октябре 2008 г. В Москве прошла встреча министров иностранных дел С. Лаврова и П. Эспиносы, в ходе которого было подписано совместное заявление по итогам визита.</w:t>
      </w:r>
    </w:p>
    <w:p w:rsidR="00442A2E" w:rsidRPr="001F0211" w:rsidRDefault="00442A2E" w:rsidP="001F0211">
      <w:pPr>
        <w:ind w:firstLine="680"/>
        <w:contextualSpacing/>
        <w:rPr>
          <w:sz w:val="28"/>
          <w:szCs w:val="28"/>
        </w:rPr>
      </w:pPr>
      <w:r w:rsidRPr="001F0211">
        <w:rPr>
          <w:sz w:val="28"/>
          <w:szCs w:val="28"/>
        </w:rPr>
        <w:t>Совпадение или близость подходов Москвы и Мехико к большинству актуальных проблем современности создают прочную основу для углубления взаимодействия двух стран на различных международных форумах, прежде всего в ООН.</w:t>
      </w:r>
    </w:p>
    <w:p w:rsidR="00442A2E" w:rsidRPr="001F0211" w:rsidRDefault="00442A2E" w:rsidP="001F0211">
      <w:pPr>
        <w:ind w:firstLine="680"/>
        <w:contextualSpacing/>
        <w:rPr>
          <w:sz w:val="28"/>
          <w:szCs w:val="28"/>
        </w:rPr>
      </w:pPr>
      <w:r w:rsidRPr="001F0211">
        <w:rPr>
          <w:sz w:val="28"/>
          <w:szCs w:val="28"/>
        </w:rPr>
        <w:t>Россию и Мексику объединяет стремление содействовать созданию многополюсной модели мира, укреплению центральной роли ООН и ее Совета Безопасности в обеспечении международной стабильности, разрешении конфликтных ситуаций в "горячих точках" планеты, в частности в Ираке и на Ближнем Востоке, а также понимание важности продолжения процесса разоружения, предотвращения распространения оружия массового уничтожения.</w:t>
      </w:r>
    </w:p>
    <w:p w:rsidR="00442A2E" w:rsidRPr="001F0211" w:rsidRDefault="00442A2E" w:rsidP="001F0211">
      <w:pPr>
        <w:ind w:firstLine="680"/>
        <w:contextualSpacing/>
        <w:rPr>
          <w:sz w:val="28"/>
          <w:szCs w:val="28"/>
        </w:rPr>
      </w:pPr>
      <w:r w:rsidRPr="001F0211">
        <w:rPr>
          <w:sz w:val="28"/>
          <w:szCs w:val="28"/>
        </w:rPr>
        <w:t>21 октября 2009 года на базе Центра изучения иностранных языков Национального автономного университета Мексики (CELE UNAM) при непосредственном участии Представительства Россотрудничества в Мексике была открыта выставка "Трагедия Южной Осетии и Абхазии" в рамках организованных 2-недельных мероприятий под общим названием "Россия сегодня". Собравшейся аудитории были показаны документальные фильмы Р.Ф. Ортиса "Осетия - 08.08.08." и "Россия в 21 веке - Москва". Отвечая на вопросы зрителей, мексиканец подчеркнул, что трагические события, произошедшие на Южном Кавказе в августе 2008 года, напрямую связаны с антироссийской политикой Дж. Буша, который на протяжении долгого времени оказывал материальную и финансовую поддержку Грузии М. Саакашвили. Была отмечена необходимость проведения подобных мероприятий, позволяющая студентам создать свою собственную картину трагических событий в отношении Южной Осетии и Абхазии. И также было отмечено, что не стоит навязывать свою точку зрения мировой общественности, а необходимо объективно рассматривать любые кризисные ситуации, получая информацию с обеих сторон.</w:t>
      </w:r>
    </w:p>
    <w:p w:rsidR="00442A2E" w:rsidRPr="001F0211" w:rsidRDefault="00442A2E" w:rsidP="001F0211">
      <w:pPr>
        <w:ind w:firstLine="680"/>
        <w:contextualSpacing/>
        <w:rPr>
          <w:sz w:val="28"/>
          <w:szCs w:val="28"/>
        </w:rPr>
      </w:pPr>
      <w:r w:rsidRPr="001F0211">
        <w:rPr>
          <w:sz w:val="28"/>
          <w:szCs w:val="28"/>
        </w:rPr>
        <w:t>Обе страны едины в том, что серьезную угрозу международной безопасности представляют такие явления, как терроризм, сепаратизм и религиозный экстремизм. Москва и Мехико заинтересованы в дальнейшем наращивании эффективного сотрудничества в интересах противодействия новым вызовам и угрозам, в том числе наркотрафику, транснациональной организованной преступности, включая незаконный оборот оружия, коррупцию, легализацию (отмывание) доходов, полученных преступным путем, торговлю людьми.</w:t>
      </w:r>
    </w:p>
    <w:p w:rsidR="00442A2E" w:rsidRPr="001F0211" w:rsidRDefault="00442A2E" w:rsidP="001F0211">
      <w:pPr>
        <w:ind w:firstLine="680"/>
        <w:contextualSpacing/>
        <w:rPr>
          <w:sz w:val="28"/>
          <w:szCs w:val="28"/>
        </w:rPr>
      </w:pPr>
      <w:r w:rsidRPr="001F0211">
        <w:rPr>
          <w:sz w:val="28"/>
          <w:szCs w:val="28"/>
        </w:rPr>
        <w:t>Политические контакты способствуют дальнейшему расширению договорно-правовой базы отношений между двумя странами, упрочению торгово-экономических и научно-технических связей, контактов в области науки, образования и культуры.</w:t>
      </w:r>
    </w:p>
    <w:p w:rsidR="00442A2E" w:rsidRPr="001F0211" w:rsidRDefault="00442A2E" w:rsidP="001F0211">
      <w:pPr>
        <w:ind w:firstLine="680"/>
        <w:contextualSpacing/>
        <w:rPr>
          <w:sz w:val="28"/>
          <w:szCs w:val="28"/>
        </w:rPr>
      </w:pPr>
      <w:r w:rsidRPr="001F0211">
        <w:rPr>
          <w:sz w:val="28"/>
          <w:szCs w:val="28"/>
        </w:rPr>
        <w:t>Существует ряд интересных и перспективных проектов сотрудничества в различных областях, прежде всего, в энергетике. Значительные резервы имеются в продвижении на мексиканский рынок отечественных высоких технологий, взаимодействии в нефтегазовой отрасли.</w:t>
      </w:r>
    </w:p>
    <w:p w:rsidR="00442A2E" w:rsidRPr="001F0211" w:rsidRDefault="00442A2E" w:rsidP="001F0211">
      <w:pPr>
        <w:ind w:firstLine="680"/>
        <w:contextualSpacing/>
        <w:rPr>
          <w:sz w:val="28"/>
          <w:szCs w:val="28"/>
        </w:rPr>
      </w:pPr>
      <w:r w:rsidRPr="001F0211">
        <w:rPr>
          <w:sz w:val="28"/>
          <w:szCs w:val="28"/>
        </w:rPr>
        <w:t>Россия намерена укреплять связи с Мексикой в рамках АТЭС. Обе страны рассматривают этот форум не только как уникальную для АТР многостороннюю структуру диалога по ключевым вопросам торгово-экономического сотрудничества в регионе, но и в качестве эффективного механизма взаимодействия в решении общемировых проблем.</w:t>
      </w:r>
    </w:p>
    <w:p w:rsidR="00442A2E" w:rsidRPr="001F0211" w:rsidRDefault="00442A2E" w:rsidP="001F0211">
      <w:pPr>
        <w:ind w:firstLine="680"/>
        <w:contextualSpacing/>
        <w:rPr>
          <w:sz w:val="28"/>
          <w:szCs w:val="28"/>
        </w:rPr>
      </w:pPr>
      <w:r w:rsidRPr="001F0211">
        <w:rPr>
          <w:sz w:val="28"/>
          <w:szCs w:val="28"/>
        </w:rPr>
        <w:t>22-24 сентября 2009 года в МВЦ "Крокус Экспо" прошла VII Международная выставка по франчайзингу и другим бизнес-возможностям "BUYBRAND 2009".</w:t>
      </w:r>
    </w:p>
    <w:p w:rsidR="00442A2E" w:rsidRPr="001F0211" w:rsidRDefault="00442A2E" w:rsidP="001F0211">
      <w:pPr>
        <w:ind w:firstLine="680"/>
        <w:contextualSpacing/>
        <w:rPr>
          <w:sz w:val="28"/>
          <w:szCs w:val="28"/>
        </w:rPr>
      </w:pPr>
      <w:r w:rsidRPr="001F0211">
        <w:rPr>
          <w:sz w:val="28"/>
          <w:szCs w:val="28"/>
        </w:rPr>
        <w:t>В рамках выставки "BUYBRAND 2009" прошел Международный Форум "Франчайзинг в России. Преимущества франчайзинга в условиях финансово-экономического кризиса".</w:t>
      </w:r>
    </w:p>
    <w:p w:rsidR="00442A2E" w:rsidRPr="001F0211" w:rsidRDefault="00442A2E" w:rsidP="001F0211">
      <w:pPr>
        <w:ind w:firstLine="680"/>
        <w:contextualSpacing/>
        <w:rPr>
          <w:sz w:val="28"/>
          <w:szCs w:val="28"/>
        </w:rPr>
      </w:pPr>
      <w:r w:rsidRPr="001F0211">
        <w:rPr>
          <w:sz w:val="28"/>
          <w:szCs w:val="28"/>
        </w:rPr>
        <w:t>В работе Форума приняли участие ведущие международные эксперты из Мексики и других стран.</w:t>
      </w:r>
    </w:p>
    <w:p w:rsidR="00442A2E" w:rsidRPr="001F0211" w:rsidRDefault="00442A2E" w:rsidP="001F0211">
      <w:pPr>
        <w:ind w:firstLine="680"/>
        <w:contextualSpacing/>
        <w:rPr>
          <w:sz w:val="28"/>
          <w:szCs w:val="28"/>
        </w:rPr>
      </w:pPr>
      <w:r w:rsidRPr="001F0211">
        <w:rPr>
          <w:sz w:val="28"/>
          <w:szCs w:val="28"/>
        </w:rPr>
        <w:t>На Западе же существуют специальные банковские программы. Предприниматели Индии, Великобритании, Австрии, Испании и Франции имеют возможность получить кредит под открытие франчайзингового предприятия под 7-8%, Турции и Мексики - в среднем под 18%.</w:t>
      </w:r>
    </w:p>
    <w:p w:rsidR="00442A2E" w:rsidRPr="001F0211" w:rsidRDefault="00442A2E" w:rsidP="001F0211">
      <w:pPr>
        <w:ind w:firstLine="680"/>
        <w:contextualSpacing/>
        <w:rPr>
          <w:sz w:val="28"/>
          <w:szCs w:val="28"/>
        </w:rPr>
      </w:pPr>
      <w:r w:rsidRPr="001F0211">
        <w:rPr>
          <w:sz w:val="28"/>
          <w:szCs w:val="28"/>
        </w:rPr>
        <w:t>В Мексике также существует государственная программа, предусматривающая субсидирование создания франчайзингового предприятия в размере 20 000 долларов США.</w:t>
      </w: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F0211">
      <w:pPr>
        <w:contextualSpacing/>
        <w:rPr>
          <w:b/>
          <w:sz w:val="28"/>
          <w:szCs w:val="28"/>
        </w:rPr>
      </w:pPr>
    </w:p>
    <w:p w:rsidR="00442A2E" w:rsidRDefault="00442A2E" w:rsidP="001027FD">
      <w:pPr>
        <w:ind w:firstLine="0"/>
        <w:contextualSpacing/>
        <w:rPr>
          <w:b/>
          <w:sz w:val="28"/>
          <w:szCs w:val="28"/>
        </w:rPr>
      </w:pPr>
    </w:p>
    <w:p w:rsidR="00442A2E" w:rsidRDefault="00442A2E" w:rsidP="001027FD">
      <w:pPr>
        <w:pStyle w:val="ad"/>
        <w:widowControl/>
        <w:spacing w:line="360" w:lineRule="auto"/>
        <w:rPr>
          <w:b/>
          <w:bCs/>
          <w:color w:val="000000"/>
          <w:sz w:val="32"/>
          <w:szCs w:val="32"/>
        </w:rPr>
      </w:pPr>
      <w:r>
        <w:rPr>
          <w:b/>
          <w:sz w:val="28"/>
          <w:szCs w:val="28"/>
        </w:rPr>
        <w:t xml:space="preserve"> </w:t>
      </w:r>
      <w:r>
        <w:rPr>
          <w:b/>
          <w:bCs/>
          <w:color w:val="000000"/>
          <w:sz w:val="32"/>
          <w:szCs w:val="32"/>
        </w:rPr>
        <w:t>Список  использованной литературы:</w:t>
      </w:r>
    </w:p>
    <w:p w:rsidR="00442A2E" w:rsidRDefault="00442A2E" w:rsidP="001027FD">
      <w:pPr>
        <w:pStyle w:val="ad"/>
        <w:widowControl/>
        <w:numPr>
          <w:ilvl w:val="0"/>
          <w:numId w:val="1"/>
        </w:numPr>
        <w:spacing w:line="360" w:lineRule="auto"/>
        <w:rPr>
          <w:color w:val="000000"/>
          <w:sz w:val="28"/>
          <w:szCs w:val="28"/>
        </w:rPr>
      </w:pPr>
      <w:r>
        <w:rPr>
          <w:color w:val="000000"/>
          <w:sz w:val="28"/>
          <w:szCs w:val="28"/>
        </w:rPr>
        <w:t>«БИКИ»-№96 (31.07.2009г.);</w:t>
      </w:r>
    </w:p>
    <w:p w:rsidR="00442A2E" w:rsidRDefault="00442A2E" w:rsidP="001027FD">
      <w:pPr>
        <w:pStyle w:val="ad"/>
        <w:widowControl/>
        <w:numPr>
          <w:ilvl w:val="0"/>
          <w:numId w:val="1"/>
        </w:numPr>
        <w:spacing w:line="360" w:lineRule="auto"/>
        <w:rPr>
          <w:color w:val="000000"/>
          <w:sz w:val="28"/>
          <w:szCs w:val="28"/>
        </w:rPr>
      </w:pPr>
      <w:r>
        <w:rPr>
          <w:color w:val="000000"/>
          <w:sz w:val="28"/>
          <w:szCs w:val="28"/>
        </w:rPr>
        <w:t>«БИКИ»-№99 (02.09.2010г.);</w:t>
      </w:r>
    </w:p>
    <w:p w:rsidR="00442A2E" w:rsidRPr="001027FD" w:rsidRDefault="00442A2E" w:rsidP="001027FD">
      <w:pPr>
        <w:pStyle w:val="ad"/>
        <w:widowControl/>
        <w:numPr>
          <w:ilvl w:val="0"/>
          <w:numId w:val="1"/>
        </w:numPr>
        <w:spacing w:line="360" w:lineRule="auto"/>
        <w:rPr>
          <w:color w:val="000000"/>
          <w:sz w:val="28"/>
          <w:szCs w:val="28"/>
        </w:rPr>
      </w:pPr>
      <w:r>
        <w:rPr>
          <w:color w:val="000000"/>
          <w:sz w:val="28"/>
          <w:szCs w:val="28"/>
        </w:rPr>
        <w:t>«Мировая экономика и международные отношения»-№3. 2010г.</w:t>
      </w:r>
    </w:p>
    <w:p w:rsidR="00442A2E" w:rsidRDefault="00442A2E" w:rsidP="001027FD">
      <w:pPr>
        <w:pStyle w:val="ad"/>
        <w:widowControl/>
        <w:numPr>
          <w:ilvl w:val="0"/>
          <w:numId w:val="1"/>
        </w:numPr>
        <w:spacing w:line="360" w:lineRule="auto"/>
        <w:rPr>
          <w:color w:val="000000"/>
          <w:sz w:val="28"/>
          <w:szCs w:val="28"/>
        </w:rPr>
      </w:pPr>
      <w:r>
        <w:rPr>
          <w:color w:val="000000"/>
          <w:sz w:val="28"/>
          <w:szCs w:val="28"/>
        </w:rPr>
        <w:t>«Мировая экономика и международные отношения»-№14. 2010г.</w:t>
      </w:r>
    </w:p>
    <w:p w:rsidR="00442A2E" w:rsidRPr="00AB2B49" w:rsidRDefault="00442A2E" w:rsidP="001F0211">
      <w:pPr>
        <w:contextualSpacing/>
        <w:rPr>
          <w:b/>
          <w:sz w:val="28"/>
          <w:szCs w:val="28"/>
        </w:rPr>
      </w:pPr>
      <w:bookmarkStart w:id="1" w:name="_GoBack"/>
      <w:bookmarkEnd w:id="1"/>
    </w:p>
    <w:sectPr w:rsidR="00442A2E" w:rsidRPr="00AB2B49" w:rsidSect="00AB2B49">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A2E" w:rsidRDefault="00442A2E" w:rsidP="00DC0D14">
      <w:pPr>
        <w:spacing w:before="0" w:after="0"/>
      </w:pPr>
      <w:r>
        <w:separator/>
      </w:r>
    </w:p>
  </w:endnote>
  <w:endnote w:type="continuationSeparator" w:id="0">
    <w:p w:rsidR="00442A2E" w:rsidRDefault="00442A2E" w:rsidP="00DC0D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A2E" w:rsidRDefault="00442A2E">
    <w:pPr>
      <w:pStyle w:val="a5"/>
      <w:jc w:val="center"/>
      <w:rPr>
        <w:rFonts w:ascii="Cambria" w:eastAsia="Times New Roman" w:hAnsi="Cambria"/>
        <w:sz w:val="28"/>
        <w:szCs w:val="28"/>
      </w:rPr>
    </w:pPr>
    <w:r>
      <w:rPr>
        <w:rFonts w:ascii="Cambria" w:eastAsia="Times New Roman" w:hAnsi="Cambria"/>
        <w:sz w:val="28"/>
        <w:szCs w:val="28"/>
      </w:rPr>
      <w:t xml:space="preserve">~ </w:t>
    </w:r>
    <w:r>
      <w:fldChar w:fldCharType="begin"/>
    </w:r>
    <w:r>
      <w:instrText>PAGE    \* MERGEFORMAT</w:instrText>
    </w:r>
    <w:r>
      <w:fldChar w:fldCharType="separate"/>
    </w:r>
    <w:r w:rsidR="00DB0447" w:rsidRPr="00DB0447">
      <w:rPr>
        <w:rFonts w:ascii="Cambria" w:eastAsia="Times New Roman" w:hAnsi="Cambria"/>
        <w:noProof/>
        <w:sz w:val="28"/>
        <w:szCs w:val="28"/>
      </w:rPr>
      <w:t>2</w:t>
    </w:r>
    <w:r>
      <w:fldChar w:fldCharType="end"/>
    </w:r>
    <w:r>
      <w:rPr>
        <w:rFonts w:ascii="Cambria" w:eastAsia="Times New Roman" w:hAnsi="Cambria"/>
        <w:sz w:val="28"/>
        <w:szCs w:val="28"/>
      </w:rPr>
      <w:t xml:space="preserve"> ~</w:t>
    </w:r>
  </w:p>
  <w:p w:rsidR="00442A2E" w:rsidRDefault="00442A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A2E" w:rsidRDefault="00442A2E" w:rsidP="00DC0D14">
      <w:pPr>
        <w:spacing w:before="0" w:after="0"/>
      </w:pPr>
      <w:r>
        <w:separator/>
      </w:r>
    </w:p>
  </w:footnote>
  <w:footnote w:type="continuationSeparator" w:id="0">
    <w:p w:rsidR="00442A2E" w:rsidRDefault="00442A2E" w:rsidP="00DC0D14">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CB"/>
    <w:rsid w:val="00015466"/>
    <w:rsid w:val="001027FD"/>
    <w:rsid w:val="0012403B"/>
    <w:rsid w:val="001F0211"/>
    <w:rsid w:val="00312867"/>
    <w:rsid w:val="00433011"/>
    <w:rsid w:val="00442A2E"/>
    <w:rsid w:val="004D088B"/>
    <w:rsid w:val="00665490"/>
    <w:rsid w:val="007B7F6A"/>
    <w:rsid w:val="009903AC"/>
    <w:rsid w:val="009938CB"/>
    <w:rsid w:val="009A32C9"/>
    <w:rsid w:val="009E2421"/>
    <w:rsid w:val="00A25C78"/>
    <w:rsid w:val="00AB2B49"/>
    <w:rsid w:val="00B31684"/>
    <w:rsid w:val="00B85930"/>
    <w:rsid w:val="00C61473"/>
    <w:rsid w:val="00D125A9"/>
    <w:rsid w:val="00DA4510"/>
    <w:rsid w:val="00DB0447"/>
    <w:rsid w:val="00DC0D14"/>
    <w:rsid w:val="00E622C8"/>
    <w:rsid w:val="00FA7391"/>
    <w:rsid w:val="00FF7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238F820-A0E8-44FB-9A60-F02CA944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8CB"/>
    <w:pPr>
      <w:spacing w:before="100" w:beforeAutospacing="1" w:after="100" w:afterAutospacing="1"/>
      <w:ind w:firstLine="709"/>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C0D14"/>
    <w:pPr>
      <w:tabs>
        <w:tab w:val="center" w:pos="4677"/>
        <w:tab w:val="right" w:pos="9355"/>
      </w:tabs>
      <w:spacing w:before="0" w:after="0"/>
    </w:pPr>
  </w:style>
  <w:style w:type="character" w:customStyle="1" w:styleId="a4">
    <w:name w:val="Верхний колонтитул Знак"/>
    <w:basedOn w:val="a0"/>
    <w:link w:val="a3"/>
    <w:locked/>
    <w:rsid w:val="00DC0D14"/>
    <w:rPr>
      <w:rFonts w:ascii="Times New Roman" w:hAnsi="Times New Roman" w:cs="Times New Roman"/>
      <w:sz w:val="20"/>
      <w:szCs w:val="20"/>
      <w:lang w:val="x-none" w:eastAsia="ru-RU"/>
    </w:rPr>
  </w:style>
  <w:style w:type="paragraph" w:styleId="a5">
    <w:name w:val="footer"/>
    <w:basedOn w:val="a"/>
    <w:link w:val="a6"/>
    <w:rsid w:val="00DC0D14"/>
    <w:pPr>
      <w:tabs>
        <w:tab w:val="center" w:pos="4677"/>
        <w:tab w:val="right" w:pos="9355"/>
      </w:tabs>
      <w:spacing w:before="0" w:after="0"/>
    </w:pPr>
  </w:style>
  <w:style w:type="character" w:customStyle="1" w:styleId="a6">
    <w:name w:val="Нижний колонтитул Знак"/>
    <w:basedOn w:val="a0"/>
    <w:link w:val="a5"/>
    <w:locked/>
    <w:rsid w:val="00DC0D14"/>
    <w:rPr>
      <w:rFonts w:ascii="Times New Roman" w:hAnsi="Times New Roman" w:cs="Times New Roman"/>
      <w:sz w:val="20"/>
      <w:szCs w:val="20"/>
      <w:lang w:val="x-none" w:eastAsia="ru-RU"/>
    </w:rPr>
  </w:style>
  <w:style w:type="character" w:styleId="a7">
    <w:name w:val="Hyperlink"/>
    <w:basedOn w:val="a0"/>
    <w:rsid w:val="0012403B"/>
    <w:rPr>
      <w:rFonts w:cs="Times New Roman"/>
      <w:color w:val="0000FF"/>
      <w:u w:val="single"/>
    </w:rPr>
  </w:style>
  <w:style w:type="paragraph" w:styleId="a8">
    <w:name w:val="Balloon Text"/>
    <w:basedOn w:val="a"/>
    <w:link w:val="a9"/>
    <w:semiHidden/>
    <w:rsid w:val="0012403B"/>
    <w:pPr>
      <w:spacing w:before="0" w:after="0"/>
    </w:pPr>
    <w:rPr>
      <w:rFonts w:ascii="Tahoma" w:hAnsi="Tahoma" w:cs="Tahoma"/>
      <w:sz w:val="16"/>
      <w:szCs w:val="16"/>
    </w:rPr>
  </w:style>
  <w:style w:type="character" w:customStyle="1" w:styleId="a9">
    <w:name w:val="Текст выноски Знак"/>
    <w:basedOn w:val="a0"/>
    <w:link w:val="a8"/>
    <w:semiHidden/>
    <w:locked/>
    <w:rsid w:val="0012403B"/>
    <w:rPr>
      <w:rFonts w:ascii="Tahoma" w:hAnsi="Tahoma" w:cs="Tahoma"/>
      <w:sz w:val="16"/>
      <w:szCs w:val="16"/>
      <w:lang w:val="x-none" w:eastAsia="ru-RU"/>
    </w:rPr>
  </w:style>
  <w:style w:type="paragraph" w:styleId="aa">
    <w:name w:val="footnote text"/>
    <w:basedOn w:val="a"/>
    <w:link w:val="ab"/>
    <w:semiHidden/>
    <w:rsid w:val="00665490"/>
    <w:pPr>
      <w:spacing w:before="0" w:beforeAutospacing="0" w:after="0" w:afterAutospacing="0"/>
      <w:ind w:firstLine="0"/>
      <w:jc w:val="left"/>
    </w:pPr>
  </w:style>
  <w:style w:type="character" w:customStyle="1" w:styleId="ab">
    <w:name w:val="Текст сноски Знак"/>
    <w:basedOn w:val="a0"/>
    <w:link w:val="aa"/>
    <w:semiHidden/>
    <w:locked/>
    <w:rsid w:val="00665490"/>
    <w:rPr>
      <w:rFonts w:ascii="Times New Roman" w:hAnsi="Times New Roman" w:cs="Times New Roman"/>
      <w:sz w:val="20"/>
      <w:szCs w:val="20"/>
      <w:lang w:val="x-none" w:eastAsia="ru-RU"/>
    </w:rPr>
  </w:style>
  <w:style w:type="character" w:styleId="ac">
    <w:name w:val="footnote reference"/>
    <w:basedOn w:val="a0"/>
    <w:semiHidden/>
    <w:rsid w:val="00665490"/>
    <w:rPr>
      <w:rFonts w:cs="Times New Roman"/>
      <w:vertAlign w:val="superscript"/>
    </w:rPr>
  </w:style>
  <w:style w:type="paragraph" w:styleId="ad">
    <w:name w:val="Body Text"/>
    <w:basedOn w:val="a"/>
    <w:link w:val="ae"/>
    <w:semiHidden/>
    <w:rsid w:val="001027FD"/>
    <w:pPr>
      <w:widowControl w:val="0"/>
      <w:suppressAutoHyphens/>
      <w:spacing w:before="0" w:beforeAutospacing="0" w:after="120" w:afterAutospacing="0"/>
      <w:ind w:firstLine="0"/>
      <w:jc w:val="left"/>
    </w:pPr>
    <w:rPr>
      <w:rFonts w:eastAsia="Times New Roman" w:cs="Tahoma"/>
      <w:kern w:val="2"/>
      <w:sz w:val="24"/>
      <w:szCs w:val="24"/>
      <w:lang w:eastAsia="hi-IN" w:bidi="hi-IN"/>
    </w:rPr>
  </w:style>
  <w:style w:type="character" w:customStyle="1" w:styleId="ae">
    <w:name w:val="Основной текст Знак"/>
    <w:basedOn w:val="a0"/>
    <w:link w:val="ad"/>
    <w:semiHidden/>
    <w:locked/>
    <w:rsid w:val="001027FD"/>
    <w:rPr>
      <w:rFonts w:ascii="Times New Roman" w:eastAsia="Times New Roman" w:hAnsi="Times New Roman" w:cs="Tahoma"/>
      <w:kern w:val="2"/>
      <w:sz w:val="24"/>
      <w:szCs w:val="24"/>
      <w:lang w:val="x-non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1">
          <w:marLeft w:val="720"/>
          <w:marRight w:val="720"/>
          <w:marTop w:val="100"/>
          <w:marBottom w:val="10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5480</Words>
  <Characters>31239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2014-03-29T22:17:00Z</dcterms:created>
  <dcterms:modified xsi:type="dcterms:W3CDTF">2014-03-29T22:17:00Z</dcterms:modified>
</cp:coreProperties>
</file>