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Федеральное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агентство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образованию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Филиал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Государственного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образовательного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учреждения</w:t>
      </w:r>
      <w:r w:rsidR="0005326C">
        <w:rPr>
          <w:sz w:val="28"/>
          <w:szCs w:val="28"/>
        </w:rPr>
        <w:t xml:space="preserve"> в</w:t>
      </w:r>
      <w:r w:rsidRPr="0005326C">
        <w:rPr>
          <w:sz w:val="28"/>
          <w:szCs w:val="28"/>
        </w:rPr>
        <w:t>ысшего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профессионального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образования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Ростовский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Государственный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Экономический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Университет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(РИНХ)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Матвеев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Курган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Ростовской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области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Факультет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Национальной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мировой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экономики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Специальность: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«Экономика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машиностроения»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Специализация: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«Экономист-менеджер»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Кафедра: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«Общеэкономических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специальных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дисциплин»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Дисциплина: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бизнеса»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05326C">
        <w:rPr>
          <w:b/>
          <w:sz w:val="28"/>
          <w:szCs w:val="28"/>
        </w:rPr>
        <w:t>Курсовая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работа</w:t>
      </w:r>
    </w:p>
    <w:p w:rsid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тему: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05326C" w:rsidRDefault="0005326C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05326C" w:rsidRDefault="00E6361E" w:rsidP="0005326C">
      <w:pPr>
        <w:widowControl w:val="0"/>
        <w:tabs>
          <w:tab w:val="left" w:pos="851"/>
        </w:tabs>
        <w:spacing w:line="360" w:lineRule="auto"/>
        <w:jc w:val="right"/>
        <w:rPr>
          <w:sz w:val="28"/>
          <w:szCs w:val="28"/>
        </w:rPr>
      </w:pPr>
      <w:r w:rsidRPr="0005326C">
        <w:rPr>
          <w:sz w:val="28"/>
          <w:szCs w:val="28"/>
        </w:rPr>
        <w:t>Выполнила:</w:t>
      </w:r>
    </w:p>
    <w:p w:rsidR="0005326C" w:rsidRDefault="00E6361E" w:rsidP="0005326C">
      <w:pPr>
        <w:widowControl w:val="0"/>
        <w:tabs>
          <w:tab w:val="left" w:pos="851"/>
        </w:tabs>
        <w:spacing w:line="360" w:lineRule="auto"/>
        <w:jc w:val="right"/>
        <w:rPr>
          <w:sz w:val="28"/>
          <w:szCs w:val="28"/>
        </w:rPr>
      </w:pPr>
      <w:r w:rsidRPr="0005326C">
        <w:rPr>
          <w:sz w:val="28"/>
          <w:szCs w:val="28"/>
        </w:rPr>
        <w:t>студентка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5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курса,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153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з-к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группы</w:t>
      </w:r>
      <w:r w:rsidR="0005326C">
        <w:rPr>
          <w:sz w:val="28"/>
          <w:szCs w:val="28"/>
        </w:rPr>
        <w:t xml:space="preserve"> 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right"/>
        <w:rPr>
          <w:sz w:val="28"/>
          <w:szCs w:val="28"/>
        </w:rPr>
      </w:pPr>
      <w:r w:rsidRPr="0005326C">
        <w:rPr>
          <w:sz w:val="28"/>
          <w:szCs w:val="28"/>
        </w:rPr>
        <w:t>Аралкина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В.Б.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right"/>
        <w:rPr>
          <w:sz w:val="28"/>
          <w:szCs w:val="28"/>
        </w:rPr>
      </w:pPr>
      <w:r w:rsidRPr="0005326C">
        <w:rPr>
          <w:sz w:val="28"/>
          <w:szCs w:val="28"/>
        </w:rPr>
        <w:t>Руководитель: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Лемаева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О.И.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05326C" w:rsidRDefault="0005326C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jc w:val="center"/>
        <w:rPr>
          <w:sz w:val="28"/>
          <w:szCs w:val="28"/>
        </w:rPr>
      </w:pPr>
      <w:r w:rsidRPr="0005326C">
        <w:rPr>
          <w:sz w:val="28"/>
          <w:szCs w:val="28"/>
        </w:rPr>
        <w:t>Матвеев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Курган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2010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05326C" w:rsidRDefault="0005326C" w:rsidP="0005326C">
      <w:pPr>
        <w:tabs>
          <w:tab w:val="left" w:pos="851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Содержание</w:t>
      </w:r>
    </w:p>
    <w:p w:rsidR="0005326C" w:rsidRDefault="0005326C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Введение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1.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причины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признание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2.1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расчёт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2.2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аспекты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2.2.1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2.2.2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обуславливающих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отличие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2.2.3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методологические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3.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Заключение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Список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литературы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5326C" w:rsidRDefault="0005326C" w:rsidP="0005326C">
      <w:pPr>
        <w:tabs>
          <w:tab w:val="left" w:pos="851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05326C">
        <w:rPr>
          <w:b/>
          <w:sz w:val="28"/>
          <w:szCs w:val="28"/>
        </w:rPr>
        <w:t>Введение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настоящий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момент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нашей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присущи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спад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промышленности,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экономический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кризис,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отсутствие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ужесточение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денежно-кредитных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отношений,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несомненно,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приводит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хозяйствующих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субъектов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[3].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iCs/>
          <w:sz w:val="28"/>
          <w:szCs w:val="28"/>
        </w:rPr>
        <w:t>Актуальность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практическая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настоящей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обусловлена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рядом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причин.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sz w:val="28"/>
          <w:szCs w:val="28"/>
        </w:rPr>
        <w:t>Во-первых,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настоящее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ключевой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кризис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неплатежей,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добрую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половину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следовало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давно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объявить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банкротами,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перераспределить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пользу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эффективных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производств,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несомненно,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способствовало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оздоровлению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рынка.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sz w:val="28"/>
          <w:szCs w:val="28"/>
        </w:rPr>
        <w:t>Во-вторых,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массовой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неплатежеспособности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хозяйствующих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субъектов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особое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предотвращению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кризисных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мероприятия,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направленные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восстановление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платежеспособности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стабилизацию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финансового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Ситуация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чрезвычайной.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Вероятность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позитивного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неплатежей,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обычно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сопровождает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обладает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неплатежей,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вопросов,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связанных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материальным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благополучием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работников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степени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зависят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ликвидируемого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[8].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Однако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важна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многих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случаях,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например,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финансировании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должника;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финансировании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реорганизации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предприятия;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изменении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осуществляемой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судебного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разбирательства;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выработке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погашения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долгов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предприятия-должника,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оказавшегося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угрозой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банкротства;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выявлении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отдельных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производственных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мощностей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экономически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самостоятельные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организации;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заявок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покупку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предприятия;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экспертизе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мошеннических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передаче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третьим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лицам;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экспертизе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программ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реорганизации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обладает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рядом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особенностей,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обусловленных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характером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чрезвычайной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особенности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учитываться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оценке.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Этот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называемым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видам,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многими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заинтересованными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принимаются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соответствующие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Другая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особенность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высокая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степень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третьих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написании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мною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курсовой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было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множество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различной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литературы,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включая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гражданское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законодательство,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методические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материалы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статьи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практикующих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юристов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экономистов,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рассматривающих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бизнеса,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антикризисного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менеджмента.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Рассмотрены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объективные,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субъективные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причины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многих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проанализированы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пути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выхода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кризисных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[12].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05326C" w:rsidRDefault="0005326C" w:rsidP="0005326C">
      <w:pPr>
        <w:tabs>
          <w:tab w:val="left" w:pos="851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326C">
        <w:rPr>
          <w:b/>
          <w:bCs/>
          <w:sz w:val="28"/>
          <w:szCs w:val="28"/>
        </w:rPr>
        <w:t>1.</w:t>
      </w:r>
      <w:r w:rsidR="0005326C">
        <w:rPr>
          <w:b/>
          <w:bCs/>
          <w:sz w:val="28"/>
          <w:szCs w:val="28"/>
        </w:rPr>
        <w:t xml:space="preserve"> </w:t>
      </w:r>
      <w:r w:rsidRPr="0005326C">
        <w:rPr>
          <w:b/>
          <w:bCs/>
          <w:sz w:val="28"/>
          <w:szCs w:val="28"/>
        </w:rPr>
        <w:t>Общие</w:t>
      </w:r>
      <w:r w:rsidR="0005326C">
        <w:rPr>
          <w:b/>
          <w:bCs/>
          <w:sz w:val="28"/>
          <w:szCs w:val="28"/>
        </w:rPr>
        <w:t xml:space="preserve"> </w:t>
      </w:r>
      <w:r w:rsidRPr="0005326C">
        <w:rPr>
          <w:b/>
          <w:bCs/>
          <w:sz w:val="28"/>
          <w:szCs w:val="28"/>
        </w:rPr>
        <w:t>понятия,</w:t>
      </w:r>
      <w:r w:rsidR="0005326C">
        <w:rPr>
          <w:b/>
          <w:bCs/>
          <w:sz w:val="28"/>
          <w:szCs w:val="28"/>
        </w:rPr>
        <w:t xml:space="preserve"> </w:t>
      </w:r>
      <w:r w:rsidRPr="0005326C">
        <w:rPr>
          <w:b/>
          <w:bCs/>
          <w:sz w:val="28"/>
          <w:szCs w:val="28"/>
        </w:rPr>
        <w:t>причины</w:t>
      </w:r>
      <w:r w:rsidR="0005326C">
        <w:rPr>
          <w:b/>
          <w:bCs/>
          <w:sz w:val="28"/>
          <w:szCs w:val="28"/>
        </w:rPr>
        <w:t xml:space="preserve"> </w:t>
      </w:r>
      <w:r w:rsidRPr="0005326C">
        <w:rPr>
          <w:b/>
          <w:bCs/>
          <w:sz w:val="28"/>
          <w:szCs w:val="28"/>
        </w:rPr>
        <w:t>и</w:t>
      </w:r>
      <w:r w:rsidR="0005326C">
        <w:rPr>
          <w:b/>
          <w:bCs/>
          <w:sz w:val="28"/>
          <w:szCs w:val="28"/>
        </w:rPr>
        <w:t xml:space="preserve"> </w:t>
      </w:r>
      <w:r w:rsidRPr="0005326C">
        <w:rPr>
          <w:b/>
          <w:bCs/>
          <w:sz w:val="28"/>
          <w:szCs w:val="28"/>
        </w:rPr>
        <w:t>признаки</w:t>
      </w:r>
      <w:r w:rsidR="0005326C">
        <w:rPr>
          <w:b/>
          <w:bCs/>
          <w:sz w:val="28"/>
          <w:szCs w:val="28"/>
        </w:rPr>
        <w:t xml:space="preserve"> </w:t>
      </w:r>
      <w:r w:rsidRPr="0005326C">
        <w:rPr>
          <w:b/>
          <w:bCs/>
          <w:sz w:val="28"/>
          <w:szCs w:val="28"/>
        </w:rPr>
        <w:t>банкротства</w:t>
      </w:r>
    </w:p>
    <w:p w:rsidR="0005326C" w:rsidRDefault="0005326C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Институт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важнейшим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элементом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механизма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добровольной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принудительной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проведение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предупреждению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досудебной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санации,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наблюдения,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внешнего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обеспечивает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уровня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платежеспособности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(организации)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Механизм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(организаций),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индивидуальных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предпринимателей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ранее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действовал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(банкротстве)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марта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1998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Арбитражным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процессуальным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кодексом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соответствующими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нормативными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актами.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ноября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2002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введен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(банкротстве)»,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процедуры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(организаций),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индивидуальных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предпринимателей,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граждан-должников.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отношении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последних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установленные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процедуры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вводятся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момента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вступления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силу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внесении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соответствующих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изменений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положения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(банкротстве)»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распространяются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являющиеся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коммерческими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организациями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исключением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казенных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некоммерческие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организации,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действующие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потребительских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кооперативов,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благотворительных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фондов,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граждан,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зарегистрированных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качестве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индивидуальных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предпринимателей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[11].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вышеназванные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хозяйствующие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субъекты,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признанные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должником,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могут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объявлены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арбитражным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банкротом.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Должником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считается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гражданин,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индивидуальный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предприниматель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подснежным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(или)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исполнить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уплате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платежей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установленные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денежным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понимается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уплатить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денежную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гражданско-правовому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договору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основаниям,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предусмотренным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платежами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сборы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взносы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бюджеты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соответствующего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уровня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внебюджетные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фонды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порядке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законодательством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[9].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Закон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"О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банкротстве"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выполнять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функции: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1.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Служить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качестве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механизма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предотвращения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непродуктивного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инструментом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реабилитации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оказались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однако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резервы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успешной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финансово-хозяйственной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будущем.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правило,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реабилитация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предусматривает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финансовую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реорганизацию.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3.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Способствовать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оплате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долгов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кредиторам.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несостоятельностью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(банкротством)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понимается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признанная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арбитражным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неспособность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объеме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денежным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(или)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исполнить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уплате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сборов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платежей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бюджет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соответствующего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уровня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(федеральный,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бюджет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местный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бюджет)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внебюджетные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фонды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порядке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законодательством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[11,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6].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Основанием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возбуждения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дела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письменное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заявление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любого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должника,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органов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государственной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администрации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контрольно-ревизионной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службы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арбитражный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обратится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заявлением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дебитор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неспособен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протяжении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месяца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признанные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претензионные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целью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погашения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долгов,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комиссией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изымается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оценивается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аукционе,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оценочная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начальной.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вырученные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направляются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претензий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первую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покрываются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издержки,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ведением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дела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арбитражном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комиссии.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Кроме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обеспеченные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залогом.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Во-вторых,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выполняются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работниками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предприятия-банкрота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производственным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результатам).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В-третьих,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государственным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местным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сборам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органов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государственного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страхования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социального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обеспечения.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В-четвертых,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необеспеченные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залогом.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пятую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членов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трудового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коллектива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относительно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возвращения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взносов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уставной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фонд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последующей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предыдущей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недостаточности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претензии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погашаются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пропорционально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принадлежащей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Причем,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неудовлетворенные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из-за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недостаточности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средств,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считаются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погашенными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переходят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безнадежной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Безнадежная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возмещается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счет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страхового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резерва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включается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валовых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издержек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Безнадежная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залогодателя,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признанного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возмещается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счет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страхового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резерва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арбитражным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признании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дебитора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банкротом.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завершения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процедуры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залогодателя,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включаются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валовых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доходов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налоговый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поступления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[5].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Имущество,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осталось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членов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трудового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коллектива,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передается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собственникам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фирмы.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вследствие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владельцы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корпоративных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эмитированных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предприятием,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превышает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балансовую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корпоративных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превышения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включается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налогооблагаемый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доход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средств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меньше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номинальной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корпоративных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убытков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валовых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издержек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плательщика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налоговый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компенсации,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ранее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предприятия-эмитента.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комиссия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составляет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баланс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предоставляет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утверждения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арбитражный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баланса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осталось,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арбитражный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выносит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постановление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хватило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считается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свободным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продолжать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предпринимательскую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деятельность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[5].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05326C" w:rsidRDefault="0005326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05326C">
        <w:rPr>
          <w:b/>
          <w:sz w:val="28"/>
          <w:szCs w:val="28"/>
        </w:rPr>
        <w:t>2.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Оценка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ликвидационной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стоимости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предприятий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в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процессе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их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банкротства</w:t>
      </w:r>
    </w:p>
    <w:p w:rsidR="0005326C" w:rsidRDefault="0005326C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Затратный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бизнеса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рассматривает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точки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зрения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понесенных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издержек.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предварительно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проводится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обоснованной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отдельности,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текущая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наконец,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обоснованной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вычитается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текущая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показывает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оценочную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капитала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Данный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представлен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двумя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методами: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методом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чистых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активов;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4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методом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[2]</w:t>
      </w:r>
    </w:p>
    <w:p w:rsidR="0005326C" w:rsidRDefault="0005326C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05326C">
        <w:rPr>
          <w:b/>
          <w:sz w:val="28"/>
          <w:szCs w:val="28"/>
        </w:rPr>
        <w:t>2.1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Ликвидационная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стоимость: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виды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и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расчёт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ликвидационной</w:t>
      </w:r>
      <w:r w:rsidR="0005326C">
        <w:rPr>
          <w:b/>
          <w:sz w:val="28"/>
          <w:szCs w:val="28"/>
        </w:rPr>
        <w:t xml:space="preserve"> </w:t>
      </w:r>
      <w:r w:rsidRPr="0005326C">
        <w:rPr>
          <w:b/>
          <w:sz w:val="28"/>
          <w:szCs w:val="28"/>
        </w:rPr>
        <w:t>стоимости</w:t>
      </w:r>
    </w:p>
    <w:p w:rsidR="0005326C" w:rsidRDefault="0005326C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настоящее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множество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различия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между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достаточно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существенны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точки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зрения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практической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работы.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остановимся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государственного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стандарта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51195.0.02-98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(«ликвидационная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—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распродаже»)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стандарта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оценщиков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20-03-96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(«ликвидационная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—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денежная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слишком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короткие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проведения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адекватного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маркетинга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стоимости»)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[12].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подразделяется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вида: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1.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Упорядоченная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Распродажа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разумного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было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высокие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продаваемые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активы.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наименее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недвижимости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составляет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около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лет.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Принудительная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распродаются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настолько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быстро,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насколько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часто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одновременно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аукционе.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3.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прекращения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распродаются,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списываются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уничтожаются,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строится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новое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дающее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значительный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экономический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социальный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отрицательной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величиной,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требуются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[4].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установленных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61-65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главное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отличие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(предприятия)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реорганизации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любой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заключается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предполагает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правопреемства,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перехода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обязанностей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ликвидируемого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субъектам.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Добровольная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(предприятия)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участников.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61)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прямо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предусматривает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следующие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участников: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а)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истечение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создано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лицо;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б)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достижение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ради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создавалось;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признание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недействительной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регистрации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допущенными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создании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нарушениями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нарушения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носят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неустранимый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характер,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основаниям,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могут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определяться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усмотрением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акционеров,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указанием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закона.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Существует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добровольной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(самоликвидации)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частности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банкротством.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24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(банкротстве)»,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отсутствии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возражений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должник,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являющийся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объявить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добровольной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[11].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Следует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полагать,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акционеры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—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владельцы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голосующих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акций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—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вправе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установленном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порядке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принять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нецелесообразностью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продолжения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любым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определяемым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причинам.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Расчет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включает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несколько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этапов.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1.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Анализируется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ряд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статистических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бухгалтерских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документов,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относятся: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бухгалтерские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отчеты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конец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квартала,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статистические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отчеты,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промежуточный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баланс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инвентарные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карточки.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комплексного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финансового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делается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экспертный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вывод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достаточности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средств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покрытие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задолженности.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Формируется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оцениваемая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масса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Отдельно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рассматриваются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следующие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группы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активов: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Наиболее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(оборотные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активы).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Менее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(необоротные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активы).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3.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Формируется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компании.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4.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Разрабатывается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календарный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график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учитывать,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различных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(недвижимого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машин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оборудования,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товарно-материальных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запасов)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различных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исходя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степени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требуемого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уровня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рынке.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5.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Обосновываются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размеры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[4].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Выделяются: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ликвидацией,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владением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числу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связанных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ликвидацией,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первую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относятся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комиссионные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оценочным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фирмам,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сборы,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платятся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числу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связанных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владением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относятся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расходы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охрану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расходы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поддержанию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завершения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т.п.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6.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Оценивается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реализуемое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имущество.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подлежащего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помощью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практике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наиболее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часто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используемым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недвижимости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Сравнительный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7.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ставка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дисконтирования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учетом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планируемого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ставка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дисконтирования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устанавливаться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оцениваемого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индивидуально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учетом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(значительны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скидки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низкую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ликвидность)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риска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«непродажи».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8.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Строится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график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совокупная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выручка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текущих,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материальных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нематериальных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9.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итогам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погашается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накопленная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текущей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(электроэнергия,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отопление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т.п.)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выплаты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обязательствам.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порядке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очередности,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установленной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статьей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64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распределение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следующей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предыдущей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очереди.</w:t>
      </w:r>
    </w:p>
    <w:p w:rsidR="00E6361E" w:rsidRPr="0005326C" w:rsidRDefault="00E6361E" w:rsidP="0005326C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10.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Конечным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приходящейся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собственников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(акционеров).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26.12.95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208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«Об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акционерных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изменениями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13.06.96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предусматривает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четкий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порядок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оставшихся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[4].</w:t>
      </w:r>
    </w:p>
    <w:p w:rsidR="00E6361E" w:rsidRPr="0005326C" w:rsidRDefault="00E6361E" w:rsidP="0005326C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путем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вычитания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скорректированной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баланса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текущих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связанных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компании,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принимаемых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формуле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выглядит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V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=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V</w:t>
      </w:r>
      <w:r w:rsidRPr="0005326C">
        <w:rPr>
          <w:sz w:val="28"/>
          <w:szCs w:val="28"/>
          <w:vertAlign w:val="subscript"/>
        </w:rPr>
        <w:t>активов</w:t>
      </w:r>
      <w:r w:rsidRPr="0005326C">
        <w:rPr>
          <w:sz w:val="28"/>
          <w:szCs w:val="28"/>
        </w:rPr>
        <w:t>+CF-Cost-Q,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где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V</w:t>
      </w:r>
      <w:r w:rsidRPr="0005326C">
        <w:rPr>
          <w:sz w:val="28"/>
          <w:szCs w:val="28"/>
          <w:vertAlign w:val="subscript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текущая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CF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прибыль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(убытки)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Cost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Q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долговых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формулировании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окончательного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вывода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относительно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анализируются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приведшие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обусловлена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низким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уровнем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корректировка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производится.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причиной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явилось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местоположение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внешние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как-то: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общая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экономическая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налоговая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политика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п.,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корректируется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уменьшения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[7].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05326C">
        <w:rPr>
          <w:i w:val="0"/>
          <w:sz w:val="28"/>
          <w:szCs w:val="28"/>
        </w:rPr>
        <w:t>2.2</w:t>
      </w:r>
      <w:r w:rsidR="0005326C" w:rsidRPr="0005326C">
        <w:rPr>
          <w:i w:val="0"/>
          <w:sz w:val="28"/>
          <w:szCs w:val="28"/>
        </w:rPr>
        <w:t xml:space="preserve"> </w:t>
      </w:r>
      <w:r w:rsidRPr="0005326C">
        <w:rPr>
          <w:i w:val="0"/>
          <w:sz w:val="28"/>
          <w:szCs w:val="28"/>
        </w:rPr>
        <w:t>Экономические</w:t>
      </w:r>
      <w:r w:rsidR="0005326C" w:rsidRPr="0005326C">
        <w:rPr>
          <w:i w:val="0"/>
          <w:sz w:val="28"/>
          <w:szCs w:val="28"/>
        </w:rPr>
        <w:t xml:space="preserve"> </w:t>
      </w:r>
      <w:r w:rsidRPr="0005326C">
        <w:rPr>
          <w:i w:val="0"/>
          <w:sz w:val="28"/>
          <w:szCs w:val="28"/>
        </w:rPr>
        <w:t>и</w:t>
      </w:r>
      <w:r w:rsidR="0005326C" w:rsidRPr="0005326C">
        <w:rPr>
          <w:i w:val="0"/>
          <w:sz w:val="28"/>
          <w:szCs w:val="28"/>
        </w:rPr>
        <w:t xml:space="preserve"> </w:t>
      </w:r>
      <w:r w:rsidRPr="0005326C">
        <w:rPr>
          <w:i w:val="0"/>
          <w:sz w:val="28"/>
          <w:szCs w:val="28"/>
        </w:rPr>
        <w:t>юридические</w:t>
      </w:r>
      <w:r w:rsidR="0005326C" w:rsidRPr="0005326C">
        <w:rPr>
          <w:i w:val="0"/>
          <w:sz w:val="28"/>
          <w:szCs w:val="28"/>
        </w:rPr>
        <w:t xml:space="preserve"> </w:t>
      </w:r>
      <w:r w:rsidRPr="0005326C">
        <w:rPr>
          <w:i w:val="0"/>
          <w:sz w:val="28"/>
          <w:szCs w:val="28"/>
        </w:rPr>
        <w:t>аспекты</w:t>
      </w:r>
      <w:r w:rsidR="0005326C" w:rsidRPr="0005326C">
        <w:rPr>
          <w:i w:val="0"/>
          <w:sz w:val="28"/>
          <w:szCs w:val="28"/>
        </w:rPr>
        <w:t xml:space="preserve"> </w:t>
      </w:r>
      <w:r w:rsidRPr="0005326C">
        <w:rPr>
          <w:i w:val="0"/>
          <w:sz w:val="28"/>
          <w:szCs w:val="28"/>
        </w:rPr>
        <w:t>ликвидационной</w:t>
      </w:r>
      <w:r w:rsidR="0005326C" w:rsidRPr="0005326C">
        <w:rPr>
          <w:i w:val="0"/>
          <w:sz w:val="28"/>
          <w:szCs w:val="28"/>
        </w:rPr>
        <w:t xml:space="preserve"> </w:t>
      </w:r>
      <w:r w:rsidRPr="0005326C">
        <w:rPr>
          <w:i w:val="0"/>
          <w:sz w:val="28"/>
          <w:szCs w:val="28"/>
        </w:rPr>
        <w:t>стоимости</w:t>
      </w:r>
    </w:p>
    <w:p w:rsidR="0005326C" w:rsidRPr="0005326C" w:rsidRDefault="0005326C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i w:val="0"/>
          <w:iCs w:val="0"/>
          <w:sz w:val="28"/>
          <w:szCs w:val="28"/>
        </w:rPr>
      </w:pPr>
    </w:p>
    <w:p w:rsidR="00E6361E" w:rsidRPr="0005326C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05326C">
        <w:rPr>
          <w:i w:val="0"/>
          <w:iCs w:val="0"/>
          <w:sz w:val="28"/>
          <w:szCs w:val="28"/>
        </w:rPr>
        <w:t>2.2.1</w:t>
      </w:r>
      <w:r w:rsidR="0005326C" w:rsidRPr="0005326C">
        <w:rPr>
          <w:i w:val="0"/>
          <w:iCs w:val="0"/>
          <w:sz w:val="28"/>
          <w:szCs w:val="28"/>
        </w:rPr>
        <w:t xml:space="preserve"> </w:t>
      </w:r>
      <w:r w:rsidRPr="0005326C">
        <w:rPr>
          <w:i w:val="0"/>
          <w:iCs w:val="0"/>
          <w:sz w:val="28"/>
          <w:szCs w:val="28"/>
        </w:rPr>
        <w:t>Рыночная</w:t>
      </w:r>
      <w:r w:rsidR="0005326C" w:rsidRPr="0005326C">
        <w:rPr>
          <w:i w:val="0"/>
          <w:iCs w:val="0"/>
          <w:sz w:val="28"/>
          <w:szCs w:val="28"/>
        </w:rPr>
        <w:t xml:space="preserve"> </w:t>
      </w:r>
      <w:r w:rsidRPr="0005326C">
        <w:rPr>
          <w:i w:val="0"/>
          <w:iCs w:val="0"/>
          <w:sz w:val="28"/>
          <w:szCs w:val="28"/>
        </w:rPr>
        <w:t>и</w:t>
      </w:r>
      <w:r w:rsidR="0005326C" w:rsidRPr="0005326C">
        <w:rPr>
          <w:i w:val="0"/>
          <w:iCs w:val="0"/>
          <w:sz w:val="28"/>
          <w:szCs w:val="28"/>
        </w:rPr>
        <w:t xml:space="preserve"> </w:t>
      </w:r>
      <w:r w:rsidRPr="0005326C">
        <w:rPr>
          <w:i w:val="0"/>
          <w:iCs w:val="0"/>
          <w:sz w:val="28"/>
          <w:szCs w:val="28"/>
        </w:rPr>
        <w:t>иные</w:t>
      </w:r>
      <w:r w:rsidR="0005326C" w:rsidRPr="0005326C">
        <w:rPr>
          <w:i w:val="0"/>
          <w:iCs w:val="0"/>
          <w:sz w:val="28"/>
          <w:szCs w:val="28"/>
        </w:rPr>
        <w:t xml:space="preserve"> </w:t>
      </w:r>
      <w:r w:rsidRPr="0005326C">
        <w:rPr>
          <w:i w:val="0"/>
          <w:iCs w:val="0"/>
          <w:sz w:val="28"/>
          <w:szCs w:val="28"/>
        </w:rPr>
        <w:t>виды</w:t>
      </w:r>
      <w:r w:rsidR="0005326C" w:rsidRPr="0005326C">
        <w:rPr>
          <w:i w:val="0"/>
          <w:iCs w:val="0"/>
          <w:sz w:val="28"/>
          <w:szCs w:val="28"/>
        </w:rPr>
        <w:t xml:space="preserve"> </w:t>
      </w:r>
      <w:r w:rsidRPr="0005326C">
        <w:rPr>
          <w:i w:val="0"/>
          <w:iCs w:val="0"/>
          <w:sz w:val="28"/>
          <w:szCs w:val="28"/>
        </w:rPr>
        <w:t>стоимости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sz w:val="28"/>
          <w:szCs w:val="28"/>
        </w:rPr>
        <w:t>Рыночная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стоимость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–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sz w:val="28"/>
          <w:szCs w:val="28"/>
        </w:rPr>
        <w:t>наиболее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вероятная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отчужден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открытом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конкуренции,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действуют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разумно,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располагая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информацией,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отражаются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какие-либо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чрезвычайные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обстоятельства,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когда: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одна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отчуждать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принимать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исполнение;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стороны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хорошо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осведомлены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предмете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действуют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интересах;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объект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представлен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открытый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публичной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оферты;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цена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представляет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разумное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вознаграждение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принуждения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совершению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отношении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чьей-либо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было;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2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платеж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выражен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денежной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форме</w:t>
      </w:r>
      <w:bookmarkStart w:id="0" w:name="_ftnref1"/>
      <w:r w:rsidR="0005326C" w:rsidRPr="00F43FDA">
        <w:rPr>
          <w:sz w:val="28"/>
          <w:szCs w:val="28"/>
        </w:rPr>
        <w:t xml:space="preserve"> </w:t>
      </w:r>
      <w:r w:rsidRPr="00F43FDA">
        <w:rPr>
          <w:sz w:val="28"/>
          <w:szCs w:val="28"/>
        </w:rPr>
        <w:t>[5]</w:t>
      </w:r>
      <w:r w:rsidR="0005326C" w:rsidRPr="00F43FDA">
        <w:rPr>
          <w:sz w:val="28"/>
          <w:szCs w:val="28"/>
        </w:rPr>
        <w:t xml:space="preserve"> </w:t>
      </w:r>
      <w:bookmarkEnd w:id="0"/>
      <w:r w:rsidRPr="0005326C">
        <w:rPr>
          <w:sz w:val="28"/>
          <w:szCs w:val="28"/>
        </w:rPr>
        <w:t>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Очевидно,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нарушении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какого-либо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вышеприведенных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возникают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новые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стоимостей.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порождает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четкого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наиболее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адекватен.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например,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наличии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Скажем,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телекомпании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сложно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говорить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типичных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намерениях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разниться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начиная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коммерческих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(получение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доходов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будущем)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абсолютно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неэкономических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(получение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доступа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зрительской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аудитории).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корне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неверно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исходить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Подобные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рассуждения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правомерно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применять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отклонения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возникновения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рассматриваемой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статье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наличие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чрезвычайных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чрезвычайных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обстоятельств,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приводящих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нарушению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обстоятельствам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[12].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iCs/>
          <w:sz w:val="28"/>
          <w:szCs w:val="28"/>
        </w:rPr>
        <w:t>Типичные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случаи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возникновения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ликвидационной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стоимости.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sz w:val="28"/>
          <w:szCs w:val="28"/>
        </w:rPr>
        <w:t>При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ликвидации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возникает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разработке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четкого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графика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погашения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имеющейся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(причем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нередки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суммарная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дохода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покрывает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долгов).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(предпродажных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мероприятий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силу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достаточно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быстрого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освобождения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погашения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задолженности.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вопрос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наличного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играет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решающую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роль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прочих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условиях).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продолжительность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виду,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добровольным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запланированная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акция),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вынужденным.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правило,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первый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большую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вариативность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принятии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позволяет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разработать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эффективные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Вынужденная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принятии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открытии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конкурсного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итогам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внешнего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Образуемая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конкурсная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масса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подлежит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открытых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торгах.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крайне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[2].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разграничивать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добровольную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ликвидацию.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Реализация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залога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контексте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статьи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представляет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скорее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гипотетическое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(оторванное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реальности)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понятие.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обоснования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нижней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границы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обеспечением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заложенное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речь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идет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реальном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Однако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предоставления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ссуды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кредитору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предмет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залога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сжатые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невозврате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выданного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кредита.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некоторых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источниках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литературы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получила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название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залоговой.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Однако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утверждать,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экономической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поскольку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здесь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присутствуют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Ускоренная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силу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вызывает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несколько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вариантов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инициативная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(добровольная)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принуждению),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предусмотренная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действующим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законодательством.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исполнительного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арестованного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превышающий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двух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месяцев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дня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наложения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ареста</w:t>
      </w:r>
      <w:bookmarkStart w:id="1" w:name="_ftnref3"/>
      <w:r w:rsidRPr="0005326C">
        <w:rPr>
          <w:sz w:val="28"/>
          <w:szCs w:val="28"/>
        </w:rPr>
        <w:fldChar w:fldCharType="begin"/>
      </w:r>
      <w:r w:rsidRPr="0005326C">
        <w:rPr>
          <w:sz w:val="28"/>
          <w:szCs w:val="28"/>
        </w:rPr>
        <w:instrText xml:space="preserve"> HYPERLINK "http://www.audit-it.ru/articles/appraisal/a108/40725.html" \l "_ftn3" \o "" </w:instrText>
      </w:r>
      <w:r w:rsidRPr="0005326C">
        <w:rPr>
          <w:sz w:val="28"/>
          <w:szCs w:val="28"/>
        </w:rPr>
        <w:fldChar w:fldCharType="separate"/>
      </w:r>
      <w:r w:rsidR="0005326C">
        <w:rPr>
          <w:rStyle w:val="a7"/>
          <w:color w:val="auto"/>
          <w:sz w:val="28"/>
          <w:szCs w:val="28"/>
          <w:u w:val="none"/>
        </w:rPr>
        <w:t xml:space="preserve"> </w:t>
      </w:r>
      <w:r w:rsidRPr="0005326C">
        <w:rPr>
          <w:rStyle w:val="a7"/>
          <w:color w:val="auto"/>
          <w:sz w:val="28"/>
          <w:szCs w:val="28"/>
          <w:u w:val="none"/>
        </w:rPr>
        <w:t>[6]</w:t>
      </w:r>
      <w:r w:rsidR="0005326C">
        <w:rPr>
          <w:rStyle w:val="a7"/>
          <w:color w:val="auto"/>
          <w:sz w:val="28"/>
          <w:szCs w:val="28"/>
          <w:u w:val="none"/>
        </w:rPr>
        <w:t xml:space="preserve"> </w:t>
      </w:r>
      <w:r w:rsidRPr="0005326C">
        <w:rPr>
          <w:sz w:val="28"/>
          <w:szCs w:val="28"/>
        </w:rPr>
        <w:fldChar w:fldCharType="end"/>
      </w:r>
      <w:bookmarkEnd w:id="1"/>
      <w:r w:rsidRPr="0005326C">
        <w:rPr>
          <w:sz w:val="28"/>
          <w:szCs w:val="28"/>
        </w:rPr>
        <w:t>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практически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ниже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негативным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продавца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безусловно,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положительным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покупателя.</w:t>
      </w:r>
    </w:p>
    <w:p w:rsidR="00E6361E" w:rsidRPr="0005326C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05326C">
        <w:rPr>
          <w:b w:val="0"/>
          <w:i w:val="0"/>
          <w:iCs w:val="0"/>
          <w:sz w:val="28"/>
          <w:szCs w:val="28"/>
        </w:rPr>
        <w:t>Окончательное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определение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понятия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ликвидационной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стоимости.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разобравшись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ситуациях,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вызывающих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представляется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окончательную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формулировку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понятия.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действующем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законодательстве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понятие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закреплено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стандартах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утвержденных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постановлением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Правительства: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</w:t>
      </w:r>
      <w:r w:rsidRPr="0005326C">
        <w:rPr>
          <w:bCs/>
          <w:sz w:val="28"/>
          <w:szCs w:val="28"/>
        </w:rPr>
        <w:t>ликвидационная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стоимость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отчужден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меньше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обычного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аналогичных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объектов».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детализированное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верное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содержится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Стандартах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оценщиков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(РОО)</w:t>
      </w:r>
      <w:bookmarkStart w:id="2" w:name="_ftnref5"/>
      <w:r w:rsidR="0052685D" w:rsidRPr="00F43FDA">
        <w:t>http://www.audit-it.ru/articles/appraisal/a108/40725.html - _ftn5</w:t>
      </w:r>
      <w:bookmarkEnd w:id="2"/>
      <w:r w:rsidRPr="0005326C">
        <w:rPr>
          <w:sz w:val="28"/>
          <w:szCs w:val="28"/>
        </w:rPr>
        <w:t>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</w:t>
      </w:r>
      <w:r w:rsidRPr="0005326C">
        <w:rPr>
          <w:bCs/>
          <w:sz w:val="28"/>
          <w:szCs w:val="28"/>
        </w:rPr>
        <w:t>ликвидационная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стоимость,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или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стоимость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при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вынужденной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продаже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денежная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слишком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короткие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проведения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адекватного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маркетинга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некоторых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государствах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ситуациям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могут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отнесены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недобровольным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продавцом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покупателем,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покупателями,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информированными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затруднениях,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испытываемых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продавцом»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западной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литературе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различают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упорядоченная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(orderly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liquidation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value)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(forced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sale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value).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Вторая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первая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предполагает,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достаточно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того,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оптимально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приближен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среднерыночному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[8].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избегать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подмены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чистого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дохода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возникает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окончания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полезной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эксплуатации.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производится,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правило,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наиболее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эффективным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целью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частичной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компенсации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прошлом.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повседневной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практике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нормативно-законодательного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регулирования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закрепления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однозначного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толкования.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Например,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21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июля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1997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№119-ФЗ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«Об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исполнительном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производстве»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рассчитывать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реализовано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торгов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месяцев.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реализовываться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торгов,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промежуток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характерно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нерыночных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понятию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закрепленному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статье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3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29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июля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1998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№135-ФЗ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«Об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Федерации».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более,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понятие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«Стандартах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субъектами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деятельности»,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утвержденных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постановлением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Правительства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РФ.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оценщикам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исчислять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рыночную,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арестованного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Налицо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противоречие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между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различными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[7].</w:t>
      </w:r>
    </w:p>
    <w:p w:rsidR="00E534F8" w:rsidRDefault="00E534F8">
      <w:pPr>
        <w:spacing w:after="200" w:line="276" w:lineRule="auto"/>
        <w:rPr>
          <w:bCs/>
          <w:iCs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E6361E" w:rsidRPr="00E534F8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E534F8">
        <w:rPr>
          <w:i w:val="0"/>
          <w:sz w:val="28"/>
          <w:szCs w:val="28"/>
        </w:rPr>
        <w:t>2.2.2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Анализ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факторов,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обуславливающих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отличие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ликвидационной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стоимости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от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рыночной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Факторы,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лежащие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сопутствующие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ей.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sz w:val="28"/>
          <w:szCs w:val="28"/>
        </w:rPr>
        <w:t>Объективные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факторы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присутствуют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любой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влияние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невозможно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учитывать,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практически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зависят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положения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исключением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общего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объективные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оказывают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взаимное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влияние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один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другой.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например,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благоприятная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конъюнктура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снизить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оптимальные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т.д.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Важнейшим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влияющим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различия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стоимостях,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выступает</w:t>
      </w:r>
      <w:r w:rsidR="0005326C">
        <w:rPr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срок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экспозиции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имущества</w:t>
      </w:r>
      <w:r w:rsidRPr="0005326C">
        <w:rPr>
          <w:sz w:val="28"/>
          <w:szCs w:val="28"/>
        </w:rPr>
        <w:t>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ниже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планируемый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ликвидируемого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оптимальным,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сильнее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снижается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Фактически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основополагающим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влияющим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остальные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усиления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воздействия,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ослабления.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Очевидно,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увеличении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планируемого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больше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возможностей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эффективных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маркетинговых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мероприятий,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нивелирования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негативного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влияния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краткосрочных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конъюнктурообразующих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т.</w:t>
      </w:r>
      <w:r w:rsidR="00E534F8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[2].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iCs/>
          <w:sz w:val="28"/>
          <w:szCs w:val="28"/>
        </w:rPr>
        <w:t>Общая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инвестиционная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привлекательность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объекта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основывается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индивидуальных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характеристиках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(функциональном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назначении,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физическом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оказывает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непосредственное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влияние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уровень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потребительского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спроса.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рассматриваемом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активизируются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специфические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назвать</w:t>
      </w:r>
      <w:r w:rsidR="0005326C">
        <w:rPr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«факторами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выделения»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принципе,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очень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близки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привлекательности).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сводится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тому,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многие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комплекса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индивидуально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представляют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себя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никакой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фактически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могут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реализованы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нормальной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рамках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ликвидируемого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играли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значительную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роль.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Особенно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негативно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воздействие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анализируемого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аспекта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называемые,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неосязаемые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первую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очередь,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деловую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репутацию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фирмы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(гудвилл),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включает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себя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персонала,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поставщиками,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отлаженность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структуры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бизнеса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т.д.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этот,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подчас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один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самых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представляется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[3].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iCs/>
          <w:sz w:val="28"/>
          <w:szCs w:val="28"/>
        </w:rPr>
        <w:t>Абсолютная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величина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рыночной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стоимости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объекта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sz w:val="28"/>
          <w:szCs w:val="28"/>
        </w:rPr>
        <w:t>оказывает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обратное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воздействие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уровень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меньше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становится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платежеспособный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спрос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уменьшением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количества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потенциальных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покупателей.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непосредственного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воздействия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уровень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конъюнктура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рынка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дольше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больше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возможностей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проанализировать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выбрать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наиболее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оптимальный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вариант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сложившихся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обстоятельствах.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наоборот,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непродолжительном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неблагоприятной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конъюнктуре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потери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больше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возрастать.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надеяться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общий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подъем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непродолжительный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компании,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меньшей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мере,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неразумно.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iCs/>
          <w:sz w:val="28"/>
          <w:szCs w:val="28"/>
        </w:rPr>
        <w:t>Эффективность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bCs/>
          <w:iCs/>
          <w:sz w:val="28"/>
          <w:szCs w:val="28"/>
        </w:rPr>
        <w:t>маркетинга</w:t>
      </w:r>
      <w:r w:rsidR="0005326C">
        <w:rPr>
          <w:bCs/>
          <w:iCs/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значительно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осложняется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краткосрочностью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отведенного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проведения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соответствующих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мероприятий.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Однако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равной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степени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средств,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используемых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увеличения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Еще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важным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объективным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психологический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аспект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выражается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воздействии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инициативу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покупателей.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Причем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воздействие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достаточно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двоякое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чувствуя,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продавец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находится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изначально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невыгодных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начинают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демпинговать,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ощущая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конкуренцию,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боятся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упустить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реализуемое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идти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компромисс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[12].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bCs/>
          <w:sz w:val="28"/>
          <w:szCs w:val="28"/>
        </w:rPr>
        <w:t>Субъективные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факторы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отражают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специфику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Особенно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негативно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проявляются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неэффективными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управленцами,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приводит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значительным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затруднениям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подобным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относится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система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явлений.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инвентаризация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фондов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обанкротившихся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почти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затруднена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бухгалтерских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регистров,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отсутствием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технических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паспортов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оборудование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паспортов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недвижимости.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ряд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продолжает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отсутствие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документов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запутанность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учета,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отсутствие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сотрудников,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могут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разъяснения.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приводят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тому,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составлением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приходится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смысле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слова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«разгребать»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восстанавливать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цепочки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возникновения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обязательств,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стороны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партнеров.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приводит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колоссальному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осложнению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Однако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неверным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думать,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рассмотренные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носят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негативный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характер.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Наоборот,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четкая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организационная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структура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эффективная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добросовестная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подразделений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могут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способствовать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значительному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ускорению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процессов.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Действительно,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вместо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того,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потратить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3-6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месяцев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выявление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текущего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бесхозности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лучше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было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увеличения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комплекса,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очень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немаловажно.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таблице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приведен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сложностей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обуславливающих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сложности,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разбивке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отдельным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[9].</w:t>
      </w:r>
    </w:p>
    <w:p w:rsidR="00E6361E" w:rsidRPr="0005326C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</w:p>
    <w:p w:rsidR="00E6361E" w:rsidRPr="00E534F8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i w:val="0"/>
          <w:sz w:val="28"/>
          <w:szCs w:val="28"/>
        </w:rPr>
      </w:pPr>
      <w:r w:rsidRPr="00E534F8">
        <w:rPr>
          <w:i w:val="0"/>
          <w:sz w:val="28"/>
          <w:szCs w:val="28"/>
        </w:rPr>
        <w:t>2.2.3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Общие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методологические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проблемы</w:t>
      </w:r>
      <w:r w:rsidR="00E534F8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расчета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ликвидационной</w:t>
      </w:r>
      <w:r w:rsidR="0005326C" w:rsidRPr="00E534F8">
        <w:rPr>
          <w:i w:val="0"/>
          <w:sz w:val="28"/>
          <w:szCs w:val="28"/>
        </w:rPr>
        <w:t xml:space="preserve"> </w:t>
      </w:r>
      <w:r w:rsidRPr="00E534F8">
        <w:rPr>
          <w:i w:val="0"/>
          <w:sz w:val="28"/>
          <w:szCs w:val="28"/>
        </w:rPr>
        <w:t>стоимости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Упрощенная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схема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выглядит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следующим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образом: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Pr="0005326C">
        <w:rPr>
          <w:iCs/>
          <w:sz w:val="28"/>
          <w:szCs w:val="28"/>
        </w:rPr>
        <w:t>корректированная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(переоцененная)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стоимость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всех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активов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сумма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текущих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затрат,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связанных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с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ликвидацией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(затраты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на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сохранение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активов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до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их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продажи,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управленческие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расходы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и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т.д.)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величина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всех</w:t>
      </w:r>
      <w:r w:rsidR="0005326C">
        <w:rPr>
          <w:iCs/>
          <w:sz w:val="28"/>
          <w:szCs w:val="28"/>
        </w:rPr>
        <w:t xml:space="preserve"> </w:t>
      </w:r>
      <w:r w:rsidRPr="0005326C">
        <w:rPr>
          <w:iCs/>
          <w:sz w:val="28"/>
          <w:szCs w:val="28"/>
        </w:rPr>
        <w:t>обязательств.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Остановимся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рассмотрении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ключевых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возникающих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стоимости.</w:t>
      </w:r>
    </w:p>
    <w:p w:rsidR="00E6361E" w:rsidRPr="0005326C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05326C">
        <w:rPr>
          <w:b w:val="0"/>
          <w:i w:val="0"/>
          <w:iCs w:val="0"/>
          <w:sz w:val="28"/>
          <w:szCs w:val="28"/>
        </w:rPr>
        <w:t>Специфические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характеристики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ликвидируемых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предприятий.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Прежде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всего,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учесть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обстоятельство,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большинстве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ликвидируемых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учета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юридическое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сопровождение,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мягко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говоря,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оставляют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желать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лучшего.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усугубляют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Скажем,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один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оформления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недвижимости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занимает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достаточно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долгое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(вплоть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нескольких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месяцев).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Кроме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того,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техническое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фондов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предприятий-банкротов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почти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дополнительных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капитальных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вложений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покупке,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сужает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круг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потенциальных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покупателей.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Особое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внимание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уделить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функционального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морального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износа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правило,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фонды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приобретались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давно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отвечают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современным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технологическим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функциональным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[10].</w:t>
      </w:r>
    </w:p>
    <w:p w:rsidR="00E6361E" w:rsidRPr="0005326C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05326C">
        <w:rPr>
          <w:b w:val="0"/>
          <w:i w:val="0"/>
          <w:iCs w:val="0"/>
          <w:sz w:val="28"/>
          <w:szCs w:val="28"/>
        </w:rPr>
        <w:t>Применение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подходов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к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оценке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подхода: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доходный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(основанный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выгодах,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могут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владельцем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будущем),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сравнительный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(основанный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аналогичных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открытом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рынке)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(основанный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издержек,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понес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потенциальный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владелец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приобретении/воссоздании).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Исходя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невозможности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донести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потенциальных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информации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преимуществах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следствие,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самостоятельного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ориентировочной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путем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открытого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представляется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целесообразным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сакцентировать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внимание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сравнительном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(рыночном)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Однако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вовсе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исключает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рамках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двух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подходов.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более,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возникают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сравнительного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вообще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невозможно.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выведении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окончательной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особенно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тщательно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отнестись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вопросу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согласования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рамках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подходов.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согласовании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недвижимости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затратному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вследствие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специфики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инвестиционного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климата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придавать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большой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удельный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вес.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строительство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жилой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недвижимости,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втором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находятся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строительство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офисных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зданий.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строительство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промышленных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торговых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комплексов,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правило,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осуществляются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крупными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финансовыми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холдингами,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большая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часть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потенциальных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владельцев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недвижимости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предпочитает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построенное,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итоге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выходит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дешевле,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строительство.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Соответственно,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наибольший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удельный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согласовании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придать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сравнительному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[5].</w:t>
      </w:r>
    </w:p>
    <w:p w:rsidR="00E6361E" w:rsidRPr="0005326C" w:rsidRDefault="00E6361E" w:rsidP="0005326C">
      <w:pPr>
        <w:pStyle w:val="5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05326C">
        <w:rPr>
          <w:b w:val="0"/>
          <w:i w:val="0"/>
          <w:iCs w:val="0"/>
          <w:sz w:val="28"/>
          <w:szCs w:val="28"/>
        </w:rPr>
        <w:t>Переход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от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рыночной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к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ликвидационной</w:t>
      </w:r>
      <w:r w:rsidR="0005326C">
        <w:rPr>
          <w:b w:val="0"/>
          <w:i w:val="0"/>
          <w:iCs w:val="0"/>
          <w:sz w:val="28"/>
          <w:szCs w:val="28"/>
        </w:rPr>
        <w:t xml:space="preserve"> </w:t>
      </w:r>
      <w:r w:rsidRPr="0005326C">
        <w:rPr>
          <w:b w:val="0"/>
          <w:i w:val="0"/>
          <w:iCs w:val="0"/>
          <w:sz w:val="28"/>
          <w:szCs w:val="28"/>
        </w:rPr>
        <w:t>стоимости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вопросом,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возникающим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вопрос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перехода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Pr="0005326C">
        <w:rPr>
          <w:bCs/>
          <w:sz w:val="28"/>
          <w:szCs w:val="28"/>
        </w:rPr>
        <w:t>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Вообще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рассчитана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двумя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методами: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Прямой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основывается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исключительно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сравнительном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подходе.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реализуется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путем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прямого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аналогами,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либо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через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статистическое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моделирование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(корреляционно-регрессионный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Однако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информация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сделок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труднодоступна,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обуславливает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крайнюю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Хотя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наличия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информации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обладает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высокой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степенью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объективности.</w:t>
      </w:r>
    </w:p>
    <w:p w:rsidR="00E6361E" w:rsidRPr="0005326C" w:rsidRDefault="00E6361E" w:rsidP="0005326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Косвенный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основывается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исходя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стоимости.</w:t>
      </w:r>
    </w:p>
    <w:p w:rsidR="00E6361E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Схема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косвенного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выглядит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следующим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образом:</w:t>
      </w:r>
    </w:p>
    <w:p w:rsidR="00E534F8" w:rsidRPr="0005326C" w:rsidRDefault="00E534F8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2"/>
        <w:gridCol w:w="425"/>
        <w:gridCol w:w="4644"/>
      </w:tblGrid>
      <w:tr w:rsidR="00E6361E" w:rsidRPr="00F43FDA" w:rsidTr="00F43FDA">
        <w:tc>
          <w:tcPr>
            <w:tcW w:w="2352" w:type="pct"/>
            <w:shd w:val="clear" w:color="auto" w:fill="auto"/>
          </w:tcPr>
          <w:p w:rsidR="00E6361E" w:rsidRPr="00F43FDA" w:rsidRDefault="00E6361E" w:rsidP="00F43FDA">
            <w:pPr>
              <w:widowControl w:val="0"/>
              <w:tabs>
                <w:tab w:val="left" w:pos="85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43FDA">
              <w:rPr>
                <w:iCs/>
                <w:sz w:val="20"/>
                <w:szCs w:val="20"/>
              </w:rPr>
              <w:t>рыночная</w:t>
            </w:r>
            <w:r w:rsidR="0005326C" w:rsidRPr="00F43FDA">
              <w:rPr>
                <w:iCs/>
                <w:sz w:val="20"/>
                <w:szCs w:val="20"/>
              </w:rPr>
              <w:t xml:space="preserve"> </w:t>
            </w:r>
            <w:r w:rsidRPr="00F43FDA">
              <w:rPr>
                <w:iCs/>
                <w:sz w:val="20"/>
                <w:szCs w:val="20"/>
              </w:rPr>
              <w:t>стоимость</w:t>
            </w:r>
            <w:r w:rsidR="0005326C" w:rsidRPr="00F43FDA">
              <w:rPr>
                <w:iCs/>
                <w:sz w:val="20"/>
                <w:szCs w:val="20"/>
              </w:rPr>
              <w:t xml:space="preserve"> </w:t>
            </w:r>
            <w:r w:rsidRPr="00F43FDA">
              <w:rPr>
                <w:iCs/>
                <w:sz w:val="20"/>
                <w:szCs w:val="20"/>
              </w:rPr>
              <w:t>объекта</w:t>
            </w:r>
          </w:p>
        </w:tc>
        <w:tc>
          <w:tcPr>
            <w:tcW w:w="222" w:type="pct"/>
            <w:shd w:val="clear" w:color="auto" w:fill="auto"/>
          </w:tcPr>
          <w:p w:rsidR="00E6361E" w:rsidRPr="00F43FDA" w:rsidRDefault="00E6361E" w:rsidP="00F43FDA">
            <w:pPr>
              <w:widowControl w:val="0"/>
              <w:tabs>
                <w:tab w:val="left" w:pos="85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43FDA">
              <w:rPr>
                <w:iCs/>
                <w:sz w:val="20"/>
                <w:szCs w:val="20"/>
              </w:rPr>
              <w:t>–</w:t>
            </w:r>
          </w:p>
        </w:tc>
        <w:tc>
          <w:tcPr>
            <w:tcW w:w="2426" w:type="pct"/>
            <w:shd w:val="clear" w:color="auto" w:fill="auto"/>
          </w:tcPr>
          <w:p w:rsidR="00E6361E" w:rsidRPr="00F43FDA" w:rsidRDefault="00E6361E" w:rsidP="00F43FDA">
            <w:pPr>
              <w:widowControl w:val="0"/>
              <w:tabs>
                <w:tab w:val="left" w:pos="85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43FDA">
              <w:rPr>
                <w:iCs/>
                <w:sz w:val="20"/>
                <w:szCs w:val="20"/>
              </w:rPr>
              <w:t>скидка</w:t>
            </w:r>
            <w:r w:rsidR="0005326C" w:rsidRPr="00F43FDA">
              <w:rPr>
                <w:iCs/>
                <w:sz w:val="20"/>
                <w:szCs w:val="20"/>
              </w:rPr>
              <w:t xml:space="preserve"> </w:t>
            </w:r>
            <w:r w:rsidRPr="00F43FDA">
              <w:rPr>
                <w:iCs/>
                <w:sz w:val="20"/>
                <w:szCs w:val="20"/>
              </w:rPr>
              <w:t>на</w:t>
            </w:r>
            <w:r w:rsidR="0005326C" w:rsidRPr="00F43FDA">
              <w:rPr>
                <w:iCs/>
                <w:sz w:val="20"/>
                <w:szCs w:val="20"/>
              </w:rPr>
              <w:t xml:space="preserve"> </w:t>
            </w:r>
            <w:r w:rsidRPr="00F43FDA">
              <w:rPr>
                <w:iCs/>
                <w:sz w:val="20"/>
                <w:szCs w:val="20"/>
              </w:rPr>
              <w:t>факт</w:t>
            </w:r>
            <w:r w:rsidR="0005326C" w:rsidRPr="00F43FDA">
              <w:rPr>
                <w:iCs/>
                <w:sz w:val="20"/>
                <w:szCs w:val="20"/>
              </w:rPr>
              <w:t xml:space="preserve"> </w:t>
            </w:r>
            <w:r w:rsidRPr="00F43FDA">
              <w:rPr>
                <w:iCs/>
                <w:sz w:val="20"/>
                <w:szCs w:val="20"/>
              </w:rPr>
              <w:t>вынужденности</w:t>
            </w:r>
            <w:r w:rsidR="0005326C" w:rsidRPr="00F43FDA">
              <w:rPr>
                <w:iCs/>
                <w:sz w:val="20"/>
                <w:szCs w:val="20"/>
              </w:rPr>
              <w:t xml:space="preserve"> </w:t>
            </w:r>
            <w:r w:rsidRPr="00F43FDA">
              <w:rPr>
                <w:iCs/>
                <w:sz w:val="20"/>
                <w:szCs w:val="20"/>
              </w:rPr>
              <w:t>продажи</w:t>
            </w:r>
          </w:p>
        </w:tc>
      </w:tr>
    </w:tbl>
    <w:p w:rsidR="00E534F8" w:rsidRDefault="00E534F8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методологической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скидки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(поправки,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отражающей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продажи).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Существует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несколько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скидки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характер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сравнения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парных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анализируются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идентичного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обычных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сжатые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экспозиции),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прямого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анализа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характеристик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экспертный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Чаще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обращаются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третьему,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экспертному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методу,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обусловлено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информации.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правило,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скидка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вынужденный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характер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находится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диапазоне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20%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50%.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Безусловно,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поправочного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коэффициента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иным,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любом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коэффициента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предполагает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обоснование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выделение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определяющих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снижение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Возможно,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провести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ранжирование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рамках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каждого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приданием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диапазона,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варьироваться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скидки.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виду,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суммарная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значений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верхних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диапазонов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должна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превышать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100%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[8].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3.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</w:p>
    <w:p w:rsidR="00E534F8" w:rsidRDefault="00E534F8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применять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несколько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1.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(метод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чистых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активов).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выполняется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баланса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последнюю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отчетную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дату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желательно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одновременно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инвентаризацией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дату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Очевидно,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степень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детализации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зависеть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полноты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достоверности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предоставленной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распоряжение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оценщика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информации.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Величина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численно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равна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полученной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чистых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зависеть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маркетинговых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исследований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операций,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составляет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длительный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период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(до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18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месяцев),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затрат,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связанных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маркетингом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процедурой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Наиболее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вероятными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заинтересованными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лицами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будут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учредители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акционеры,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чаще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всего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хотят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сохранить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нынешнем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виде.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2.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«Методическими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рекомендациями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ускоренному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порядку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процедур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банкротства».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нормативно-расчетной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имеющей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место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связи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плановой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Результатом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становится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появление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двух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долгами,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тогда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другое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становится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обладателем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без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долгов.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3.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классическим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аукционным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способом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—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путем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раздельной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[7].</w:t>
      </w:r>
    </w:p>
    <w:p w:rsidR="00E534F8" w:rsidRPr="00F43FDA" w:rsidRDefault="00381B4A">
      <w:pPr>
        <w:spacing w:after="200" w:line="276" w:lineRule="auto"/>
        <w:rPr>
          <w:color w:val="FFFFFF"/>
          <w:sz w:val="28"/>
          <w:szCs w:val="28"/>
        </w:rPr>
      </w:pPr>
      <w:r w:rsidRPr="00F43FDA">
        <w:rPr>
          <w:color w:val="FFFFFF"/>
          <w:sz w:val="28"/>
          <w:szCs w:val="28"/>
        </w:rPr>
        <w:t>ликвидационный оценка стоимость банкротство</w:t>
      </w:r>
    </w:p>
    <w:p w:rsidR="00E534F8" w:rsidRDefault="00E534F8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6361E" w:rsidRPr="00E534F8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534F8">
        <w:rPr>
          <w:b/>
          <w:sz w:val="28"/>
          <w:szCs w:val="28"/>
        </w:rPr>
        <w:t>Заключение</w:t>
      </w:r>
    </w:p>
    <w:p w:rsidR="00E534F8" w:rsidRDefault="00E534F8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действующего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может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проводиться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оптимальных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стратегических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направлений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развития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целью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максимизации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перспективе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эффективного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позволит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собственникам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максимальной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степени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удовлетворить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интересы.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уровнях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момент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зависимости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проводимой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определяют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различные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рыночную,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ограниченным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инвестиционную,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налогооблагаемую,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утилизационную,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ликвидационную,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воспроизводства,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замещения,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существующем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использовании,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специальную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[10].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Любой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рассчитываемый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оценщиком,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историческим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фактором,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конкретного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момент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времени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выбранной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целью.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Любой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выражает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взгляд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выгоду,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имеет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собственник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данного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покупатель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момент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любого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объекта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собственности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полезность.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Процесс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базируется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принципах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стандартах.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Основными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принципами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являются: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принцип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полезности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доходности,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принцип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замещения,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ожидания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предвидения,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принцип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эффективного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вклада,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остаточной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продуктивности,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предельной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производительности,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соответствия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требованиям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[банкротство].</w:t>
      </w:r>
    </w:p>
    <w:p w:rsidR="00E6361E" w:rsidRPr="0005326C" w:rsidRDefault="00E6361E" w:rsidP="0005326C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Оценщик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работает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заказам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государственных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органов,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инвестиционных,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страховых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институтов,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налоговых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инспекций,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также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граждан.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своей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деятельности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руководствуется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правовыми,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профессиональными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этическими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нормами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[3].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Значимость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для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руководящих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менеджеров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двояка.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Во-первых,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активов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позволяет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предриятиям-покупателям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получать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очевидную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выгоду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дальнейшей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перепродажи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виде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разницы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между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рыночной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стоимостями),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случае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эксплуатации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ситуации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приобретение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аналогичного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имущества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обошлось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дороже).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Во-вторых,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руководящим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менеджерам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необходимо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помнить,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одним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направлений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реструктуризации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(реорганизации)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бизнеса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стратегическое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направление.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рамках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проводятся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мероприятия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слиянию,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присоединению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компаний,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частичной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бизнеса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сжатые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правило,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любое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решение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дальнейшей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судьбе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основывается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разработке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нескольких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вариантов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развития,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среди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которых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предусматривается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возможность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его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ликвидации.</w:t>
      </w:r>
    </w:p>
    <w:p w:rsidR="00E6361E" w:rsidRPr="0005326C" w:rsidRDefault="00E6361E" w:rsidP="0005326C">
      <w:pPr>
        <w:pStyle w:val="a3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Таким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образом,</w:t>
      </w:r>
      <w:r w:rsidR="0005326C">
        <w:rPr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привлечение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квалифицированных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специалистов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по</w:t>
      </w:r>
      <w:r w:rsidR="0005326C">
        <w:rPr>
          <w:bCs/>
          <w:sz w:val="28"/>
          <w:szCs w:val="28"/>
        </w:rPr>
        <w:t xml:space="preserve"> </w:t>
      </w:r>
      <w:r w:rsidRPr="0005326C">
        <w:rPr>
          <w:bCs/>
          <w:sz w:val="28"/>
          <w:szCs w:val="28"/>
        </w:rPr>
        <w:t>оценке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позволит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максимизировать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эффективность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расчета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что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является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важной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составляющей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итогового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результата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процесса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[2].</w:t>
      </w:r>
    </w:p>
    <w:p w:rsidR="00E6361E" w:rsidRPr="0005326C" w:rsidRDefault="00E6361E" w:rsidP="0005326C">
      <w:pPr>
        <w:pStyle w:val="jus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Style w:val="sz12"/>
          <w:sz w:val="28"/>
          <w:szCs w:val="28"/>
        </w:rPr>
      </w:pPr>
      <w:r w:rsidRPr="0005326C">
        <w:rPr>
          <w:rStyle w:val="sz12"/>
          <w:sz w:val="28"/>
          <w:szCs w:val="28"/>
        </w:rPr>
        <w:t>При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расчете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ликвидационной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стоимости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предприятия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необходимо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учесть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вычесть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из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восстановительной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стоимости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активов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затраты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на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ликвидацию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предприятия.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Это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административные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издержки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по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поддержанию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работы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предприятия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вплоть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до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завершения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его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ликвидации,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выходные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пособия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выплаты,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расходы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на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перевозку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проданных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активов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пр.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Вырученная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от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продажи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активов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денежная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сумма,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очищенная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от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сопутствующих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затрат,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дисконтируется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на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дату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оценки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по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повышенной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ставке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дисконта,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учитывающей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связанный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с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этой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продажей</w:t>
      </w:r>
      <w:r w:rsidR="0005326C">
        <w:rPr>
          <w:rStyle w:val="sz12"/>
          <w:sz w:val="28"/>
          <w:szCs w:val="28"/>
        </w:rPr>
        <w:t xml:space="preserve"> </w:t>
      </w:r>
      <w:r w:rsidRPr="0005326C">
        <w:rPr>
          <w:rStyle w:val="sz12"/>
          <w:sz w:val="28"/>
          <w:szCs w:val="28"/>
        </w:rPr>
        <w:t>риск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[8].</w:t>
      </w:r>
    </w:p>
    <w:p w:rsidR="00E6361E" w:rsidRPr="0005326C" w:rsidRDefault="00E6361E" w:rsidP="0005326C">
      <w:pPr>
        <w:pStyle w:val="jus"/>
        <w:widowControl w:val="0"/>
        <w:tabs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rStyle w:val="sz12"/>
          <w:sz w:val="28"/>
          <w:szCs w:val="28"/>
        </w:rPr>
      </w:pPr>
    </w:p>
    <w:p w:rsidR="00E534F8" w:rsidRDefault="00E534F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6361E" w:rsidRDefault="00E6361E" w:rsidP="0005326C">
      <w:pPr>
        <w:pStyle w:val="4"/>
        <w:keepNext w:val="0"/>
        <w:widowControl w:val="0"/>
        <w:tabs>
          <w:tab w:val="left" w:pos="851"/>
        </w:tabs>
        <w:spacing w:before="0" w:after="0" w:line="360" w:lineRule="auto"/>
        <w:ind w:firstLine="709"/>
        <w:jc w:val="both"/>
        <w:rPr>
          <w:b w:val="0"/>
        </w:rPr>
      </w:pPr>
      <w:r w:rsidRPr="0005326C">
        <w:rPr>
          <w:b w:val="0"/>
        </w:rPr>
        <w:t>Список</w:t>
      </w:r>
      <w:r w:rsidR="0005326C">
        <w:rPr>
          <w:b w:val="0"/>
        </w:rPr>
        <w:t xml:space="preserve"> </w:t>
      </w:r>
      <w:r w:rsidRPr="0005326C">
        <w:rPr>
          <w:b w:val="0"/>
        </w:rPr>
        <w:t>использованной</w:t>
      </w:r>
      <w:r w:rsidR="0005326C">
        <w:rPr>
          <w:b w:val="0"/>
        </w:rPr>
        <w:t xml:space="preserve"> </w:t>
      </w:r>
      <w:r w:rsidRPr="0005326C">
        <w:rPr>
          <w:b w:val="0"/>
        </w:rPr>
        <w:t>литературы</w:t>
      </w:r>
    </w:p>
    <w:p w:rsidR="00E534F8" w:rsidRDefault="00E534F8" w:rsidP="00E534F8">
      <w:pPr>
        <w:widowControl w:val="0"/>
        <w:tabs>
          <w:tab w:val="left" w:pos="284"/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Бандурин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В.В.,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Ларицкий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В.Е.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Проблемы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несостоятельными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предприятиями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условиях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переходной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Наука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экономика,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2008.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Галасюк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В.</w:t>
      </w:r>
      <w:r w:rsidR="00E534F8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«Об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определении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понятия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стоимость»-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ИНФРА,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2005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Григорьев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В.В.,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Федотова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теория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практика.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ИНФРА-М,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2005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Долгин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«Порядок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(особенности)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проведения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ликвидационной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конкурсной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массы»,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статья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журнале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«Антикризисное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управление»,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апрель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2007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Крейнина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М.Н.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Финансовое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предприятия.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Методы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ИКЦ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"Дис",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2007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Мамай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А.Н.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Некоторые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аспекты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применения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сроков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исковой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давности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//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1,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январь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2008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«Оценка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бизнеса»: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под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ред.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А.Г.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Грязновой,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Федотовой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статистика,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2007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Попов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А.В.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Финансовое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оздоровление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новая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процедура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//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Законодательство.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№3-4.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2006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Свириденко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О.М.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Назначение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цели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института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хозяйственном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обороте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Право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экономика.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№3.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март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2008г.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Семенова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О.П.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Как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оценить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финансовое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состояние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организации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угрозу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банкротства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//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Налоговый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вестник.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4.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апрель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2007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Федеральный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от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26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октября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2002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№127-ФЗ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«О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несостоятельности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(банкротстве)»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//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Собрание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законодательства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Российской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Федерации.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28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октября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2007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-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№43.</w:t>
      </w:r>
    </w:p>
    <w:p w:rsidR="00E6361E" w:rsidRPr="0005326C" w:rsidRDefault="00E6361E" w:rsidP="00E534F8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pos="851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5326C">
        <w:rPr>
          <w:sz w:val="28"/>
          <w:szCs w:val="28"/>
        </w:rPr>
        <w:t>Чемерикин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«Ликвидационная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стоимость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в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оценке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недвижимости».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–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М.: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Финансы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и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статистика,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2006</w:t>
      </w:r>
      <w:r w:rsidR="0005326C">
        <w:rPr>
          <w:sz w:val="28"/>
          <w:szCs w:val="28"/>
        </w:rPr>
        <w:t xml:space="preserve"> </w:t>
      </w:r>
      <w:r w:rsidRPr="0005326C">
        <w:rPr>
          <w:sz w:val="28"/>
          <w:szCs w:val="28"/>
        </w:rPr>
        <w:t>г.</w:t>
      </w:r>
    </w:p>
    <w:p w:rsidR="0047781E" w:rsidRPr="00F43FDA" w:rsidRDefault="0047781E" w:rsidP="00E534F8">
      <w:pPr>
        <w:widowControl w:val="0"/>
        <w:tabs>
          <w:tab w:val="left" w:pos="426"/>
          <w:tab w:val="left" w:pos="851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3" w:name="_GoBack"/>
      <w:bookmarkEnd w:id="3"/>
    </w:p>
    <w:sectPr w:rsidR="0047781E" w:rsidRPr="00F43FDA" w:rsidSect="0005326C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416" w:rsidRDefault="00180416" w:rsidP="0005326C">
      <w:r>
        <w:separator/>
      </w:r>
    </w:p>
  </w:endnote>
  <w:endnote w:type="continuationSeparator" w:id="0">
    <w:p w:rsidR="00180416" w:rsidRDefault="00180416" w:rsidP="0005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26C" w:rsidRDefault="0005326C" w:rsidP="0005326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5326C" w:rsidRDefault="0005326C" w:rsidP="0005326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26C" w:rsidRDefault="0005326C" w:rsidP="0005326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3FDA">
      <w:rPr>
        <w:rStyle w:val="a6"/>
        <w:noProof/>
      </w:rPr>
      <w:t>2</w:t>
    </w:r>
    <w:r>
      <w:rPr>
        <w:rStyle w:val="a6"/>
      </w:rPr>
      <w:fldChar w:fldCharType="end"/>
    </w:r>
  </w:p>
  <w:p w:rsidR="0005326C" w:rsidRDefault="0005326C" w:rsidP="0005326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416" w:rsidRDefault="00180416" w:rsidP="0005326C">
      <w:r>
        <w:separator/>
      </w:r>
    </w:p>
  </w:footnote>
  <w:footnote w:type="continuationSeparator" w:id="0">
    <w:p w:rsidR="00180416" w:rsidRDefault="00180416" w:rsidP="00053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26C" w:rsidRPr="0005326C" w:rsidRDefault="0005326C" w:rsidP="0005326C">
    <w:pPr>
      <w:pStyle w:val="a8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26C" w:rsidRPr="0005326C" w:rsidRDefault="0005326C" w:rsidP="0005326C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45987"/>
    <w:multiLevelType w:val="hybridMultilevel"/>
    <w:tmpl w:val="A14EB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9F273FD"/>
    <w:multiLevelType w:val="hybridMultilevel"/>
    <w:tmpl w:val="F9EA1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0362982"/>
    <w:multiLevelType w:val="hybridMultilevel"/>
    <w:tmpl w:val="5622D2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7E3C79"/>
    <w:multiLevelType w:val="hybridMultilevel"/>
    <w:tmpl w:val="74CAD0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361E"/>
    <w:rsid w:val="00020345"/>
    <w:rsid w:val="0005326C"/>
    <w:rsid w:val="000631A2"/>
    <w:rsid w:val="00077D15"/>
    <w:rsid w:val="00086AA6"/>
    <w:rsid w:val="000A14DB"/>
    <w:rsid w:val="000B3504"/>
    <w:rsid w:val="00145B71"/>
    <w:rsid w:val="00180416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81B4A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2685D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71A30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9F6025"/>
    <w:rsid w:val="00A05B06"/>
    <w:rsid w:val="00A12F43"/>
    <w:rsid w:val="00A17112"/>
    <w:rsid w:val="00A522BD"/>
    <w:rsid w:val="00A91664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34F8"/>
    <w:rsid w:val="00E547D2"/>
    <w:rsid w:val="00E6361E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43FDA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481C9E-3E6C-4226-BB33-C0E870B9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61E"/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E636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6361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E6361E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E6361E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a3">
    <w:name w:val="Normal (Web)"/>
    <w:basedOn w:val="a"/>
    <w:uiPriority w:val="99"/>
    <w:rsid w:val="00E6361E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E6361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E6361E"/>
    <w:rPr>
      <w:rFonts w:ascii="Times New Roman" w:hAnsi="Times New Roman" w:cs="Times New Roman"/>
      <w:sz w:val="24"/>
      <w:szCs w:val="24"/>
      <w:lang w:val="x-none" w:eastAsia="ru-RU"/>
    </w:rPr>
  </w:style>
  <w:style w:type="character" w:styleId="a6">
    <w:name w:val="page number"/>
    <w:uiPriority w:val="99"/>
    <w:rsid w:val="00E6361E"/>
    <w:rPr>
      <w:rFonts w:cs="Times New Roman"/>
    </w:rPr>
  </w:style>
  <w:style w:type="paragraph" w:customStyle="1" w:styleId="jus">
    <w:name w:val="jus"/>
    <w:basedOn w:val="a"/>
    <w:rsid w:val="00E6361E"/>
    <w:pPr>
      <w:spacing w:before="100" w:beforeAutospacing="1" w:after="100" w:afterAutospacing="1"/>
    </w:pPr>
  </w:style>
  <w:style w:type="character" w:customStyle="1" w:styleId="sz12">
    <w:name w:val="sz12"/>
    <w:rsid w:val="00E6361E"/>
    <w:rPr>
      <w:rFonts w:cs="Times New Roman"/>
    </w:rPr>
  </w:style>
  <w:style w:type="character" w:styleId="a7">
    <w:name w:val="Hyperlink"/>
    <w:uiPriority w:val="99"/>
    <w:rsid w:val="00E6361E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0532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05326C"/>
    <w:rPr>
      <w:rFonts w:ascii="Times New Roman" w:hAnsi="Times New Roman" w:cs="Times New Roman"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E534F8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6627</Words>
  <Characters>37779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44318</CharactersWithSpaces>
  <SharedDoc>false</SharedDoc>
  <HLinks>
    <vt:vector size="6" baseType="variant">
      <vt:variant>
        <vt:i4>4390958</vt:i4>
      </vt:variant>
      <vt:variant>
        <vt:i4>0</vt:i4>
      </vt:variant>
      <vt:variant>
        <vt:i4>0</vt:i4>
      </vt:variant>
      <vt:variant>
        <vt:i4>5</vt:i4>
      </vt:variant>
      <vt:variant>
        <vt:lpwstr>http://www.audit-it.ru/articles/appraisal/a108/40725.html</vt:lpwstr>
      </vt:variant>
      <vt:variant>
        <vt:lpwstr>_ftn3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2014-03-26T23:54:00Z</dcterms:created>
  <dcterms:modified xsi:type="dcterms:W3CDTF">2014-03-26T23:54:00Z</dcterms:modified>
</cp:coreProperties>
</file>