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58AF" w:rsidRPr="007508CA" w:rsidRDefault="007A3510" w:rsidP="007A3510">
      <w:pPr>
        <w:pStyle w:val="ab"/>
        <w:spacing w:before="0" w:line="360" w:lineRule="auto"/>
        <w:ind w:firstLine="709"/>
        <w:jc w:val="both"/>
        <w:rPr>
          <w:rFonts w:ascii="Times New Roman" w:hAnsi="Times New Roman" w:cs="Times New Roman"/>
          <w:caps/>
          <w:color w:val="auto"/>
          <w:lang w:val="uk-UA"/>
        </w:rPr>
      </w:pPr>
      <w:r w:rsidRPr="007508CA">
        <w:rPr>
          <w:rFonts w:ascii="Times New Roman" w:hAnsi="Times New Roman" w:cs="Times New Roman"/>
          <w:caps/>
          <w:color w:val="auto"/>
          <w:lang w:val="uk-UA"/>
        </w:rPr>
        <w:t>Зміст</w:t>
      </w:r>
    </w:p>
    <w:p w:rsidR="007A3510" w:rsidRPr="007508CA" w:rsidRDefault="007A3510" w:rsidP="007A3510">
      <w:pPr>
        <w:pStyle w:val="11"/>
        <w:spacing w:after="0" w:line="360" w:lineRule="auto"/>
        <w:ind w:firstLine="709"/>
        <w:jc w:val="both"/>
        <w:rPr>
          <w:rFonts w:ascii="Times New Roman" w:hAnsi="Times New Roman" w:cs="Times New Roman"/>
          <w:sz w:val="28"/>
          <w:szCs w:val="28"/>
          <w:lang w:val="ru-RU"/>
        </w:rPr>
      </w:pPr>
    </w:p>
    <w:p w:rsidR="00B8519B" w:rsidRPr="007508CA" w:rsidRDefault="00B8519B" w:rsidP="007A3510">
      <w:pPr>
        <w:pStyle w:val="11"/>
        <w:spacing w:after="0" w:line="360" w:lineRule="auto"/>
        <w:jc w:val="both"/>
        <w:rPr>
          <w:rFonts w:ascii="Times New Roman" w:hAnsi="Times New Roman" w:cs="Times New Roman"/>
          <w:noProof/>
          <w:sz w:val="28"/>
          <w:szCs w:val="28"/>
          <w:lang w:eastAsia="uk-UA"/>
        </w:rPr>
      </w:pPr>
      <w:r w:rsidRPr="00186E2D">
        <w:rPr>
          <w:rFonts w:ascii="Times New Roman" w:hAnsi="Times New Roman" w:cs="Times New Roman"/>
          <w:noProof/>
          <w:sz w:val="28"/>
          <w:szCs w:val="28"/>
        </w:rPr>
        <w:t>ВСТУП</w:t>
      </w:r>
    </w:p>
    <w:p w:rsidR="00B8519B" w:rsidRPr="007508CA" w:rsidRDefault="007A3510" w:rsidP="007A3510">
      <w:pPr>
        <w:pStyle w:val="11"/>
        <w:spacing w:after="0" w:line="360" w:lineRule="auto"/>
        <w:jc w:val="both"/>
        <w:rPr>
          <w:rFonts w:ascii="Times New Roman" w:hAnsi="Times New Roman" w:cs="Times New Roman"/>
          <w:noProof/>
          <w:sz w:val="28"/>
          <w:szCs w:val="28"/>
          <w:lang w:eastAsia="uk-UA"/>
        </w:rPr>
      </w:pPr>
      <w:r w:rsidRPr="00186E2D">
        <w:rPr>
          <w:rFonts w:ascii="Times New Roman" w:hAnsi="Times New Roman" w:cs="Times New Roman"/>
          <w:noProof/>
          <w:sz w:val="28"/>
          <w:szCs w:val="28"/>
          <w:lang w:val="ru-RU"/>
        </w:rPr>
        <w:t>1</w:t>
      </w:r>
      <w:r w:rsidR="00B8519B" w:rsidRPr="00186E2D">
        <w:rPr>
          <w:rFonts w:ascii="Times New Roman" w:hAnsi="Times New Roman" w:cs="Times New Roman"/>
          <w:noProof/>
          <w:sz w:val="28"/>
          <w:szCs w:val="28"/>
          <w:lang w:val="ru-RU"/>
        </w:rPr>
        <w:t xml:space="preserve">. </w:t>
      </w:r>
      <w:r w:rsidR="00B8519B" w:rsidRPr="00186E2D">
        <w:rPr>
          <w:rFonts w:ascii="Times New Roman" w:hAnsi="Times New Roman" w:cs="Times New Roman"/>
          <w:noProof/>
          <w:sz w:val="28"/>
          <w:szCs w:val="28"/>
        </w:rPr>
        <w:t>ЗАГАЛЬНІ ВІДОМОСТІ</w:t>
      </w:r>
      <w:r w:rsidR="00B8519B" w:rsidRPr="00186E2D">
        <w:rPr>
          <w:rFonts w:ascii="Times New Roman" w:hAnsi="Times New Roman" w:cs="Times New Roman"/>
          <w:noProof/>
          <w:sz w:val="28"/>
          <w:szCs w:val="28"/>
          <w:lang w:val="ru-RU"/>
        </w:rPr>
        <w:t xml:space="preserve"> </w:t>
      </w:r>
      <w:r w:rsidR="00B8519B" w:rsidRPr="00186E2D">
        <w:rPr>
          <w:rFonts w:ascii="Times New Roman" w:hAnsi="Times New Roman" w:cs="Times New Roman"/>
          <w:noProof/>
          <w:sz w:val="28"/>
          <w:szCs w:val="28"/>
        </w:rPr>
        <w:t>ПРО ПРОГРАМУ РОЗВИТКУ ООН (ПРОООН)</w:t>
      </w:r>
      <w:r w:rsidRPr="007508CA">
        <w:rPr>
          <w:rFonts w:ascii="Times New Roman" w:hAnsi="Times New Roman" w:cs="Times New Roman"/>
          <w:noProof/>
          <w:sz w:val="28"/>
          <w:szCs w:val="28"/>
          <w:lang w:eastAsia="uk-UA"/>
        </w:rPr>
        <w:t xml:space="preserve"> </w:t>
      </w:r>
    </w:p>
    <w:p w:rsidR="00B8519B" w:rsidRPr="007508CA" w:rsidRDefault="007A3510" w:rsidP="007A3510">
      <w:pPr>
        <w:pStyle w:val="11"/>
        <w:spacing w:after="0" w:line="360" w:lineRule="auto"/>
        <w:jc w:val="both"/>
        <w:rPr>
          <w:rFonts w:ascii="Times New Roman" w:hAnsi="Times New Roman" w:cs="Times New Roman"/>
          <w:noProof/>
          <w:sz w:val="28"/>
          <w:szCs w:val="28"/>
          <w:lang w:eastAsia="uk-UA"/>
        </w:rPr>
      </w:pPr>
      <w:r w:rsidRPr="00186E2D">
        <w:rPr>
          <w:rFonts w:ascii="Times New Roman" w:hAnsi="Times New Roman" w:cs="Times New Roman"/>
          <w:noProof/>
          <w:sz w:val="28"/>
          <w:szCs w:val="28"/>
          <w:lang w:val="ru-RU"/>
        </w:rPr>
        <w:t>2</w:t>
      </w:r>
      <w:r w:rsidR="00B8519B" w:rsidRPr="00186E2D">
        <w:rPr>
          <w:rFonts w:ascii="Times New Roman" w:hAnsi="Times New Roman" w:cs="Times New Roman"/>
          <w:noProof/>
          <w:sz w:val="28"/>
          <w:szCs w:val="28"/>
          <w:lang w:val="ru-RU"/>
        </w:rPr>
        <w:t xml:space="preserve">. </w:t>
      </w:r>
      <w:r w:rsidR="00B8519B" w:rsidRPr="00186E2D">
        <w:rPr>
          <w:rFonts w:ascii="Times New Roman" w:hAnsi="Times New Roman" w:cs="Times New Roman"/>
          <w:noProof/>
          <w:sz w:val="28"/>
          <w:szCs w:val="28"/>
        </w:rPr>
        <w:t>ІНЕДКС ЛЮДСЬКОГО РОЗВИТКУ (ІЛР)</w:t>
      </w:r>
      <w:r w:rsidRPr="007508CA">
        <w:rPr>
          <w:rFonts w:ascii="Times New Roman" w:hAnsi="Times New Roman" w:cs="Times New Roman"/>
          <w:noProof/>
          <w:sz w:val="28"/>
          <w:szCs w:val="28"/>
          <w:lang w:eastAsia="uk-UA"/>
        </w:rPr>
        <w:t xml:space="preserve"> </w:t>
      </w:r>
    </w:p>
    <w:p w:rsidR="00B8519B" w:rsidRPr="007508CA" w:rsidRDefault="007A3510" w:rsidP="007A3510">
      <w:pPr>
        <w:pStyle w:val="11"/>
        <w:spacing w:after="0" w:line="360" w:lineRule="auto"/>
        <w:jc w:val="both"/>
        <w:rPr>
          <w:rFonts w:ascii="Times New Roman" w:hAnsi="Times New Roman" w:cs="Times New Roman"/>
          <w:noProof/>
          <w:sz w:val="28"/>
          <w:szCs w:val="28"/>
          <w:lang w:eastAsia="uk-UA"/>
        </w:rPr>
      </w:pPr>
      <w:r w:rsidRPr="00186E2D">
        <w:rPr>
          <w:rFonts w:ascii="Times New Roman" w:hAnsi="Times New Roman" w:cs="Times New Roman"/>
          <w:noProof/>
          <w:sz w:val="28"/>
          <w:szCs w:val="28"/>
          <w:lang w:val="ru-RU"/>
        </w:rPr>
        <w:t>3</w:t>
      </w:r>
      <w:r w:rsidR="00B8519B" w:rsidRPr="00186E2D">
        <w:rPr>
          <w:rFonts w:ascii="Times New Roman" w:hAnsi="Times New Roman" w:cs="Times New Roman"/>
          <w:noProof/>
          <w:sz w:val="28"/>
          <w:szCs w:val="28"/>
        </w:rPr>
        <w:t>. ВНЕСОК ВІТЧИЗНЯНИХ ВЧЕНИХ</w:t>
      </w:r>
    </w:p>
    <w:p w:rsidR="00B8519B" w:rsidRPr="007508CA" w:rsidRDefault="007A3510" w:rsidP="007A3510">
      <w:pPr>
        <w:pStyle w:val="11"/>
        <w:spacing w:after="0" w:line="360" w:lineRule="auto"/>
        <w:jc w:val="both"/>
        <w:rPr>
          <w:rFonts w:ascii="Times New Roman" w:hAnsi="Times New Roman" w:cs="Times New Roman"/>
          <w:noProof/>
          <w:sz w:val="28"/>
          <w:szCs w:val="28"/>
          <w:lang w:eastAsia="uk-UA"/>
        </w:rPr>
      </w:pPr>
      <w:r w:rsidRPr="00186E2D">
        <w:rPr>
          <w:rFonts w:ascii="Times New Roman" w:hAnsi="Times New Roman" w:cs="Times New Roman"/>
          <w:noProof/>
          <w:sz w:val="28"/>
          <w:szCs w:val="28"/>
          <w:lang w:val="ru-RU"/>
        </w:rPr>
        <w:t>4</w:t>
      </w:r>
      <w:r w:rsidR="00B8519B" w:rsidRPr="00186E2D">
        <w:rPr>
          <w:rFonts w:ascii="Times New Roman" w:hAnsi="Times New Roman" w:cs="Times New Roman"/>
          <w:noProof/>
          <w:sz w:val="28"/>
          <w:szCs w:val="28"/>
        </w:rPr>
        <w:t>. КЛАСИФІКАЦІЯ КРАЇН ВІДПОВІДНО ІЛР</w:t>
      </w:r>
    </w:p>
    <w:p w:rsidR="00B8519B" w:rsidRPr="007508CA" w:rsidRDefault="007A3510" w:rsidP="007A3510">
      <w:pPr>
        <w:pStyle w:val="11"/>
        <w:spacing w:after="0" w:line="360" w:lineRule="auto"/>
        <w:jc w:val="both"/>
        <w:rPr>
          <w:rFonts w:ascii="Times New Roman" w:hAnsi="Times New Roman" w:cs="Times New Roman"/>
          <w:noProof/>
          <w:sz w:val="28"/>
          <w:szCs w:val="28"/>
          <w:lang w:eastAsia="uk-UA"/>
        </w:rPr>
      </w:pPr>
      <w:r w:rsidRPr="00186E2D">
        <w:rPr>
          <w:rFonts w:ascii="Times New Roman" w:hAnsi="Times New Roman" w:cs="Times New Roman"/>
          <w:noProof/>
          <w:sz w:val="28"/>
          <w:szCs w:val="28"/>
          <w:lang w:val="ru-RU"/>
        </w:rPr>
        <w:t>5</w:t>
      </w:r>
      <w:r w:rsidR="00B8519B" w:rsidRPr="00186E2D">
        <w:rPr>
          <w:rFonts w:ascii="Times New Roman" w:hAnsi="Times New Roman" w:cs="Times New Roman"/>
          <w:noProof/>
          <w:sz w:val="28"/>
          <w:szCs w:val="28"/>
          <w:lang w:val="ru-RU"/>
        </w:rPr>
        <w:t xml:space="preserve">. </w:t>
      </w:r>
      <w:r w:rsidR="00B8519B" w:rsidRPr="00186E2D">
        <w:rPr>
          <w:rFonts w:ascii="Times New Roman" w:hAnsi="Times New Roman" w:cs="Times New Roman"/>
          <w:noProof/>
          <w:sz w:val="28"/>
          <w:szCs w:val="28"/>
        </w:rPr>
        <w:t>МІСЦЕ УКРАЇНИ ЗА ІНДЕКСОМ РОЗВИТКУ ЛЮДСЬКОГО ПОТЕНЦІАЛУ</w:t>
      </w:r>
    </w:p>
    <w:p w:rsidR="00B8519B" w:rsidRPr="007508CA" w:rsidRDefault="00B8519B" w:rsidP="007A3510">
      <w:pPr>
        <w:pStyle w:val="11"/>
        <w:spacing w:after="0" w:line="360" w:lineRule="auto"/>
        <w:jc w:val="both"/>
        <w:rPr>
          <w:rFonts w:ascii="Times New Roman" w:hAnsi="Times New Roman" w:cs="Times New Roman"/>
          <w:noProof/>
          <w:sz w:val="28"/>
          <w:szCs w:val="28"/>
          <w:lang w:eastAsia="uk-UA"/>
        </w:rPr>
      </w:pPr>
      <w:r w:rsidRPr="00186E2D">
        <w:rPr>
          <w:rFonts w:ascii="Times New Roman" w:hAnsi="Times New Roman" w:cs="Times New Roman"/>
          <w:noProof/>
          <w:sz w:val="28"/>
          <w:szCs w:val="28"/>
        </w:rPr>
        <w:t>ВИСНОВКИ</w:t>
      </w:r>
    </w:p>
    <w:p w:rsidR="003907BC" w:rsidRPr="007508CA" w:rsidRDefault="00B8519B" w:rsidP="007A3510">
      <w:pPr>
        <w:pStyle w:val="11"/>
        <w:spacing w:after="0" w:line="360" w:lineRule="auto"/>
        <w:jc w:val="both"/>
        <w:rPr>
          <w:rFonts w:ascii="Times New Roman" w:hAnsi="Times New Roman" w:cs="Times New Roman"/>
          <w:sz w:val="28"/>
          <w:szCs w:val="28"/>
        </w:rPr>
      </w:pPr>
      <w:r w:rsidRPr="00186E2D">
        <w:rPr>
          <w:rFonts w:ascii="Times New Roman" w:hAnsi="Times New Roman" w:cs="Times New Roman"/>
          <w:noProof/>
          <w:sz w:val="28"/>
          <w:szCs w:val="28"/>
        </w:rPr>
        <w:t>СПИСОК ВИКОРИСТАНОЇ ЛІТЕРАТУРИ</w:t>
      </w:r>
    </w:p>
    <w:p w:rsidR="00011DC8" w:rsidRPr="007508CA" w:rsidRDefault="007A3510" w:rsidP="007A3510">
      <w:pPr>
        <w:pStyle w:val="1"/>
        <w:spacing w:before="0" w:line="360" w:lineRule="auto"/>
        <w:ind w:firstLine="709"/>
        <w:rPr>
          <w:rFonts w:ascii="Times New Roman" w:hAnsi="Times New Roman" w:cs="Times New Roman"/>
          <w:color w:val="auto"/>
        </w:rPr>
      </w:pPr>
      <w:bookmarkStart w:id="0" w:name="_Toc274505006"/>
      <w:r w:rsidRPr="007508CA">
        <w:rPr>
          <w:rFonts w:ascii="Times New Roman" w:hAnsi="Times New Roman" w:cs="Times New Roman"/>
          <w:b w:val="0"/>
          <w:bCs w:val="0"/>
          <w:color w:val="auto"/>
        </w:rPr>
        <w:br w:type="page"/>
      </w:r>
      <w:r w:rsidR="00011DC8" w:rsidRPr="007508CA">
        <w:rPr>
          <w:rFonts w:ascii="Times New Roman" w:hAnsi="Times New Roman" w:cs="Times New Roman"/>
          <w:color w:val="auto"/>
        </w:rPr>
        <w:t>ВСТУП</w:t>
      </w:r>
      <w:bookmarkEnd w:id="0"/>
    </w:p>
    <w:p w:rsidR="00437F20" w:rsidRPr="007508CA" w:rsidRDefault="00437F20" w:rsidP="007A3510">
      <w:pPr>
        <w:spacing w:line="360" w:lineRule="auto"/>
        <w:ind w:firstLine="709"/>
        <w:rPr>
          <w:rFonts w:ascii="Times New Roman" w:hAnsi="Times New Roman" w:cs="Times New Roman"/>
          <w:sz w:val="28"/>
          <w:szCs w:val="28"/>
        </w:rPr>
      </w:pPr>
    </w:p>
    <w:p w:rsidR="003907BC" w:rsidRPr="007508CA" w:rsidRDefault="005B26E0" w:rsidP="007A3510">
      <w:pPr>
        <w:spacing w:line="360" w:lineRule="auto"/>
        <w:ind w:firstLine="709"/>
        <w:rPr>
          <w:rFonts w:ascii="Times New Roman" w:hAnsi="Times New Roman" w:cs="Times New Roman"/>
          <w:sz w:val="28"/>
          <w:szCs w:val="28"/>
        </w:rPr>
      </w:pPr>
      <w:r w:rsidRPr="007508CA">
        <w:rPr>
          <w:rFonts w:ascii="Times New Roman" w:hAnsi="Times New Roman" w:cs="Times New Roman"/>
          <w:sz w:val="28"/>
          <w:szCs w:val="28"/>
        </w:rPr>
        <w:t>Сьогодні в період</w:t>
      </w:r>
      <w:r w:rsidR="003907BC" w:rsidRPr="007508CA">
        <w:rPr>
          <w:rFonts w:ascii="Times New Roman" w:hAnsi="Times New Roman" w:cs="Times New Roman"/>
          <w:sz w:val="28"/>
          <w:szCs w:val="28"/>
        </w:rPr>
        <w:t xml:space="preserve"> </w:t>
      </w:r>
      <w:r w:rsidRPr="007508CA">
        <w:rPr>
          <w:rFonts w:ascii="Times New Roman" w:hAnsi="Times New Roman" w:cs="Times New Roman"/>
          <w:sz w:val="28"/>
          <w:szCs w:val="28"/>
        </w:rPr>
        <w:t xml:space="preserve">трансформаційних змін соціальної та </w:t>
      </w:r>
      <w:r w:rsidR="003907BC" w:rsidRPr="007508CA">
        <w:rPr>
          <w:rFonts w:ascii="Times New Roman" w:hAnsi="Times New Roman" w:cs="Times New Roman"/>
          <w:sz w:val="28"/>
          <w:szCs w:val="28"/>
        </w:rPr>
        <w:t>економічної системи України</w:t>
      </w:r>
      <w:r w:rsidRPr="007508CA">
        <w:rPr>
          <w:rFonts w:ascii="Times New Roman" w:hAnsi="Times New Roman" w:cs="Times New Roman"/>
          <w:sz w:val="28"/>
          <w:szCs w:val="28"/>
        </w:rPr>
        <w:t xml:space="preserve"> та багатьох країн світу</w:t>
      </w:r>
      <w:r w:rsidR="003907BC" w:rsidRPr="007508CA">
        <w:rPr>
          <w:rFonts w:ascii="Times New Roman" w:hAnsi="Times New Roman" w:cs="Times New Roman"/>
          <w:sz w:val="28"/>
          <w:szCs w:val="28"/>
        </w:rPr>
        <w:t xml:space="preserve"> однією з найважливіших проблем суспільства є не лише збереження, а й примноження людського потенціалу країни. Це завдання може бути реалізовано лише за умови забезпечення стійкого та динамічного людського розвитку, що має відбуватись на якісно новій основі і який потребує адекватного та соціально гарантованого економічного забезпечення.</w:t>
      </w:r>
    </w:p>
    <w:p w:rsidR="003907BC" w:rsidRPr="007508CA" w:rsidRDefault="003907BC" w:rsidP="007A3510">
      <w:pPr>
        <w:spacing w:line="360" w:lineRule="auto"/>
        <w:ind w:firstLine="709"/>
        <w:rPr>
          <w:rFonts w:ascii="Times New Roman" w:hAnsi="Times New Roman" w:cs="Times New Roman"/>
          <w:sz w:val="28"/>
          <w:szCs w:val="28"/>
        </w:rPr>
      </w:pPr>
      <w:r w:rsidRPr="007508CA">
        <w:rPr>
          <w:rFonts w:ascii="Times New Roman" w:hAnsi="Times New Roman" w:cs="Times New Roman"/>
          <w:sz w:val="28"/>
          <w:szCs w:val="28"/>
        </w:rPr>
        <w:t>Поряд із цим в економічній теорії ще залишаються нерозв'язаними ряд концептуальних проблем, що пов'язані із визначенням сутності „людського розвитку” як соціально-економічної категорії, а також пошуком оптимальних та репрезентативних індикаторів його вимірювання, що мають врахувати як світовий досвід так і специфіку національних умов.</w:t>
      </w:r>
    </w:p>
    <w:p w:rsidR="003907BC" w:rsidRPr="007508CA" w:rsidRDefault="003907BC" w:rsidP="007A3510">
      <w:pPr>
        <w:spacing w:line="360" w:lineRule="auto"/>
        <w:ind w:firstLine="709"/>
        <w:rPr>
          <w:rFonts w:ascii="Times New Roman" w:hAnsi="Times New Roman" w:cs="Times New Roman"/>
          <w:sz w:val="28"/>
          <w:szCs w:val="28"/>
        </w:rPr>
      </w:pPr>
      <w:r w:rsidRPr="007508CA">
        <w:rPr>
          <w:rFonts w:ascii="Times New Roman" w:hAnsi="Times New Roman" w:cs="Times New Roman"/>
          <w:sz w:val="28"/>
          <w:szCs w:val="28"/>
        </w:rPr>
        <w:t xml:space="preserve">Актуальним в теоретичному та практичному плані є поглиблене розуміння тих тенденцій, закономірностей і факторів, що визначають стан, рівень та перспективу якісної динаміки людського розвитку населення України в складних сучасних умовах, а також наукове </w:t>
      </w:r>
      <w:r w:rsidR="0040491D" w:rsidRPr="007508CA">
        <w:rPr>
          <w:rFonts w:ascii="Times New Roman" w:hAnsi="Times New Roman" w:cs="Times New Roman"/>
          <w:sz w:val="28"/>
          <w:szCs w:val="28"/>
        </w:rPr>
        <w:t>обґрунтування</w:t>
      </w:r>
      <w:r w:rsidRPr="007508CA">
        <w:rPr>
          <w:rFonts w:ascii="Times New Roman" w:hAnsi="Times New Roman" w:cs="Times New Roman"/>
          <w:sz w:val="28"/>
          <w:szCs w:val="28"/>
        </w:rPr>
        <w:t xml:space="preserve"> шляхів та ефективних механізмів забезпечення цього процесу. </w:t>
      </w:r>
    </w:p>
    <w:p w:rsidR="005B26E0" w:rsidRPr="007508CA" w:rsidRDefault="005B26E0" w:rsidP="007A3510">
      <w:pPr>
        <w:spacing w:line="360" w:lineRule="auto"/>
        <w:ind w:firstLine="709"/>
        <w:rPr>
          <w:rFonts w:ascii="Times New Roman" w:hAnsi="Times New Roman" w:cs="Times New Roman"/>
          <w:sz w:val="28"/>
          <w:szCs w:val="28"/>
        </w:rPr>
      </w:pPr>
      <w:r w:rsidRPr="007508CA">
        <w:rPr>
          <w:rFonts w:ascii="Times New Roman" w:hAnsi="Times New Roman" w:cs="Times New Roman"/>
          <w:sz w:val="28"/>
          <w:szCs w:val="28"/>
        </w:rPr>
        <w:t>Кінцевою метою економічного розвитку будь-якої країни та світу в цілому має бути створення умов для всебічного розвитку людини, покращення її добробуту, забезпечення її довгого та здорового життя. Саме за рівнем розвитку людського потенціалу можна судити про рівень соціально-економічного розвитку країни в цілому.</w:t>
      </w:r>
    </w:p>
    <w:p w:rsidR="003907BC" w:rsidRPr="007508CA" w:rsidRDefault="007A3510" w:rsidP="007A3510">
      <w:pPr>
        <w:pStyle w:val="1"/>
        <w:spacing w:before="0" w:line="360" w:lineRule="auto"/>
        <w:ind w:firstLine="709"/>
        <w:rPr>
          <w:rFonts w:ascii="Times New Roman" w:hAnsi="Times New Roman" w:cs="Times New Roman"/>
          <w:color w:val="auto"/>
        </w:rPr>
      </w:pPr>
      <w:bookmarkStart w:id="1" w:name="_Toc274505007"/>
      <w:r w:rsidRPr="007508CA">
        <w:rPr>
          <w:rFonts w:ascii="Times New Roman" w:hAnsi="Times New Roman" w:cs="Times New Roman"/>
          <w:color w:val="auto"/>
        </w:rPr>
        <w:br w:type="page"/>
      </w:r>
      <w:r w:rsidRPr="007508CA">
        <w:rPr>
          <w:rFonts w:ascii="Times New Roman" w:hAnsi="Times New Roman" w:cs="Times New Roman"/>
          <w:color w:val="auto"/>
          <w:lang w:val="ru-RU"/>
        </w:rPr>
        <w:t>1</w:t>
      </w:r>
      <w:r w:rsidR="00437F20" w:rsidRPr="007508CA">
        <w:rPr>
          <w:rFonts w:ascii="Times New Roman" w:hAnsi="Times New Roman" w:cs="Times New Roman"/>
          <w:color w:val="auto"/>
          <w:lang w:val="ru-RU"/>
        </w:rPr>
        <w:t xml:space="preserve">. </w:t>
      </w:r>
      <w:r w:rsidR="008B7BE3" w:rsidRPr="007508CA">
        <w:rPr>
          <w:rFonts w:ascii="Times New Roman" w:hAnsi="Times New Roman" w:cs="Times New Roman"/>
          <w:color w:val="auto"/>
        </w:rPr>
        <w:t>ЗАГАЛЬНІ ВІДОМОСТІ</w:t>
      </w:r>
      <w:r w:rsidR="00437F20" w:rsidRPr="007508CA">
        <w:rPr>
          <w:rFonts w:ascii="Times New Roman" w:hAnsi="Times New Roman" w:cs="Times New Roman"/>
          <w:color w:val="auto"/>
          <w:lang w:val="ru-RU"/>
        </w:rPr>
        <w:t xml:space="preserve"> </w:t>
      </w:r>
      <w:r w:rsidR="008B7BE3" w:rsidRPr="007508CA">
        <w:rPr>
          <w:rFonts w:ascii="Times New Roman" w:hAnsi="Times New Roman" w:cs="Times New Roman"/>
          <w:color w:val="auto"/>
        </w:rPr>
        <w:t>ПРО ПРОГРАМУ</w:t>
      </w:r>
      <w:r w:rsidR="005B26E0" w:rsidRPr="007508CA">
        <w:rPr>
          <w:rFonts w:ascii="Times New Roman" w:hAnsi="Times New Roman" w:cs="Times New Roman"/>
          <w:color w:val="auto"/>
        </w:rPr>
        <w:t xml:space="preserve"> РОЗВИТКУ ООН</w:t>
      </w:r>
      <w:r w:rsidR="002068EC" w:rsidRPr="007508CA">
        <w:rPr>
          <w:rFonts w:ascii="Times New Roman" w:hAnsi="Times New Roman" w:cs="Times New Roman"/>
          <w:color w:val="auto"/>
        </w:rPr>
        <w:t xml:space="preserve"> (ПР</w:t>
      </w:r>
      <w:r w:rsidR="008B7BE3" w:rsidRPr="007508CA">
        <w:rPr>
          <w:rFonts w:ascii="Times New Roman" w:hAnsi="Times New Roman" w:cs="Times New Roman"/>
          <w:color w:val="auto"/>
        </w:rPr>
        <w:t>ООН)</w:t>
      </w:r>
      <w:bookmarkEnd w:id="1"/>
    </w:p>
    <w:p w:rsidR="00011DC8" w:rsidRPr="007508CA" w:rsidRDefault="00011DC8" w:rsidP="007A3510">
      <w:pPr>
        <w:spacing w:line="360" w:lineRule="auto"/>
        <w:ind w:firstLine="709"/>
        <w:rPr>
          <w:rFonts w:ascii="Times New Roman" w:hAnsi="Times New Roman" w:cs="Times New Roman"/>
          <w:sz w:val="28"/>
          <w:szCs w:val="28"/>
        </w:rPr>
      </w:pPr>
    </w:p>
    <w:p w:rsidR="005B26E0" w:rsidRPr="007508CA" w:rsidRDefault="005B26E0" w:rsidP="007A3510">
      <w:pPr>
        <w:spacing w:line="360" w:lineRule="auto"/>
        <w:ind w:firstLine="709"/>
        <w:rPr>
          <w:rFonts w:ascii="Times New Roman" w:hAnsi="Times New Roman" w:cs="Times New Roman"/>
          <w:sz w:val="28"/>
          <w:szCs w:val="28"/>
        </w:rPr>
      </w:pPr>
      <w:r w:rsidRPr="007508CA">
        <w:rPr>
          <w:rFonts w:ascii="Times New Roman" w:hAnsi="Times New Roman" w:cs="Times New Roman"/>
          <w:sz w:val="28"/>
          <w:szCs w:val="28"/>
        </w:rPr>
        <w:t>Програма була створена рішенням Генеральної Асамблеї ООН в 1965 р., її діяльність фінансується з добровільних внесків держав, тому зберігається їхній контроль над фінансуванням операцій. Це впливова міжнародна організація, що має численний апарат фахівців. Її штаб-квартира розташован</w:t>
      </w:r>
      <w:r w:rsidR="00AC468C" w:rsidRPr="007508CA">
        <w:rPr>
          <w:rFonts w:ascii="Times New Roman" w:hAnsi="Times New Roman" w:cs="Times New Roman"/>
          <w:sz w:val="28"/>
          <w:szCs w:val="28"/>
          <w:lang w:val="ru-RU"/>
        </w:rPr>
        <w:t>а</w:t>
      </w:r>
      <w:r w:rsidRPr="007508CA">
        <w:rPr>
          <w:rFonts w:ascii="Times New Roman" w:hAnsi="Times New Roman" w:cs="Times New Roman"/>
          <w:sz w:val="28"/>
          <w:szCs w:val="28"/>
        </w:rPr>
        <w:t xml:space="preserve"> у Нью-Йорку. У більш ніж 100 країнах миру вона має свої постійні представництва. Діяльність ПРООН у цей час ведеться майже у всіх країнах, що розвиваються. Її направляє Рада керуючих, у який входять представники близько 50 держав, що обираються ЭКОСОС строком на три роки. Головними критеріями надання Допомоги по цій програмі виступають такі ключові показники, як чисельність населення й обсяг ВВП розраховуючи на душу населення країни-одержувача допомоги. Допомога надається по п'ятирічних орієнтовних завданнях по конкретних проектах в основному в трьох формах: напрямок фахівців, доставка </w:t>
      </w:r>
      <w:r w:rsidR="00C37334" w:rsidRPr="007508CA">
        <w:rPr>
          <w:rFonts w:ascii="Times New Roman" w:hAnsi="Times New Roman" w:cs="Times New Roman"/>
          <w:sz w:val="28"/>
          <w:szCs w:val="28"/>
          <w:lang w:val="ru-RU"/>
        </w:rPr>
        <w:t>у</w:t>
      </w:r>
      <w:r w:rsidRPr="007508CA">
        <w:rPr>
          <w:rFonts w:ascii="Times New Roman" w:hAnsi="Times New Roman" w:cs="Times New Roman"/>
          <w:sz w:val="28"/>
          <w:szCs w:val="28"/>
        </w:rPr>
        <w:t>статкування й підготовка національних кадрів. Частка фінансування ПРООН становить від 50 до 100%, залежно від рівня розвитку країни.</w:t>
      </w:r>
    </w:p>
    <w:p w:rsidR="005B26E0" w:rsidRPr="007508CA" w:rsidRDefault="005B26E0" w:rsidP="007A3510">
      <w:pPr>
        <w:spacing w:line="360" w:lineRule="auto"/>
        <w:ind w:firstLine="709"/>
        <w:rPr>
          <w:rFonts w:ascii="Times New Roman" w:hAnsi="Times New Roman" w:cs="Times New Roman"/>
          <w:sz w:val="28"/>
          <w:szCs w:val="28"/>
        </w:rPr>
      </w:pPr>
      <w:r w:rsidRPr="007508CA">
        <w:rPr>
          <w:rFonts w:ascii="Times New Roman" w:hAnsi="Times New Roman" w:cs="Times New Roman"/>
          <w:sz w:val="28"/>
          <w:szCs w:val="28"/>
        </w:rPr>
        <w:t>Сильні зв'язки ПРООН з Міжнародним банком реконструкції й розвитку, з яким вона координує свою діяльність. Орієнтація ПРООН чітко проглядається в тім обставині, що більшість її програм у країнах, що розвиваються, майже завжди виявляється під контролем західних фірм. У веденні Ради керуючих ЦРООН діють кілька автономних добровільних фондів допомоги; найбільш великий з них - це фонд ООН в області народонаселення (ЮНФПА).</w:t>
      </w:r>
    </w:p>
    <w:p w:rsidR="008B7BE3" w:rsidRPr="007508CA" w:rsidRDefault="008B7BE3" w:rsidP="007A3510">
      <w:pPr>
        <w:spacing w:line="360" w:lineRule="auto"/>
        <w:ind w:firstLine="709"/>
        <w:rPr>
          <w:rFonts w:ascii="Times New Roman" w:hAnsi="Times New Roman" w:cs="Times New Roman"/>
          <w:sz w:val="28"/>
          <w:szCs w:val="28"/>
        </w:rPr>
      </w:pPr>
      <w:r w:rsidRPr="007508CA">
        <w:rPr>
          <w:rFonts w:ascii="Times New Roman" w:hAnsi="Times New Roman" w:cs="Times New Roman"/>
          <w:sz w:val="28"/>
          <w:szCs w:val="28"/>
        </w:rPr>
        <w:t xml:space="preserve">Концепція людського розвитку розглядає розвиток людини як основну мету і критерій суспільного прогресу. Головні цілі людського розвитку мають три напрямки розвитку: по-перше, тривалість життя людини, підтримуючи задовільний стан здоров’я, по-друге, одержання освіти, яка відповідає сучасним вимогам, по-третє </w:t>
      </w:r>
      <w:r w:rsidR="007A3510" w:rsidRPr="007508CA">
        <w:rPr>
          <w:rFonts w:ascii="Times New Roman" w:hAnsi="Times New Roman" w:cs="Times New Roman"/>
          <w:sz w:val="28"/>
          <w:szCs w:val="28"/>
        </w:rPr>
        <w:t>-</w:t>
      </w:r>
      <w:r w:rsidRPr="007508CA">
        <w:rPr>
          <w:rFonts w:ascii="Times New Roman" w:hAnsi="Times New Roman" w:cs="Times New Roman"/>
          <w:sz w:val="28"/>
          <w:szCs w:val="28"/>
        </w:rPr>
        <w:t xml:space="preserve"> доступ до засобів, що забезпечують гідний рівень життя.</w:t>
      </w:r>
    </w:p>
    <w:p w:rsidR="008B7BE3" w:rsidRPr="007508CA" w:rsidRDefault="008B7BE3" w:rsidP="007A3510">
      <w:pPr>
        <w:spacing w:line="360" w:lineRule="auto"/>
        <w:ind w:firstLine="709"/>
        <w:rPr>
          <w:rFonts w:ascii="Times New Roman" w:hAnsi="Times New Roman" w:cs="Times New Roman"/>
          <w:sz w:val="28"/>
          <w:szCs w:val="28"/>
        </w:rPr>
      </w:pPr>
      <w:r w:rsidRPr="007508CA">
        <w:rPr>
          <w:rFonts w:ascii="Times New Roman" w:hAnsi="Times New Roman" w:cs="Times New Roman"/>
          <w:sz w:val="28"/>
          <w:szCs w:val="28"/>
        </w:rPr>
        <w:t xml:space="preserve">Найважливішим показником є щорічний індекс людського розвитку (ІЛР) у різних країнах світу. </w:t>
      </w:r>
    </w:p>
    <w:p w:rsidR="007A3510" w:rsidRPr="007508CA" w:rsidRDefault="007A3510" w:rsidP="007A3510">
      <w:pPr>
        <w:pStyle w:val="1"/>
        <w:spacing w:before="0" w:line="360" w:lineRule="auto"/>
        <w:ind w:firstLine="709"/>
        <w:rPr>
          <w:rFonts w:ascii="Times New Roman" w:hAnsi="Times New Roman" w:cs="Times New Roman"/>
          <w:color w:val="auto"/>
          <w:lang w:val="ru-RU"/>
        </w:rPr>
      </w:pPr>
      <w:bookmarkStart w:id="2" w:name="_Toc274505008"/>
    </w:p>
    <w:p w:rsidR="008B7BE3" w:rsidRPr="007508CA" w:rsidRDefault="007A3510" w:rsidP="007A3510">
      <w:pPr>
        <w:pStyle w:val="1"/>
        <w:spacing w:before="0" w:line="360" w:lineRule="auto"/>
        <w:ind w:firstLine="709"/>
        <w:rPr>
          <w:rFonts w:ascii="Times New Roman" w:hAnsi="Times New Roman" w:cs="Times New Roman"/>
          <w:color w:val="auto"/>
        </w:rPr>
      </w:pPr>
      <w:r w:rsidRPr="007508CA">
        <w:rPr>
          <w:rFonts w:ascii="Times New Roman" w:hAnsi="Times New Roman" w:cs="Times New Roman"/>
          <w:color w:val="auto"/>
          <w:lang w:val="ru-RU"/>
        </w:rPr>
        <w:t>2</w:t>
      </w:r>
      <w:r w:rsidR="00437F20" w:rsidRPr="007508CA">
        <w:rPr>
          <w:rFonts w:ascii="Times New Roman" w:hAnsi="Times New Roman" w:cs="Times New Roman"/>
          <w:color w:val="auto"/>
          <w:lang w:val="ru-RU"/>
        </w:rPr>
        <w:t>.</w:t>
      </w:r>
      <w:r w:rsidR="00437F20" w:rsidRPr="007508CA">
        <w:rPr>
          <w:rFonts w:ascii="Times New Roman" w:hAnsi="Times New Roman" w:cs="Times New Roman"/>
          <w:b w:val="0"/>
          <w:bCs w:val="0"/>
          <w:color w:val="auto"/>
          <w:lang w:val="ru-RU"/>
        </w:rPr>
        <w:t xml:space="preserve"> </w:t>
      </w:r>
      <w:r w:rsidR="008B7BE3" w:rsidRPr="007508CA">
        <w:rPr>
          <w:rFonts w:ascii="Times New Roman" w:hAnsi="Times New Roman" w:cs="Times New Roman"/>
          <w:color w:val="auto"/>
        </w:rPr>
        <w:t>ІНЕД</w:t>
      </w:r>
      <w:r w:rsidR="00011DC8" w:rsidRPr="007508CA">
        <w:rPr>
          <w:rFonts w:ascii="Times New Roman" w:hAnsi="Times New Roman" w:cs="Times New Roman"/>
          <w:color w:val="auto"/>
        </w:rPr>
        <w:t>К</w:t>
      </w:r>
      <w:r w:rsidR="008B7BE3" w:rsidRPr="007508CA">
        <w:rPr>
          <w:rFonts w:ascii="Times New Roman" w:hAnsi="Times New Roman" w:cs="Times New Roman"/>
          <w:color w:val="auto"/>
        </w:rPr>
        <w:t>С ЛЮДСЬКОГО РОЗВИТКУ (І</w:t>
      </w:r>
      <w:r w:rsidR="00B8519B" w:rsidRPr="007508CA">
        <w:rPr>
          <w:rFonts w:ascii="Times New Roman" w:hAnsi="Times New Roman" w:cs="Times New Roman"/>
          <w:color w:val="auto"/>
        </w:rPr>
        <w:t>ЛР</w:t>
      </w:r>
      <w:r w:rsidR="008B7BE3" w:rsidRPr="007508CA">
        <w:rPr>
          <w:rFonts w:ascii="Times New Roman" w:hAnsi="Times New Roman" w:cs="Times New Roman"/>
          <w:color w:val="auto"/>
        </w:rPr>
        <w:t>)</w:t>
      </w:r>
      <w:bookmarkEnd w:id="2"/>
    </w:p>
    <w:p w:rsidR="00011DC8" w:rsidRPr="007508CA" w:rsidRDefault="00011DC8" w:rsidP="007A3510">
      <w:pPr>
        <w:spacing w:line="360" w:lineRule="auto"/>
        <w:ind w:firstLine="709"/>
        <w:rPr>
          <w:rFonts w:ascii="Times New Roman" w:hAnsi="Times New Roman" w:cs="Times New Roman"/>
          <w:sz w:val="28"/>
          <w:szCs w:val="28"/>
        </w:rPr>
      </w:pPr>
    </w:p>
    <w:p w:rsidR="008B7BE3" w:rsidRPr="007508CA" w:rsidRDefault="008B7BE3" w:rsidP="007A3510">
      <w:pPr>
        <w:spacing w:line="360" w:lineRule="auto"/>
        <w:ind w:firstLine="709"/>
        <w:rPr>
          <w:rFonts w:ascii="Times New Roman" w:hAnsi="Times New Roman" w:cs="Times New Roman"/>
          <w:sz w:val="28"/>
          <w:szCs w:val="28"/>
        </w:rPr>
      </w:pPr>
      <w:r w:rsidRPr="007508CA">
        <w:rPr>
          <w:rFonts w:ascii="Times New Roman" w:hAnsi="Times New Roman" w:cs="Times New Roman"/>
          <w:sz w:val="28"/>
          <w:szCs w:val="28"/>
        </w:rPr>
        <w:t xml:space="preserve">Концепція людського розвитку створювалася ПРООН саме для завдань сприяння людському розвитку у всесвітньому масштабі, на міжнародному рівні. У зв’язку з цим методологія розрахунку індексу людського розвитку ПРООН ґрунтується на мінімальному наборі показників, за якими можна зібрати достовірні порівняльні дані в усіх країнах світу. Кожен з показників покликаний кількісно виразити один з ключових напрямів (вимірів) людського розвитку. Ці показники періодично переглядаються, вдосконалюються і т. ін., проте ключові виміри людського розвитку залишаються незмінними відтоді, як Мегнад Десаі та Амартья Сен винайшли індекс розвитку людського потенціалу (індекс людського розвитку </w:t>
      </w:r>
      <w:r w:rsidR="007A3510" w:rsidRPr="007508CA">
        <w:rPr>
          <w:rFonts w:ascii="Times New Roman" w:hAnsi="Times New Roman" w:cs="Times New Roman"/>
          <w:sz w:val="28"/>
          <w:szCs w:val="28"/>
        </w:rPr>
        <w:t>-</w:t>
      </w:r>
      <w:r w:rsidRPr="007508CA">
        <w:rPr>
          <w:rFonts w:ascii="Times New Roman" w:hAnsi="Times New Roman" w:cs="Times New Roman"/>
          <w:sz w:val="28"/>
          <w:szCs w:val="28"/>
        </w:rPr>
        <w:t xml:space="preserve"> ІЛР), а ПРООН включила його у свою доповідь 1990 року.</w:t>
      </w:r>
    </w:p>
    <w:p w:rsidR="008B7BE3" w:rsidRPr="007508CA" w:rsidRDefault="008B7BE3" w:rsidP="007A3510">
      <w:pPr>
        <w:spacing w:line="360" w:lineRule="auto"/>
        <w:ind w:firstLine="709"/>
        <w:rPr>
          <w:rFonts w:ascii="Times New Roman" w:hAnsi="Times New Roman" w:cs="Times New Roman"/>
          <w:sz w:val="28"/>
          <w:szCs w:val="28"/>
        </w:rPr>
      </w:pPr>
      <w:r w:rsidRPr="007508CA">
        <w:rPr>
          <w:rFonts w:ascii="Times New Roman" w:hAnsi="Times New Roman" w:cs="Times New Roman"/>
          <w:sz w:val="28"/>
          <w:szCs w:val="28"/>
        </w:rPr>
        <w:t xml:space="preserve">Це саме ті три виміри, які відображають ключові можливості у забезпеченні всього процесу людського розвитку: прожити довге й здорове життя (вимір </w:t>
      </w:r>
      <w:r w:rsidR="007A3510" w:rsidRPr="007508CA">
        <w:rPr>
          <w:rFonts w:ascii="Times New Roman" w:hAnsi="Times New Roman" w:cs="Times New Roman"/>
          <w:sz w:val="28"/>
          <w:szCs w:val="28"/>
        </w:rPr>
        <w:t>-</w:t>
      </w:r>
      <w:r w:rsidRPr="007508CA">
        <w:rPr>
          <w:rFonts w:ascii="Times New Roman" w:hAnsi="Times New Roman" w:cs="Times New Roman"/>
          <w:sz w:val="28"/>
          <w:szCs w:val="28"/>
        </w:rPr>
        <w:t xml:space="preserve"> довголіття); набути, розширювати й оновлювати знання (вимір </w:t>
      </w:r>
      <w:r w:rsidR="007A3510" w:rsidRPr="007508CA">
        <w:rPr>
          <w:rFonts w:ascii="Times New Roman" w:hAnsi="Times New Roman" w:cs="Times New Roman"/>
          <w:sz w:val="28"/>
          <w:szCs w:val="28"/>
        </w:rPr>
        <w:t>-</w:t>
      </w:r>
      <w:r w:rsidRPr="007508CA">
        <w:rPr>
          <w:rFonts w:ascii="Times New Roman" w:hAnsi="Times New Roman" w:cs="Times New Roman"/>
          <w:sz w:val="28"/>
          <w:szCs w:val="28"/>
        </w:rPr>
        <w:t xml:space="preserve"> освіченість); мати доступ до засобів існування, що забезпечують гідний рівень життя (вимір </w:t>
      </w:r>
      <w:r w:rsidR="007A3510" w:rsidRPr="007508CA">
        <w:rPr>
          <w:rFonts w:ascii="Times New Roman" w:hAnsi="Times New Roman" w:cs="Times New Roman"/>
          <w:sz w:val="28"/>
          <w:szCs w:val="28"/>
        </w:rPr>
        <w:t>-</w:t>
      </w:r>
      <w:r w:rsidRPr="007508CA">
        <w:rPr>
          <w:rFonts w:ascii="Times New Roman" w:hAnsi="Times New Roman" w:cs="Times New Roman"/>
          <w:sz w:val="28"/>
          <w:szCs w:val="28"/>
        </w:rPr>
        <w:t xml:space="preserve"> матеріальний рівень життя).</w:t>
      </w:r>
    </w:p>
    <w:p w:rsidR="008B7BE3" w:rsidRPr="007508CA" w:rsidRDefault="008B7BE3" w:rsidP="007A3510">
      <w:pPr>
        <w:spacing w:line="360" w:lineRule="auto"/>
        <w:ind w:firstLine="709"/>
        <w:rPr>
          <w:rFonts w:ascii="Times New Roman" w:hAnsi="Times New Roman" w:cs="Times New Roman"/>
          <w:sz w:val="28"/>
          <w:szCs w:val="28"/>
        </w:rPr>
      </w:pPr>
      <w:r w:rsidRPr="007508CA">
        <w:rPr>
          <w:rFonts w:ascii="Times New Roman" w:hAnsi="Times New Roman" w:cs="Times New Roman"/>
          <w:sz w:val="28"/>
          <w:szCs w:val="28"/>
        </w:rPr>
        <w:t>Вимір довголіття відображає можливість людей прожити тривале й здорове життя. Хоча прямого зв’язку між довголіттям і здоров’ям населення немає (наприклад, нерідко молоді та здорові люди гинуть у військових конфліктах, а хронічно хворі з допомогою медицини живуть довго), однак будь-яке продовження життя в загальному випадку бажане для людей. Значення продовження життя полягає у загальній переконаності у тому, що тривале життя цінне як саме по собі, так і з огляду на різні непрямі переваги, тісно пов’язані з більшою тривалістю життя, наприклад, з огляду на можливість більше скористатися перевагами освіти, високого рівня життя і т. ін. Виміром довголіття обрано показник середньої очікуваної тривалості життя при народженні. Це один з найпоширеніших показників міжнародної статистики. Він розраховується майже для всіх країн за зіставною методикою і виражається, як правило, в роках. Середня очікувана тривалість життя при народженні характеризує середній показник тривалості життя стосовно новонароджених у даному році, якщо б їм довелося прожити все життя в умовах даної інтенсивності смертності.</w:t>
      </w:r>
    </w:p>
    <w:p w:rsidR="008B7BE3" w:rsidRPr="007508CA" w:rsidRDefault="008B7BE3" w:rsidP="007A3510">
      <w:pPr>
        <w:spacing w:line="360" w:lineRule="auto"/>
        <w:ind w:firstLine="709"/>
        <w:rPr>
          <w:rFonts w:ascii="Times New Roman" w:hAnsi="Times New Roman" w:cs="Times New Roman"/>
          <w:sz w:val="28"/>
          <w:szCs w:val="28"/>
        </w:rPr>
      </w:pPr>
      <w:r w:rsidRPr="007508CA">
        <w:rPr>
          <w:rFonts w:ascii="Times New Roman" w:hAnsi="Times New Roman" w:cs="Times New Roman"/>
          <w:sz w:val="28"/>
          <w:szCs w:val="28"/>
        </w:rPr>
        <w:t xml:space="preserve">Показник освіченості також важливий не лише сам по собі. Цей вимір людського розвитку відображає можливості людей набувати знання і здібності для повноправної та багатогранної участі в житті сучасного суспільства та значимого особистого внеску в це життя. У сучасних умовах цінність освіченості є особливо високою і дедалі зростає у міру розвитку науково-технічної революції та інтелектуалізації праці. Особливістю цього показника є те, що він складається з двох компонентів: досягнутого рівня грамотності дорослого населення та сукупної частки учнів у загальній чисельності населення відповідного віку. У кінцевому рахунку зазначені складові показника освіченості беруться з ваговими коефіцієнтами. При побудові цього показника виходять з того, що грамотність є необхідною передумовою здобуття освіти, першим кроком навчання, і тому міра грамотності (частка грамотних у загальній чисельності населення, старшого за 15 років) має бути важливішим серед показників даного виміру людського розвитку, тому більша вага (2/3) надається досягнутому рівню грамотності дорослого населення. Щодо економічно розвинутих країн, то рівень грамотності </w:t>
      </w:r>
      <w:r w:rsidR="007A3510" w:rsidRPr="007508CA">
        <w:rPr>
          <w:rFonts w:ascii="Times New Roman" w:hAnsi="Times New Roman" w:cs="Times New Roman"/>
          <w:sz w:val="28"/>
          <w:szCs w:val="28"/>
        </w:rPr>
        <w:t>-</w:t>
      </w:r>
      <w:r w:rsidRPr="007508CA">
        <w:rPr>
          <w:rFonts w:ascii="Times New Roman" w:hAnsi="Times New Roman" w:cs="Times New Roman"/>
          <w:sz w:val="28"/>
          <w:szCs w:val="28"/>
        </w:rPr>
        <w:t xml:space="preserve"> лише мінімальна характеристика освіченості населення. Тому цей показник у межах того самого виміру освіченості доповнено показником сукупної частки учнів (сукупного валового контингенту учнів, або повноти охоплення навчанням). Цій другій складовій показника рівня освіченості надається менша вага (1/3). Сукупна частка учнів розраховується як відношення загальної чисельності людей, які розпочали навчання на всіх рівнях (від початкової школи аж до післядипломної освіти) впродовж даного року до загальної чисельності населення відповідного віку. Межі цього віку звичайно беруться від 5 до 24 років, але в конкретному випадку можуть залежати від країни. </w:t>
      </w:r>
    </w:p>
    <w:p w:rsidR="008B7BE3" w:rsidRPr="007508CA" w:rsidRDefault="008B7BE3" w:rsidP="007A3510">
      <w:pPr>
        <w:spacing w:line="360" w:lineRule="auto"/>
        <w:ind w:firstLine="709"/>
        <w:rPr>
          <w:rFonts w:ascii="Times New Roman" w:hAnsi="Times New Roman" w:cs="Times New Roman"/>
          <w:sz w:val="28"/>
          <w:szCs w:val="28"/>
        </w:rPr>
      </w:pPr>
      <w:r w:rsidRPr="007508CA">
        <w:rPr>
          <w:rFonts w:ascii="Times New Roman" w:hAnsi="Times New Roman" w:cs="Times New Roman"/>
          <w:sz w:val="28"/>
          <w:szCs w:val="28"/>
        </w:rPr>
        <w:t xml:space="preserve">Показник матеріального рівня життя має відображати можливості доступу людей до матеріальних ресурсів, необхідних для гідного існування, включаючи ведення здорового способу життя, забезпечення територіальної та соціальної мобільності, обмін інформацією й участь у житті суспільства. Цей вимір, безумовно, є найскладнішим для оцінки та трактування людського розвитку. ПРООН наголошує, що матеріальний стандарт життя (або персональне багатство) лише відкривають для людини можливості, однак не визначають використання цих можливостей. Тобто це засіб, що розширює можливості вибору, але не сам вибір. Матеріальний рівень життя у розрахунку ІЛР характеризується скоригованим реальним (розрахованим за паритетом купівельної спроможності національної валюти) валовим внутрішнім продуктом (ВВП) на душу населення. У цьому разі більше, ніж стосовно інших вимірів людського розвитку, вибір числового показника визначався наявністю зручних і зіставних статистичних даних для практично всіх країн, а не обґрунтованістю його як міри людського розвитку, проте знайти обґрунтованіший показник поки що не вдається. </w:t>
      </w:r>
    </w:p>
    <w:p w:rsidR="008B7BE3" w:rsidRPr="007508CA" w:rsidRDefault="008B7BE3" w:rsidP="007A3510">
      <w:pPr>
        <w:spacing w:line="360" w:lineRule="auto"/>
        <w:ind w:firstLine="709"/>
        <w:rPr>
          <w:rFonts w:ascii="Times New Roman" w:hAnsi="Times New Roman" w:cs="Times New Roman"/>
          <w:sz w:val="28"/>
          <w:szCs w:val="28"/>
        </w:rPr>
      </w:pPr>
      <w:r w:rsidRPr="007508CA">
        <w:rPr>
          <w:rFonts w:ascii="Times New Roman" w:hAnsi="Times New Roman" w:cs="Times New Roman"/>
          <w:sz w:val="28"/>
          <w:szCs w:val="28"/>
        </w:rPr>
        <w:t xml:space="preserve">Для принаймні часткового згладжування суперечностей ВВП на душу населення як показника людського розвитку використовуються певні методичні прийоми. По-перше, ВВП на душу населення перераховується в міжнародну валюту (на практиці </w:t>
      </w:r>
      <w:r w:rsidR="007A3510" w:rsidRPr="007508CA">
        <w:rPr>
          <w:rFonts w:ascii="Times New Roman" w:hAnsi="Times New Roman" w:cs="Times New Roman"/>
          <w:sz w:val="28"/>
          <w:szCs w:val="28"/>
        </w:rPr>
        <w:t>-</w:t>
      </w:r>
      <w:r w:rsidRPr="007508CA">
        <w:rPr>
          <w:rFonts w:ascii="Times New Roman" w:hAnsi="Times New Roman" w:cs="Times New Roman"/>
          <w:sz w:val="28"/>
          <w:szCs w:val="28"/>
        </w:rPr>
        <w:t xml:space="preserve"> долар США) не за офіційним обмінним курсом, а за паритетом купівельної спроможності, який визначається кількістю одиниць національної валюти, необхідною для придбання певного «кошика» товарів і послуг, аналогічного тому, який можна купити на 1 долар у США. По-друге, для врахування спадної корисності доходу, що зростає, використовується процедура нормування ВВП за десятковим логарифмом. У такому розрахунку будь-який приріст доходу дисконтується, однак має певну цінність, а зменшення граничної корисності відображається специфікою самої логарифмічної функції. </w:t>
      </w:r>
    </w:p>
    <w:p w:rsidR="008B7BE3" w:rsidRPr="007508CA" w:rsidRDefault="008B7BE3" w:rsidP="007A3510">
      <w:pPr>
        <w:spacing w:line="360" w:lineRule="auto"/>
        <w:ind w:firstLine="709"/>
        <w:rPr>
          <w:rFonts w:ascii="Times New Roman" w:hAnsi="Times New Roman" w:cs="Times New Roman"/>
          <w:sz w:val="28"/>
          <w:szCs w:val="28"/>
          <w:lang w:val="ru-RU"/>
        </w:rPr>
      </w:pPr>
      <w:r w:rsidRPr="007508CA">
        <w:rPr>
          <w:rFonts w:ascii="Times New Roman" w:hAnsi="Times New Roman" w:cs="Times New Roman"/>
          <w:sz w:val="28"/>
          <w:szCs w:val="28"/>
        </w:rPr>
        <w:t>Отже, для кількісного представлення трьох базових вимірів людського розвитку використовуються такі індикатори: середня очікувана тривалість життя при народженні (показник довголіття); частка грамотних серед населення 15 років і старшого та сукупна частка учнів серед населення відповідного віку (показники освіченості); скорегований реальний ВВП на душу населення (показник матеріального добробуту). Перераховані індикатори вимірюються різними одиницями вимірювання, змінюються вони нерівномірно та нерідко різноспрямовано. Тому для побудови загального індексу людського розвитку (ІЛР) потрібне агрегування цих індикаторів, тобто зведення їх воєдино.</w:t>
      </w:r>
    </w:p>
    <w:p w:rsidR="00DC3521" w:rsidRPr="007508CA" w:rsidRDefault="00DC3521" w:rsidP="007A3510">
      <w:pPr>
        <w:spacing w:line="360" w:lineRule="auto"/>
        <w:ind w:firstLine="709"/>
        <w:rPr>
          <w:rFonts w:ascii="Times New Roman" w:hAnsi="Times New Roman" w:cs="Times New Roman"/>
          <w:sz w:val="28"/>
          <w:szCs w:val="28"/>
          <w:lang w:val="ru-RU"/>
        </w:rPr>
      </w:pPr>
    </w:p>
    <w:p w:rsidR="00DC3521" w:rsidRPr="007508CA" w:rsidRDefault="001C6FFF" w:rsidP="007A3510">
      <w:pPr>
        <w:spacing w:line="360" w:lineRule="auto"/>
        <w:ind w:firstLine="709"/>
        <w:rPr>
          <w:rFonts w:ascii="Times New Roman" w:hAnsi="Times New Roman" w:cs="Times New Roman"/>
          <w:lang w:val="ru-RU"/>
        </w:rPr>
      </w:pPr>
      <w:r>
        <w:rPr>
          <w:rFonts w:ascii="Times New Roman" w:hAnsi="Times New Roman" w:cs="Times New Roma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7" o:spid="_x0000_i1025" type="#_x0000_t75" style="width:178.5pt;height:33.75pt;visibility:visible" o:allowoverlap="f">
            <v:imagedata r:id="rId7" o:title=""/>
          </v:shape>
        </w:pict>
      </w:r>
    </w:p>
    <w:p w:rsidR="00DC3521" w:rsidRPr="007508CA" w:rsidRDefault="00DC3521" w:rsidP="007A3510">
      <w:pPr>
        <w:spacing w:line="360" w:lineRule="auto"/>
        <w:ind w:firstLine="709"/>
        <w:rPr>
          <w:rFonts w:ascii="Times New Roman" w:hAnsi="Times New Roman" w:cs="Times New Roman"/>
          <w:lang w:val="ru-RU"/>
        </w:rPr>
      </w:pPr>
    </w:p>
    <w:p w:rsidR="008B7BE3" w:rsidRPr="007508CA" w:rsidRDefault="008B7BE3" w:rsidP="007A3510">
      <w:pPr>
        <w:spacing w:line="360" w:lineRule="auto"/>
        <w:ind w:firstLine="709"/>
        <w:rPr>
          <w:rFonts w:ascii="Times New Roman" w:hAnsi="Times New Roman" w:cs="Times New Roman"/>
          <w:sz w:val="28"/>
          <w:szCs w:val="28"/>
          <w:lang w:val="ru-RU"/>
        </w:rPr>
      </w:pPr>
      <w:r w:rsidRPr="007508CA">
        <w:rPr>
          <w:rFonts w:ascii="Times New Roman" w:hAnsi="Times New Roman" w:cs="Times New Roman"/>
          <w:sz w:val="28"/>
          <w:szCs w:val="28"/>
        </w:rPr>
        <w:t xml:space="preserve">У загальному вигляді індекс людського розвитку (Human development index </w:t>
      </w:r>
      <w:r w:rsidR="007A3510" w:rsidRPr="007508CA">
        <w:rPr>
          <w:rFonts w:ascii="Times New Roman" w:hAnsi="Times New Roman" w:cs="Times New Roman"/>
          <w:sz w:val="28"/>
          <w:szCs w:val="28"/>
        </w:rPr>
        <w:t>-</w:t>
      </w:r>
      <w:r w:rsidRPr="007508CA">
        <w:rPr>
          <w:rFonts w:ascii="Times New Roman" w:hAnsi="Times New Roman" w:cs="Times New Roman"/>
          <w:sz w:val="28"/>
          <w:szCs w:val="28"/>
        </w:rPr>
        <w:t xml:space="preserve"> HDI) розраховується за формулою простої середньої арифметичної індексу тривалості життя, індексу рівня освіченості та індексу скоригованого реального ВВП на душу населення : </w:t>
      </w:r>
    </w:p>
    <w:p w:rsidR="00DC3521" w:rsidRPr="007508CA" w:rsidRDefault="00DC3521" w:rsidP="007A3510">
      <w:pPr>
        <w:spacing w:line="360" w:lineRule="auto"/>
        <w:ind w:firstLine="709"/>
        <w:rPr>
          <w:rFonts w:ascii="Times New Roman" w:hAnsi="Times New Roman" w:cs="Times New Roman"/>
          <w:sz w:val="28"/>
          <w:szCs w:val="28"/>
          <w:lang w:val="ru-RU"/>
        </w:rPr>
      </w:pPr>
    </w:p>
    <w:p w:rsidR="00DC3521" w:rsidRPr="007508CA" w:rsidRDefault="001C6FFF" w:rsidP="007A3510">
      <w:pPr>
        <w:spacing w:line="360" w:lineRule="auto"/>
        <w:ind w:firstLine="709"/>
        <w:rPr>
          <w:rFonts w:ascii="Times New Roman" w:hAnsi="Times New Roman" w:cs="Times New Roman"/>
          <w:sz w:val="32"/>
          <w:szCs w:val="32"/>
          <w:lang w:val="ru-RU"/>
        </w:rPr>
      </w:pPr>
      <w:r>
        <w:rPr>
          <w:rFonts w:ascii="Times New Roman" w:hAnsi="Times New Roman" w:cs="Times New Roman"/>
        </w:rPr>
        <w:pict>
          <v:shape id="Рисунок 4" o:spid="_x0000_i1026" type="#_x0000_t75" style="width:101.25pt;height:32.25pt;visibility:visible" o:allowoverlap="f">
            <v:imagedata r:id="rId8" o:title=""/>
          </v:shape>
        </w:pict>
      </w:r>
    </w:p>
    <w:p w:rsidR="00DC3521" w:rsidRPr="007508CA" w:rsidRDefault="00DC3521" w:rsidP="007A3510">
      <w:pPr>
        <w:spacing w:line="360" w:lineRule="auto"/>
        <w:ind w:firstLine="709"/>
        <w:rPr>
          <w:rFonts w:ascii="Times New Roman" w:hAnsi="Times New Roman" w:cs="Times New Roman"/>
          <w:sz w:val="32"/>
          <w:szCs w:val="32"/>
          <w:lang w:val="ru-RU"/>
        </w:rPr>
      </w:pPr>
    </w:p>
    <w:p w:rsidR="008B7BE3" w:rsidRPr="007508CA" w:rsidRDefault="008B7BE3" w:rsidP="007A3510">
      <w:pPr>
        <w:spacing w:line="360" w:lineRule="auto"/>
        <w:ind w:firstLine="709"/>
        <w:rPr>
          <w:rFonts w:ascii="Times New Roman" w:hAnsi="Times New Roman" w:cs="Times New Roman"/>
          <w:b/>
          <w:bCs/>
          <w:i/>
          <w:iCs/>
          <w:sz w:val="28"/>
          <w:szCs w:val="28"/>
          <w:u w:val="single"/>
        </w:rPr>
      </w:pPr>
      <w:r w:rsidRPr="007508CA">
        <w:rPr>
          <w:rFonts w:ascii="Times New Roman" w:hAnsi="Times New Roman" w:cs="Times New Roman"/>
          <w:b/>
          <w:bCs/>
          <w:i/>
          <w:iCs/>
          <w:sz w:val="28"/>
          <w:szCs w:val="28"/>
          <w:u w:val="single"/>
        </w:rPr>
        <w:t>Індекс тривалості життя (life) обчислюється за формулою:</w:t>
      </w:r>
    </w:p>
    <w:p w:rsidR="008B7BE3" w:rsidRPr="007508CA" w:rsidRDefault="00745516" w:rsidP="007A3510">
      <w:pPr>
        <w:spacing w:line="360" w:lineRule="auto"/>
        <w:ind w:firstLine="709"/>
        <w:rPr>
          <w:rFonts w:ascii="Times New Roman" w:hAnsi="Times New Roman" w:cs="Times New Roman"/>
          <w:i/>
          <w:iCs/>
          <w:sz w:val="28"/>
          <w:szCs w:val="28"/>
        </w:rPr>
      </w:pPr>
      <w:r w:rsidRPr="007508CA">
        <w:rPr>
          <w:rFonts w:ascii="Times New Roman" w:hAnsi="Times New Roman" w:cs="Times New Roman"/>
          <w:i/>
          <w:iCs/>
          <w:sz w:val="28"/>
          <w:szCs w:val="28"/>
        </w:rPr>
        <w:t>Д</w:t>
      </w:r>
      <w:r w:rsidR="008B7BE3" w:rsidRPr="007508CA">
        <w:rPr>
          <w:rFonts w:ascii="Times New Roman" w:hAnsi="Times New Roman" w:cs="Times New Roman"/>
          <w:i/>
          <w:iCs/>
          <w:sz w:val="28"/>
          <w:szCs w:val="28"/>
        </w:rPr>
        <w:t xml:space="preserve">е </w:t>
      </w:r>
      <w:r w:rsidR="008B7BE3" w:rsidRPr="007508CA">
        <w:rPr>
          <w:rFonts w:ascii="Times New Roman" w:hAnsi="Times New Roman" w:cs="Times New Roman"/>
          <w:b/>
          <w:bCs/>
          <w:i/>
          <w:iCs/>
          <w:sz w:val="28"/>
          <w:szCs w:val="28"/>
        </w:rPr>
        <w:t>Х</w:t>
      </w:r>
      <w:r w:rsidR="008B7BE3" w:rsidRPr="007508CA">
        <w:rPr>
          <w:rFonts w:ascii="Times New Roman" w:hAnsi="Times New Roman" w:cs="Times New Roman"/>
          <w:b/>
          <w:bCs/>
          <w:i/>
          <w:iCs/>
          <w:sz w:val="28"/>
          <w:szCs w:val="28"/>
          <w:vertAlign w:val="subscript"/>
        </w:rPr>
        <w:t>i</w:t>
      </w:r>
      <w:r w:rsidR="008B7BE3" w:rsidRPr="007508CA">
        <w:rPr>
          <w:rFonts w:ascii="Times New Roman" w:hAnsi="Times New Roman" w:cs="Times New Roman"/>
          <w:i/>
          <w:iCs/>
          <w:sz w:val="28"/>
          <w:szCs w:val="28"/>
        </w:rPr>
        <w:t xml:space="preserve"> </w:t>
      </w:r>
      <w:r w:rsidR="007A3510" w:rsidRPr="007508CA">
        <w:rPr>
          <w:rFonts w:ascii="Times New Roman" w:hAnsi="Times New Roman" w:cs="Times New Roman"/>
          <w:i/>
          <w:iCs/>
          <w:sz w:val="28"/>
          <w:szCs w:val="28"/>
        </w:rPr>
        <w:t>-</w:t>
      </w:r>
      <w:r w:rsidR="008B7BE3" w:rsidRPr="007508CA">
        <w:rPr>
          <w:rFonts w:ascii="Times New Roman" w:hAnsi="Times New Roman" w:cs="Times New Roman"/>
          <w:i/>
          <w:iCs/>
          <w:sz w:val="28"/>
          <w:szCs w:val="28"/>
        </w:rPr>
        <w:t xml:space="preserve"> очікувана тривалість життя при народженні населення і-тої території;</w:t>
      </w:r>
    </w:p>
    <w:p w:rsidR="00745516" w:rsidRPr="007508CA" w:rsidRDefault="008B7BE3" w:rsidP="007A3510">
      <w:pPr>
        <w:spacing w:line="360" w:lineRule="auto"/>
        <w:ind w:firstLine="709"/>
        <w:rPr>
          <w:rFonts w:ascii="Times New Roman" w:hAnsi="Times New Roman" w:cs="Times New Roman"/>
          <w:i/>
          <w:iCs/>
          <w:sz w:val="28"/>
          <w:szCs w:val="28"/>
        </w:rPr>
      </w:pPr>
      <w:r w:rsidRPr="007508CA">
        <w:rPr>
          <w:rFonts w:ascii="Times New Roman" w:hAnsi="Times New Roman" w:cs="Times New Roman"/>
          <w:b/>
          <w:bCs/>
          <w:i/>
          <w:iCs/>
          <w:sz w:val="28"/>
          <w:szCs w:val="28"/>
        </w:rPr>
        <w:t>Х</w:t>
      </w:r>
      <w:r w:rsidRPr="007508CA">
        <w:rPr>
          <w:rFonts w:ascii="Times New Roman" w:hAnsi="Times New Roman" w:cs="Times New Roman"/>
          <w:b/>
          <w:bCs/>
          <w:i/>
          <w:iCs/>
          <w:sz w:val="28"/>
          <w:szCs w:val="28"/>
          <w:vertAlign w:val="subscript"/>
        </w:rPr>
        <w:t>max</w:t>
      </w:r>
      <w:r w:rsidRPr="007508CA">
        <w:rPr>
          <w:rFonts w:ascii="Times New Roman" w:hAnsi="Times New Roman" w:cs="Times New Roman"/>
          <w:i/>
          <w:iCs/>
          <w:sz w:val="28"/>
          <w:szCs w:val="28"/>
        </w:rPr>
        <w:t xml:space="preserve"> </w:t>
      </w:r>
      <w:r w:rsidR="007A3510" w:rsidRPr="007508CA">
        <w:rPr>
          <w:rFonts w:ascii="Times New Roman" w:hAnsi="Times New Roman" w:cs="Times New Roman"/>
          <w:i/>
          <w:iCs/>
          <w:sz w:val="28"/>
          <w:szCs w:val="28"/>
        </w:rPr>
        <w:t>-</w:t>
      </w:r>
      <w:r w:rsidRPr="007508CA">
        <w:rPr>
          <w:rFonts w:ascii="Times New Roman" w:hAnsi="Times New Roman" w:cs="Times New Roman"/>
          <w:i/>
          <w:iCs/>
          <w:sz w:val="28"/>
          <w:szCs w:val="28"/>
        </w:rPr>
        <w:t xml:space="preserve"> максимальне значення показника (прийняте на рівні 85 років);</w:t>
      </w:r>
    </w:p>
    <w:p w:rsidR="00DC3521" w:rsidRPr="007508CA" w:rsidRDefault="008B7BE3" w:rsidP="007A3510">
      <w:pPr>
        <w:spacing w:line="360" w:lineRule="auto"/>
        <w:ind w:firstLine="709"/>
        <w:rPr>
          <w:rFonts w:ascii="Times New Roman" w:hAnsi="Times New Roman" w:cs="Times New Roman"/>
          <w:i/>
          <w:iCs/>
          <w:sz w:val="28"/>
          <w:szCs w:val="28"/>
        </w:rPr>
      </w:pPr>
      <w:r w:rsidRPr="007508CA">
        <w:rPr>
          <w:rFonts w:ascii="Times New Roman" w:hAnsi="Times New Roman" w:cs="Times New Roman"/>
          <w:b/>
          <w:bCs/>
          <w:i/>
          <w:iCs/>
          <w:sz w:val="28"/>
          <w:szCs w:val="28"/>
        </w:rPr>
        <w:t>Х</w:t>
      </w:r>
      <w:r w:rsidRPr="007508CA">
        <w:rPr>
          <w:rFonts w:ascii="Times New Roman" w:hAnsi="Times New Roman" w:cs="Times New Roman"/>
          <w:b/>
          <w:bCs/>
          <w:i/>
          <w:iCs/>
          <w:sz w:val="28"/>
          <w:szCs w:val="28"/>
          <w:vertAlign w:val="subscript"/>
        </w:rPr>
        <w:t>min</w:t>
      </w:r>
      <w:r w:rsidRPr="007508CA">
        <w:rPr>
          <w:rFonts w:ascii="Times New Roman" w:hAnsi="Times New Roman" w:cs="Times New Roman"/>
          <w:i/>
          <w:iCs/>
          <w:sz w:val="28"/>
          <w:szCs w:val="28"/>
        </w:rPr>
        <w:t xml:space="preserve"> </w:t>
      </w:r>
      <w:r w:rsidR="007A3510" w:rsidRPr="007508CA">
        <w:rPr>
          <w:rFonts w:ascii="Times New Roman" w:hAnsi="Times New Roman" w:cs="Times New Roman"/>
          <w:i/>
          <w:iCs/>
          <w:sz w:val="28"/>
          <w:szCs w:val="28"/>
        </w:rPr>
        <w:t>-</w:t>
      </w:r>
      <w:r w:rsidRPr="007508CA">
        <w:rPr>
          <w:rFonts w:ascii="Times New Roman" w:hAnsi="Times New Roman" w:cs="Times New Roman"/>
          <w:i/>
          <w:iCs/>
          <w:sz w:val="28"/>
          <w:szCs w:val="28"/>
        </w:rPr>
        <w:t xml:space="preserve"> мінімальне значення показника (прийняте на рівні 25 років).</w:t>
      </w:r>
    </w:p>
    <w:p w:rsidR="00DC3521" w:rsidRPr="007508CA" w:rsidRDefault="00DC3521" w:rsidP="007A3510">
      <w:pPr>
        <w:spacing w:line="360" w:lineRule="auto"/>
        <w:ind w:firstLine="709"/>
        <w:rPr>
          <w:rFonts w:ascii="Times New Roman" w:hAnsi="Times New Roman" w:cs="Times New Roman"/>
          <w:sz w:val="28"/>
          <w:szCs w:val="28"/>
          <w:lang w:val="ru-RU"/>
        </w:rPr>
      </w:pPr>
      <w:r w:rsidRPr="007508CA">
        <w:rPr>
          <w:rFonts w:ascii="Times New Roman" w:hAnsi="Times New Roman" w:cs="Times New Roman"/>
          <w:i/>
          <w:iCs/>
          <w:sz w:val="28"/>
          <w:szCs w:val="28"/>
        </w:rPr>
        <w:br w:type="page"/>
      </w:r>
      <w:r w:rsidR="001C6FFF">
        <w:rPr>
          <w:rFonts w:ascii="Times New Roman" w:hAnsi="Times New Roman" w:cs="Times New Roman"/>
        </w:rPr>
        <w:pict>
          <v:shape id="Рисунок 10" o:spid="_x0000_i1027" type="#_x0000_t75" style="width:120pt;height:26.25pt;visibility:visible" o:allowoverlap="f">
            <v:imagedata r:id="rId9" o:title=""/>
          </v:shape>
        </w:pict>
      </w:r>
    </w:p>
    <w:p w:rsidR="00DC3521" w:rsidRPr="007508CA" w:rsidRDefault="00DC3521" w:rsidP="007A3510">
      <w:pPr>
        <w:spacing w:line="360" w:lineRule="auto"/>
        <w:ind w:firstLine="709"/>
        <w:rPr>
          <w:rFonts w:ascii="Times New Roman" w:hAnsi="Times New Roman" w:cs="Times New Roman"/>
          <w:sz w:val="28"/>
          <w:szCs w:val="28"/>
          <w:lang w:val="ru-RU"/>
        </w:rPr>
      </w:pPr>
    </w:p>
    <w:p w:rsidR="008B7BE3" w:rsidRPr="007508CA" w:rsidRDefault="00745516" w:rsidP="007A3510">
      <w:pPr>
        <w:spacing w:line="360" w:lineRule="auto"/>
        <w:ind w:firstLine="709"/>
        <w:rPr>
          <w:rFonts w:ascii="Times New Roman" w:hAnsi="Times New Roman" w:cs="Times New Roman"/>
          <w:b/>
          <w:bCs/>
          <w:i/>
          <w:iCs/>
          <w:sz w:val="28"/>
          <w:szCs w:val="28"/>
          <w:u w:val="single"/>
        </w:rPr>
      </w:pPr>
      <w:r w:rsidRPr="007508CA">
        <w:rPr>
          <w:rFonts w:ascii="Times New Roman" w:hAnsi="Times New Roman" w:cs="Times New Roman"/>
          <w:b/>
          <w:bCs/>
          <w:i/>
          <w:iCs/>
          <w:sz w:val="28"/>
          <w:szCs w:val="28"/>
          <w:u w:val="single"/>
        </w:rPr>
        <w:t>Індекс рівня освіченості (educ) обчислюється за формулою:</w:t>
      </w:r>
    </w:p>
    <w:p w:rsidR="008B7BE3" w:rsidRPr="007508CA" w:rsidRDefault="008B7BE3" w:rsidP="007A3510">
      <w:pPr>
        <w:spacing w:line="360" w:lineRule="auto"/>
        <w:ind w:firstLine="709"/>
        <w:rPr>
          <w:rFonts w:ascii="Times New Roman" w:hAnsi="Times New Roman" w:cs="Times New Roman"/>
          <w:i/>
          <w:iCs/>
          <w:sz w:val="28"/>
          <w:szCs w:val="28"/>
        </w:rPr>
      </w:pPr>
      <w:r w:rsidRPr="007508CA">
        <w:rPr>
          <w:rFonts w:ascii="Times New Roman" w:hAnsi="Times New Roman" w:cs="Times New Roman"/>
          <w:i/>
          <w:iCs/>
          <w:sz w:val="28"/>
          <w:szCs w:val="28"/>
        </w:rPr>
        <w:t xml:space="preserve">де </w:t>
      </w:r>
      <w:r w:rsidRPr="007508CA">
        <w:rPr>
          <w:rFonts w:ascii="Times New Roman" w:hAnsi="Times New Roman" w:cs="Times New Roman"/>
          <w:b/>
          <w:bCs/>
          <w:i/>
          <w:iCs/>
          <w:sz w:val="28"/>
          <w:szCs w:val="28"/>
        </w:rPr>
        <w:t>I</w:t>
      </w:r>
      <w:r w:rsidRPr="007508CA">
        <w:rPr>
          <w:rFonts w:ascii="Times New Roman" w:hAnsi="Times New Roman" w:cs="Times New Roman"/>
          <w:b/>
          <w:bCs/>
          <w:i/>
          <w:iCs/>
          <w:sz w:val="28"/>
          <w:szCs w:val="28"/>
          <w:vertAlign w:val="subscript"/>
        </w:rPr>
        <w:t>adult</w:t>
      </w:r>
      <w:r w:rsidRPr="007508CA">
        <w:rPr>
          <w:rFonts w:ascii="Times New Roman" w:hAnsi="Times New Roman" w:cs="Times New Roman"/>
          <w:b/>
          <w:bCs/>
          <w:i/>
          <w:iCs/>
          <w:sz w:val="28"/>
          <w:szCs w:val="28"/>
        </w:rPr>
        <w:t xml:space="preserve"> </w:t>
      </w:r>
      <w:r w:rsidR="007A3510" w:rsidRPr="007508CA">
        <w:rPr>
          <w:rFonts w:ascii="Times New Roman" w:hAnsi="Times New Roman" w:cs="Times New Roman"/>
          <w:i/>
          <w:iCs/>
          <w:sz w:val="28"/>
          <w:szCs w:val="28"/>
        </w:rPr>
        <w:t>-</w:t>
      </w:r>
      <w:r w:rsidRPr="007508CA">
        <w:rPr>
          <w:rFonts w:ascii="Times New Roman" w:hAnsi="Times New Roman" w:cs="Times New Roman"/>
          <w:i/>
          <w:iCs/>
          <w:sz w:val="28"/>
          <w:szCs w:val="28"/>
        </w:rPr>
        <w:t xml:space="preserve"> індекс грамотності дорослого населення;</w:t>
      </w:r>
    </w:p>
    <w:p w:rsidR="008B7BE3" w:rsidRPr="007508CA" w:rsidRDefault="008B7BE3" w:rsidP="007A3510">
      <w:pPr>
        <w:spacing w:line="360" w:lineRule="auto"/>
        <w:ind w:firstLine="709"/>
        <w:rPr>
          <w:rFonts w:ascii="Times New Roman" w:hAnsi="Times New Roman" w:cs="Times New Roman"/>
          <w:i/>
          <w:iCs/>
          <w:sz w:val="28"/>
          <w:szCs w:val="28"/>
          <w:lang w:val="ru-RU"/>
        </w:rPr>
      </w:pPr>
      <w:r w:rsidRPr="007508CA">
        <w:rPr>
          <w:rFonts w:ascii="Times New Roman" w:hAnsi="Times New Roman" w:cs="Times New Roman"/>
          <w:b/>
          <w:bCs/>
          <w:i/>
          <w:iCs/>
          <w:sz w:val="28"/>
          <w:szCs w:val="28"/>
        </w:rPr>
        <w:t>I</w:t>
      </w:r>
      <w:r w:rsidRPr="007508CA">
        <w:rPr>
          <w:rFonts w:ascii="Times New Roman" w:hAnsi="Times New Roman" w:cs="Times New Roman"/>
          <w:b/>
          <w:bCs/>
          <w:i/>
          <w:iCs/>
          <w:sz w:val="28"/>
          <w:szCs w:val="28"/>
          <w:vertAlign w:val="subscript"/>
        </w:rPr>
        <w:t>child</w:t>
      </w:r>
      <w:r w:rsidRPr="007508CA">
        <w:rPr>
          <w:rFonts w:ascii="Times New Roman" w:hAnsi="Times New Roman" w:cs="Times New Roman"/>
          <w:i/>
          <w:iCs/>
          <w:sz w:val="28"/>
          <w:szCs w:val="28"/>
        </w:rPr>
        <w:t xml:space="preserve"> </w:t>
      </w:r>
      <w:r w:rsidR="007A3510" w:rsidRPr="007508CA">
        <w:rPr>
          <w:rFonts w:ascii="Times New Roman" w:hAnsi="Times New Roman" w:cs="Times New Roman"/>
          <w:i/>
          <w:iCs/>
          <w:sz w:val="28"/>
          <w:szCs w:val="28"/>
        </w:rPr>
        <w:t>-</w:t>
      </w:r>
      <w:r w:rsidRPr="007508CA">
        <w:rPr>
          <w:rFonts w:ascii="Times New Roman" w:hAnsi="Times New Roman" w:cs="Times New Roman"/>
          <w:i/>
          <w:iCs/>
          <w:sz w:val="28"/>
          <w:szCs w:val="28"/>
        </w:rPr>
        <w:t xml:space="preserve"> індекс сукупної частки учнів у загальній чисельності населення відповідного віку.</w:t>
      </w:r>
    </w:p>
    <w:p w:rsidR="00DC3521" w:rsidRPr="007508CA" w:rsidRDefault="00DC3521" w:rsidP="007A3510">
      <w:pPr>
        <w:spacing w:line="360" w:lineRule="auto"/>
        <w:ind w:firstLine="709"/>
        <w:rPr>
          <w:rFonts w:ascii="Times New Roman" w:hAnsi="Times New Roman" w:cs="Times New Roman"/>
          <w:i/>
          <w:iCs/>
          <w:sz w:val="28"/>
          <w:szCs w:val="28"/>
          <w:lang w:val="ru-RU"/>
        </w:rPr>
      </w:pPr>
    </w:p>
    <w:p w:rsidR="00DC3521" w:rsidRPr="007508CA" w:rsidRDefault="001C6FFF" w:rsidP="007A3510">
      <w:pPr>
        <w:spacing w:line="360" w:lineRule="auto"/>
        <w:ind w:firstLine="709"/>
        <w:rPr>
          <w:rFonts w:ascii="Times New Roman" w:hAnsi="Times New Roman" w:cs="Times New Roman"/>
          <w:sz w:val="28"/>
          <w:szCs w:val="28"/>
          <w:lang w:val="ru-RU"/>
        </w:rPr>
      </w:pPr>
      <w:r>
        <w:rPr>
          <w:rFonts w:ascii="Times New Roman" w:hAnsi="Times New Roman" w:cs="Times New Roman"/>
        </w:rPr>
        <w:pict>
          <v:shape id="Рисунок 13" o:spid="_x0000_i1028" type="#_x0000_t75" style="width:99.75pt;height:27pt;visibility:visible" o:allowoverlap="f">
            <v:imagedata r:id="rId10" o:title=""/>
          </v:shape>
        </w:pict>
      </w:r>
    </w:p>
    <w:p w:rsidR="00DC3521" w:rsidRPr="007508CA" w:rsidRDefault="00DC3521" w:rsidP="007A3510">
      <w:pPr>
        <w:spacing w:line="360" w:lineRule="auto"/>
        <w:ind w:firstLine="709"/>
        <w:rPr>
          <w:rFonts w:ascii="Times New Roman" w:hAnsi="Times New Roman" w:cs="Times New Roman"/>
          <w:sz w:val="28"/>
          <w:szCs w:val="28"/>
          <w:lang w:val="ru-RU"/>
        </w:rPr>
      </w:pPr>
    </w:p>
    <w:p w:rsidR="008B7BE3" w:rsidRPr="007508CA" w:rsidRDefault="008B7BE3" w:rsidP="007A3510">
      <w:pPr>
        <w:spacing w:line="360" w:lineRule="auto"/>
        <w:ind w:firstLine="709"/>
        <w:rPr>
          <w:rFonts w:ascii="Times New Roman" w:hAnsi="Times New Roman" w:cs="Times New Roman"/>
          <w:b/>
          <w:bCs/>
          <w:i/>
          <w:iCs/>
          <w:sz w:val="28"/>
          <w:szCs w:val="28"/>
          <w:u w:val="single"/>
        </w:rPr>
      </w:pPr>
      <w:r w:rsidRPr="007508CA">
        <w:rPr>
          <w:rFonts w:ascii="Times New Roman" w:hAnsi="Times New Roman" w:cs="Times New Roman"/>
          <w:b/>
          <w:bCs/>
          <w:i/>
          <w:iCs/>
          <w:sz w:val="28"/>
          <w:szCs w:val="28"/>
          <w:u w:val="single"/>
        </w:rPr>
        <w:t>Індекс скоригованого реального ВВП (I</w:t>
      </w:r>
      <w:r w:rsidRPr="007508CA">
        <w:rPr>
          <w:rFonts w:ascii="Times New Roman" w:hAnsi="Times New Roman" w:cs="Times New Roman"/>
          <w:b/>
          <w:bCs/>
          <w:i/>
          <w:iCs/>
          <w:sz w:val="28"/>
          <w:szCs w:val="28"/>
          <w:u w:val="single"/>
          <w:vertAlign w:val="subscript"/>
        </w:rPr>
        <w:t>inc</w:t>
      </w:r>
      <w:r w:rsidRPr="007508CA">
        <w:rPr>
          <w:rFonts w:ascii="Times New Roman" w:hAnsi="Times New Roman" w:cs="Times New Roman"/>
          <w:b/>
          <w:bCs/>
          <w:i/>
          <w:iCs/>
          <w:sz w:val="28"/>
          <w:szCs w:val="28"/>
          <w:u w:val="single"/>
        </w:rPr>
        <w:t>) на душу населення обчислюється за формулою</w:t>
      </w:r>
      <w:r w:rsidR="00745516" w:rsidRPr="007508CA">
        <w:rPr>
          <w:rFonts w:ascii="Times New Roman" w:hAnsi="Times New Roman" w:cs="Times New Roman"/>
          <w:b/>
          <w:bCs/>
          <w:i/>
          <w:iCs/>
          <w:sz w:val="28"/>
          <w:szCs w:val="28"/>
          <w:u w:val="single"/>
        </w:rPr>
        <w:t>:</w:t>
      </w:r>
    </w:p>
    <w:p w:rsidR="008B7BE3" w:rsidRPr="007508CA" w:rsidRDefault="008B7BE3" w:rsidP="007A3510">
      <w:pPr>
        <w:spacing w:line="360" w:lineRule="auto"/>
        <w:ind w:firstLine="709"/>
        <w:rPr>
          <w:rFonts w:ascii="Times New Roman" w:hAnsi="Times New Roman" w:cs="Times New Roman"/>
          <w:i/>
          <w:iCs/>
          <w:sz w:val="28"/>
          <w:szCs w:val="28"/>
        </w:rPr>
      </w:pPr>
      <w:r w:rsidRPr="007508CA">
        <w:rPr>
          <w:rFonts w:ascii="Times New Roman" w:hAnsi="Times New Roman" w:cs="Times New Roman"/>
          <w:i/>
          <w:iCs/>
          <w:sz w:val="28"/>
          <w:szCs w:val="28"/>
        </w:rPr>
        <w:t xml:space="preserve">де </w:t>
      </w:r>
      <w:r w:rsidRPr="007508CA">
        <w:rPr>
          <w:rFonts w:ascii="Times New Roman" w:hAnsi="Times New Roman" w:cs="Times New Roman"/>
          <w:b/>
          <w:bCs/>
          <w:i/>
          <w:iCs/>
          <w:sz w:val="28"/>
          <w:szCs w:val="28"/>
        </w:rPr>
        <w:t>Х</w:t>
      </w:r>
      <w:r w:rsidRPr="007508CA">
        <w:rPr>
          <w:rFonts w:ascii="Times New Roman" w:hAnsi="Times New Roman" w:cs="Times New Roman"/>
          <w:b/>
          <w:bCs/>
          <w:i/>
          <w:iCs/>
          <w:sz w:val="28"/>
          <w:szCs w:val="28"/>
          <w:vertAlign w:val="subscript"/>
        </w:rPr>
        <w:t>i</w:t>
      </w:r>
      <w:r w:rsidRPr="007508CA">
        <w:rPr>
          <w:rFonts w:ascii="Times New Roman" w:hAnsi="Times New Roman" w:cs="Times New Roman"/>
          <w:i/>
          <w:iCs/>
          <w:sz w:val="28"/>
          <w:szCs w:val="28"/>
        </w:rPr>
        <w:t xml:space="preserve"> </w:t>
      </w:r>
      <w:r w:rsidR="007A3510" w:rsidRPr="007508CA">
        <w:rPr>
          <w:rFonts w:ascii="Times New Roman" w:hAnsi="Times New Roman" w:cs="Times New Roman"/>
          <w:i/>
          <w:iCs/>
          <w:sz w:val="28"/>
          <w:szCs w:val="28"/>
        </w:rPr>
        <w:t>-</w:t>
      </w:r>
      <w:r w:rsidRPr="007508CA">
        <w:rPr>
          <w:rFonts w:ascii="Times New Roman" w:hAnsi="Times New Roman" w:cs="Times New Roman"/>
          <w:i/>
          <w:iCs/>
          <w:sz w:val="28"/>
          <w:szCs w:val="28"/>
        </w:rPr>
        <w:t xml:space="preserve"> скоригований реальний ВВП у розрахунку на рік (за паритетом купівельної спроможності) на душу населення і-тої території;</w:t>
      </w:r>
    </w:p>
    <w:p w:rsidR="008B7BE3" w:rsidRPr="007508CA" w:rsidRDefault="008B7BE3" w:rsidP="007A3510">
      <w:pPr>
        <w:spacing w:line="360" w:lineRule="auto"/>
        <w:ind w:firstLine="709"/>
        <w:rPr>
          <w:rFonts w:ascii="Times New Roman" w:hAnsi="Times New Roman" w:cs="Times New Roman"/>
          <w:i/>
          <w:iCs/>
          <w:sz w:val="28"/>
          <w:szCs w:val="28"/>
        </w:rPr>
      </w:pPr>
      <w:r w:rsidRPr="007508CA">
        <w:rPr>
          <w:rFonts w:ascii="Times New Roman" w:hAnsi="Times New Roman" w:cs="Times New Roman"/>
          <w:b/>
          <w:bCs/>
          <w:i/>
          <w:iCs/>
          <w:sz w:val="28"/>
          <w:szCs w:val="28"/>
        </w:rPr>
        <w:t>Х</w:t>
      </w:r>
      <w:r w:rsidRPr="007508CA">
        <w:rPr>
          <w:rFonts w:ascii="Times New Roman" w:hAnsi="Times New Roman" w:cs="Times New Roman"/>
          <w:b/>
          <w:bCs/>
          <w:i/>
          <w:iCs/>
          <w:sz w:val="28"/>
          <w:szCs w:val="28"/>
          <w:vertAlign w:val="subscript"/>
        </w:rPr>
        <w:t xml:space="preserve">max </w:t>
      </w:r>
      <w:r w:rsidR="007A3510" w:rsidRPr="007508CA">
        <w:rPr>
          <w:rFonts w:ascii="Times New Roman" w:hAnsi="Times New Roman" w:cs="Times New Roman"/>
          <w:i/>
          <w:iCs/>
          <w:sz w:val="28"/>
          <w:szCs w:val="28"/>
        </w:rPr>
        <w:t>-</w:t>
      </w:r>
      <w:r w:rsidRPr="007508CA">
        <w:rPr>
          <w:rFonts w:ascii="Times New Roman" w:hAnsi="Times New Roman" w:cs="Times New Roman"/>
          <w:i/>
          <w:iCs/>
          <w:sz w:val="28"/>
          <w:szCs w:val="28"/>
        </w:rPr>
        <w:t xml:space="preserve"> максимальне значення показника (прийняте на рівні 40 000 доларів на рік);</w:t>
      </w:r>
    </w:p>
    <w:p w:rsidR="008B7BE3" w:rsidRPr="007508CA" w:rsidRDefault="008B7BE3" w:rsidP="007A3510">
      <w:pPr>
        <w:spacing w:line="360" w:lineRule="auto"/>
        <w:ind w:firstLine="709"/>
        <w:rPr>
          <w:rFonts w:ascii="Times New Roman" w:hAnsi="Times New Roman" w:cs="Times New Roman"/>
          <w:i/>
          <w:iCs/>
          <w:sz w:val="28"/>
          <w:szCs w:val="28"/>
        </w:rPr>
      </w:pPr>
      <w:r w:rsidRPr="007508CA">
        <w:rPr>
          <w:rFonts w:ascii="Times New Roman" w:hAnsi="Times New Roman" w:cs="Times New Roman"/>
          <w:b/>
          <w:bCs/>
          <w:i/>
          <w:iCs/>
          <w:sz w:val="28"/>
          <w:szCs w:val="28"/>
        </w:rPr>
        <w:t>Х</w:t>
      </w:r>
      <w:r w:rsidRPr="007508CA">
        <w:rPr>
          <w:rFonts w:ascii="Times New Roman" w:hAnsi="Times New Roman" w:cs="Times New Roman"/>
          <w:b/>
          <w:bCs/>
          <w:i/>
          <w:iCs/>
          <w:sz w:val="28"/>
          <w:szCs w:val="28"/>
          <w:vertAlign w:val="subscript"/>
        </w:rPr>
        <w:t>min</w:t>
      </w:r>
      <w:r w:rsidRPr="007508CA">
        <w:rPr>
          <w:rFonts w:ascii="Times New Roman" w:hAnsi="Times New Roman" w:cs="Times New Roman"/>
          <w:b/>
          <w:bCs/>
          <w:i/>
          <w:iCs/>
          <w:sz w:val="28"/>
          <w:szCs w:val="28"/>
        </w:rPr>
        <w:t xml:space="preserve"> </w:t>
      </w:r>
      <w:r w:rsidR="007A3510" w:rsidRPr="007508CA">
        <w:rPr>
          <w:rFonts w:ascii="Times New Roman" w:hAnsi="Times New Roman" w:cs="Times New Roman"/>
          <w:i/>
          <w:iCs/>
          <w:sz w:val="28"/>
          <w:szCs w:val="28"/>
        </w:rPr>
        <w:t>-</w:t>
      </w:r>
      <w:r w:rsidRPr="007508CA">
        <w:rPr>
          <w:rFonts w:ascii="Times New Roman" w:hAnsi="Times New Roman" w:cs="Times New Roman"/>
          <w:i/>
          <w:iCs/>
          <w:sz w:val="28"/>
          <w:szCs w:val="28"/>
        </w:rPr>
        <w:t xml:space="preserve"> мінімальне значення показника (прийняте на рівні 100 доларів на рік).</w:t>
      </w:r>
    </w:p>
    <w:p w:rsidR="008B7BE3" w:rsidRPr="007508CA" w:rsidRDefault="008B7BE3" w:rsidP="007A3510">
      <w:pPr>
        <w:spacing w:line="360" w:lineRule="auto"/>
        <w:ind w:firstLine="709"/>
        <w:rPr>
          <w:rFonts w:ascii="Times New Roman" w:hAnsi="Times New Roman" w:cs="Times New Roman"/>
          <w:sz w:val="28"/>
          <w:szCs w:val="28"/>
        </w:rPr>
      </w:pPr>
      <w:r w:rsidRPr="007508CA">
        <w:rPr>
          <w:rFonts w:ascii="Times New Roman" w:hAnsi="Times New Roman" w:cs="Times New Roman"/>
          <w:sz w:val="28"/>
          <w:szCs w:val="28"/>
        </w:rPr>
        <w:t xml:space="preserve">Тож показник ІЛР для кожної країни свідчить про те, скільки ще належить зробити цій країні для досягнення певних цілей </w:t>
      </w:r>
      <w:r w:rsidR="007A3510" w:rsidRPr="007508CA">
        <w:rPr>
          <w:rFonts w:ascii="Times New Roman" w:hAnsi="Times New Roman" w:cs="Times New Roman"/>
          <w:sz w:val="28"/>
          <w:szCs w:val="28"/>
        </w:rPr>
        <w:t>-</w:t>
      </w:r>
      <w:r w:rsidRPr="007508CA">
        <w:rPr>
          <w:rFonts w:ascii="Times New Roman" w:hAnsi="Times New Roman" w:cs="Times New Roman"/>
          <w:sz w:val="28"/>
          <w:szCs w:val="28"/>
        </w:rPr>
        <w:t xml:space="preserve"> середньої тривалості життя 85 років, повної грамотності населення та суцільного охоплення навчанням молоді і рівня середньорічних доходів на душу населення у розмірі 40 000 доларів за паритетом купівельної спроможності національної валюти. Ці цілі тим ближчі, чим ближчим є значення ІЛР до одиниці.</w:t>
      </w:r>
      <w:r w:rsidR="00DC3521" w:rsidRPr="007508CA">
        <w:rPr>
          <w:rFonts w:ascii="Times New Roman" w:hAnsi="Times New Roman" w:cs="Times New Roman"/>
          <w:sz w:val="28"/>
          <w:szCs w:val="28"/>
          <w:lang w:val="ru-RU"/>
        </w:rPr>
        <w:t xml:space="preserve"> </w:t>
      </w:r>
      <w:r w:rsidRPr="007508CA">
        <w:rPr>
          <w:rFonts w:ascii="Times New Roman" w:hAnsi="Times New Roman" w:cs="Times New Roman"/>
          <w:sz w:val="28"/>
          <w:szCs w:val="28"/>
        </w:rPr>
        <w:t>Система числових показників вимірювання рівня людського розвитку, яка використовується ПРООН для більшості країн, далека від досконалості, у зв’язку з чим вона не лише постійно вдосконалюється, а й постійно підлягає критиці. Проте вона чітко обґрунтована теоретично та обумовлена наявністю статистичних даних, порівнянних для практично всіх країн світу.</w:t>
      </w:r>
    </w:p>
    <w:p w:rsidR="00625342" w:rsidRPr="007508CA" w:rsidRDefault="00DC3521" w:rsidP="007A3510">
      <w:pPr>
        <w:pStyle w:val="1"/>
        <w:spacing w:before="0" w:line="360" w:lineRule="auto"/>
        <w:ind w:firstLine="709"/>
        <w:rPr>
          <w:rFonts w:ascii="Times New Roman" w:hAnsi="Times New Roman" w:cs="Times New Roman"/>
          <w:color w:val="auto"/>
        </w:rPr>
      </w:pPr>
      <w:bookmarkStart w:id="3" w:name="_Toc274505009"/>
      <w:r w:rsidRPr="007508CA">
        <w:rPr>
          <w:rFonts w:ascii="Times New Roman" w:hAnsi="Times New Roman" w:cs="Times New Roman"/>
          <w:color w:val="auto"/>
        </w:rPr>
        <w:br w:type="page"/>
      </w:r>
      <w:r w:rsidRPr="007508CA">
        <w:rPr>
          <w:rFonts w:ascii="Times New Roman" w:hAnsi="Times New Roman" w:cs="Times New Roman"/>
          <w:color w:val="auto"/>
          <w:lang w:val="ru-RU"/>
        </w:rPr>
        <w:t>3</w:t>
      </w:r>
      <w:r w:rsidR="00437F20" w:rsidRPr="007508CA">
        <w:rPr>
          <w:rFonts w:ascii="Times New Roman" w:hAnsi="Times New Roman" w:cs="Times New Roman"/>
          <w:color w:val="auto"/>
        </w:rPr>
        <w:t>. ВНЕСОК ВІТЧИЗНЯНИХ ВЧЕНИХ</w:t>
      </w:r>
      <w:bookmarkEnd w:id="3"/>
    </w:p>
    <w:p w:rsidR="00437F20" w:rsidRPr="007508CA" w:rsidRDefault="00437F20" w:rsidP="007A3510">
      <w:pPr>
        <w:spacing w:line="360" w:lineRule="auto"/>
        <w:ind w:firstLine="709"/>
        <w:rPr>
          <w:rFonts w:ascii="Times New Roman" w:hAnsi="Times New Roman" w:cs="Times New Roman"/>
          <w:sz w:val="28"/>
          <w:szCs w:val="28"/>
        </w:rPr>
      </w:pPr>
    </w:p>
    <w:p w:rsidR="008B7BE3" w:rsidRPr="007508CA" w:rsidRDefault="008B7BE3" w:rsidP="007A3510">
      <w:pPr>
        <w:spacing w:line="360" w:lineRule="auto"/>
        <w:ind w:firstLine="709"/>
        <w:rPr>
          <w:rFonts w:ascii="Times New Roman" w:hAnsi="Times New Roman" w:cs="Times New Roman"/>
          <w:sz w:val="28"/>
          <w:szCs w:val="28"/>
        </w:rPr>
      </w:pPr>
      <w:r w:rsidRPr="007508CA">
        <w:rPr>
          <w:rFonts w:ascii="Times New Roman" w:hAnsi="Times New Roman" w:cs="Times New Roman"/>
          <w:sz w:val="28"/>
          <w:szCs w:val="28"/>
        </w:rPr>
        <w:t>Водночас для розрахунку показників людського розвитку в конкретній країні (наприклад, в Україні) можна і варто застосовувати ширшу національну статистичну базу, використовуючи яку розробити хоча і складніші, але виваженіші та інформативніші показники. З метою оптимальної адаптації глобальних ідей людського розвитку до конкретних умов України вітчизняні вчені під керівництвом члена-кореспондента АН України Е. Лібанової та професора О. Власюка розробили національні методики вимірювання людського розвитку для регіонів України . Ці методики враховують набагато більше основних аспектів людського розвитку: демографічний розвиток; розвиток ринку праці; матеріальний добробут населення; умови проживання населення; рівень освіти населення; стан та охорону здоров’я; соціальне середовище; екологічну ситуацію; фінансування людського розвитку. Для розрахунку значення кожного з названих аспектів використовуються ці</w:t>
      </w:r>
      <w:r w:rsidR="00625342" w:rsidRPr="007508CA">
        <w:rPr>
          <w:rFonts w:ascii="Times New Roman" w:hAnsi="Times New Roman" w:cs="Times New Roman"/>
          <w:sz w:val="28"/>
          <w:szCs w:val="28"/>
        </w:rPr>
        <w:t xml:space="preserve">лі групи детальніших показників (Додаток 1. </w:t>
      </w:r>
      <w:r w:rsidRPr="007508CA">
        <w:rPr>
          <w:rFonts w:ascii="Times New Roman" w:hAnsi="Times New Roman" w:cs="Times New Roman"/>
          <w:sz w:val="28"/>
          <w:szCs w:val="28"/>
        </w:rPr>
        <w:t>Схема розрахунку індексу регіонального людського розвитку</w:t>
      </w:r>
      <w:r w:rsidR="00625342" w:rsidRPr="007508CA">
        <w:rPr>
          <w:rFonts w:ascii="Times New Roman" w:hAnsi="Times New Roman" w:cs="Times New Roman"/>
          <w:sz w:val="28"/>
          <w:szCs w:val="28"/>
        </w:rPr>
        <w:t>).</w:t>
      </w:r>
    </w:p>
    <w:p w:rsidR="008B7BE3" w:rsidRPr="007508CA" w:rsidRDefault="008B7BE3" w:rsidP="007A3510">
      <w:pPr>
        <w:spacing w:line="360" w:lineRule="auto"/>
        <w:ind w:firstLine="709"/>
        <w:rPr>
          <w:rFonts w:ascii="Times New Roman" w:hAnsi="Times New Roman" w:cs="Times New Roman"/>
          <w:sz w:val="28"/>
          <w:szCs w:val="28"/>
        </w:rPr>
      </w:pPr>
      <w:r w:rsidRPr="007508CA">
        <w:rPr>
          <w:rFonts w:ascii="Times New Roman" w:hAnsi="Times New Roman" w:cs="Times New Roman"/>
          <w:sz w:val="28"/>
          <w:szCs w:val="28"/>
        </w:rPr>
        <w:t>Продумана, виважена та зрозуміла методика обрахування ІЛР та його складових, крім ранжування і поділу країн на групи, дозволяє оцінити відповідність поточної ситуації певним орієнтирам, що виражаються оптимальними значеннями показників людського розвитку, а також зміну її за певний період. Порівняння індексів тривалості життя, освіченості та рівня життя дає можливість, за інших рівних умов, уточнити пріоритетність відповідних програм людського розвитку і необхідні розміри фінансування їх. Водночас ІЛР не враховує багато параметрів, що забезпечують можливості вибору, і є цінними для людей. У зв’язку з цим триває постійна робота з удосконалення методики його розрахунку та доповнення його іншими синтетичними показниками. Проте жодні зміни у методиці розрахунку ІЛР не можуть зменшити його значення як принципово нового інструмента вивчення суспільного прогресу. Разом з тим методика розрахунку ІЛР ПРООН має бути розширена та вдосконалена для використання всередині країни.</w:t>
      </w:r>
    </w:p>
    <w:p w:rsidR="00011DC8" w:rsidRPr="007508CA" w:rsidRDefault="00011DC8" w:rsidP="007A3510">
      <w:pPr>
        <w:spacing w:line="360" w:lineRule="auto"/>
        <w:ind w:firstLine="709"/>
        <w:rPr>
          <w:rFonts w:ascii="Times New Roman" w:hAnsi="Times New Roman" w:cs="Times New Roman"/>
          <w:b/>
          <w:bCs/>
          <w:sz w:val="28"/>
          <w:szCs w:val="28"/>
        </w:rPr>
      </w:pPr>
    </w:p>
    <w:p w:rsidR="00625342" w:rsidRPr="007508CA" w:rsidRDefault="00DC3521" w:rsidP="007A3510">
      <w:pPr>
        <w:pStyle w:val="1"/>
        <w:spacing w:before="0" w:line="360" w:lineRule="auto"/>
        <w:ind w:firstLine="709"/>
        <w:rPr>
          <w:rFonts w:ascii="Times New Roman" w:hAnsi="Times New Roman" w:cs="Times New Roman"/>
          <w:color w:val="auto"/>
        </w:rPr>
      </w:pPr>
      <w:bookmarkStart w:id="4" w:name="_Toc274505010"/>
      <w:r w:rsidRPr="007508CA">
        <w:rPr>
          <w:rFonts w:ascii="Times New Roman" w:hAnsi="Times New Roman" w:cs="Times New Roman"/>
          <w:color w:val="auto"/>
          <w:lang w:val="ru-RU"/>
        </w:rPr>
        <w:t>4</w:t>
      </w:r>
      <w:r w:rsidR="00437F20" w:rsidRPr="007508CA">
        <w:rPr>
          <w:rFonts w:ascii="Times New Roman" w:hAnsi="Times New Roman" w:cs="Times New Roman"/>
          <w:color w:val="auto"/>
        </w:rPr>
        <w:t>. КЛАСИФІКАЦІЯ КРАЇН ВІДПОВІДНО ІЛР</w:t>
      </w:r>
      <w:bookmarkEnd w:id="4"/>
    </w:p>
    <w:p w:rsidR="00437F20" w:rsidRPr="007508CA" w:rsidRDefault="00437F20" w:rsidP="007A3510">
      <w:pPr>
        <w:spacing w:line="360" w:lineRule="auto"/>
        <w:ind w:firstLine="709"/>
        <w:rPr>
          <w:rFonts w:ascii="Times New Roman" w:hAnsi="Times New Roman" w:cs="Times New Roman"/>
          <w:sz w:val="28"/>
          <w:szCs w:val="28"/>
        </w:rPr>
      </w:pPr>
    </w:p>
    <w:p w:rsidR="00625342" w:rsidRPr="007508CA" w:rsidRDefault="00625342" w:rsidP="007A3510">
      <w:pPr>
        <w:spacing w:line="360" w:lineRule="auto"/>
        <w:ind w:firstLine="709"/>
        <w:rPr>
          <w:rFonts w:ascii="Times New Roman" w:hAnsi="Times New Roman" w:cs="Times New Roman"/>
          <w:sz w:val="28"/>
          <w:szCs w:val="28"/>
        </w:rPr>
      </w:pPr>
      <w:r w:rsidRPr="007508CA">
        <w:rPr>
          <w:rFonts w:ascii="Times New Roman" w:hAnsi="Times New Roman" w:cs="Times New Roman"/>
          <w:sz w:val="28"/>
          <w:szCs w:val="28"/>
        </w:rPr>
        <w:t>Після того, як значення ІЛР розраховані, здійснюється ранжирування країн за цим показником. Після цього країни розбиваються на три групи:</w:t>
      </w:r>
    </w:p>
    <w:p w:rsidR="00625342" w:rsidRPr="007508CA" w:rsidRDefault="00625342" w:rsidP="007A3510">
      <w:pPr>
        <w:pStyle w:val="a4"/>
        <w:numPr>
          <w:ilvl w:val="0"/>
          <w:numId w:val="3"/>
        </w:numPr>
        <w:spacing w:line="360" w:lineRule="auto"/>
        <w:ind w:left="0" w:firstLine="709"/>
        <w:rPr>
          <w:rFonts w:ascii="Times New Roman" w:hAnsi="Times New Roman" w:cs="Times New Roman"/>
          <w:sz w:val="28"/>
          <w:szCs w:val="28"/>
        </w:rPr>
      </w:pPr>
      <w:r w:rsidRPr="007508CA">
        <w:rPr>
          <w:rFonts w:ascii="Times New Roman" w:hAnsi="Times New Roman" w:cs="Times New Roman"/>
          <w:sz w:val="28"/>
          <w:szCs w:val="28"/>
        </w:rPr>
        <w:t>країни з високим рівнем людського розвитку – для яких ІЛР ≥ 0,8;</w:t>
      </w:r>
    </w:p>
    <w:p w:rsidR="00625342" w:rsidRPr="007508CA" w:rsidRDefault="00625342" w:rsidP="007A3510">
      <w:pPr>
        <w:pStyle w:val="a4"/>
        <w:numPr>
          <w:ilvl w:val="0"/>
          <w:numId w:val="3"/>
        </w:numPr>
        <w:spacing w:line="360" w:lineRule="auto"/>
        <w:ind w:left="0" w:firstLine="709"/>
        <w:rPr>
          <w:rFonts w:ascii="Times New Roman" w:hAnsi="Times New Roman" w:cs="Times New Roman"/>
          <w:sz w:val="28"/>
          <w:szCs w:val="28"/>
        </w:rPr>
      </w:pPr>
      <w:r w:rsidRPr="007508CA">
        <w:rPr>
          <w:rFonts w:ascii="Times New Roman" w:hAnsi="Times New Roman" w:cs="Times New Roman"/>
          <w:sz w:val="28"/>
          <w:szCs w:val="28"/>
        </w:rPr>
        <w:t xml:space="preserve">країни з середнім рівнем людського розвитку – для яких </w:t>
      </w:r>
      <w:r w:rsidRPr="007508CA">
        <w:rPr>
          <w:rFonts w:ascii="Times New Roman" w:hAnsi="Times New Roman" w:cs="Times New Roman"/>
          <w:sz w:val="28"/>
          <w:szCs w:val="28"/>
          <w:lang w:val="ru-RU"/>
        </w:rPr>
        <w:t xml:space="preserve">0,5 </w:t>
      </w:r>
      <w:r w:rsidRPr="007508CA">
        <w:rPr>
          <w:rFonts w:ascii="Times New Roman" w:hAnsi="Times New Roman" w:cs="Times New Roman"/>
          <w:sz w:val="28"/>
          <w:szCs w:val="28"/>
        </w:rPr>
        <w:t>≤</w:t>
      </w:r>
      <w:r w:rsidRPr="007508CA">
        <w:rPr>
          <w:rFonts w:ascii="Times New Roman" w:hAnsi="Times New Roman" w:cs="Times New Roman"/>
          <w:sz w:val="28"/>
          <w:szCs w:val="28"/>
          <w:lang w:val="ru-RU"/>
        </w:rPr>
        <w:t xml:space="preserve"> </w:t>
      </w:r>
      <w:r w:rsidRPr="007508CA">
        <w:rPr>
          <w:rFonts w:ascii="Times New Roman" w:hAnsi="Times New Roman" w:cs="Times New Roman"/>
          <w:sz w:val="28"/>
          <w:szCs w:val="28"/>
        </w:rPr>
        <w:t>ІЛР</w:t>
      </w:r>
      <w:r w:rsidRPr="007508CA">
        <w:rPr>
          <w:rFonts w:ascii="Times New Roman" w:hAnsi="Times New Roman" w:cs="Times New Roman"/>
          <w:sz w:val="28"/>
          <w:szCs w:val="28"/>
          <w:lang w:val="ru-RU"/>
        </w:rPr>
        <w:t xml:space="preserve"> &lt;</w:t>
      </w:r>
      <w:r w:rsidRPr="007508CA">
        <w:rPr>
          <w:rFonts w:ascii="Times New Roman" w:hAnsi="Times New Roman" w:cs="Times New Roman"/>
          <w:sz w:val="28"/>
          <w:szCs w:val="28"/>
        </w:rPr>
        <w:t xml:space="preserve"> </w:t>
      </w:r>
      <w:r w:rsidRPr="007508CA">
        <w:rPr>
          <w:rFonts w:ascii="Times New Roman" w:hAnsi="Times New Roman" w:cs="Times New Roman"/>
          <w:sz w:val="28"/>
          <w:szCs w:val="28"/>
          <w:lang w:val="ru-RU"/>
        </w:rPr>
        <w:t>0,8</w:t>
      </w:r>
      <w:r w:rsidRPr="007508CA">
        <w:rPr>
          <w:rFonts w:ascii="Times New Roman" w:hAnsi="Times New Roman" w:cs="Times New Roman"/>
          <w:sz w:val="28"/>
          <w:szCs w:val="28"/>
        </w:rPr>
        <w:t xml:space="preserve"> ;</w:t>
      </w:r>
    </w:p>
    <w:p w:rsidR="00625342" w:rsidRPr="007508CA" w:rsidRDefault="00625342" w:rsidP="007A3510">
      <w:pPr>
        <w:pStyle w:val="a4"/>
        <w:numPr>
          <w:ilvl w:val="0"/>
          <w:numId w:val="3"/>
        </w:numPr>
        <w:spacing w:line="360" w:lineRule="auto"/>
        <w:ind w:left="0" w:firstLine="709"/>
        <w:rPr>
          <w:rFonts w:ascii="Times New Roman" w:hAnsi="Times New Roman" w:cs="Times New Roman"/>
          <w:sz w:val="28"/>
          <w:szCs w:val="28"/>
        </w:rPr>
      </w:pPr>
      <w:r w:rsidRPr="007508CA">
        <w:rPr>
          <w:rFonts w:ascii="Times New Roman" w:hAnsi="Times New Roman" w:cs="Times New Roman"/>
          <w:sz w:val="28"/>
          <w:szCs w:val="28"/>
        </w:rPr>
        <w:t>країни з низьким рівнем людського розвитку – для яких ІЛР</w:t>
      </w:r>
      <w:r w:rsidRPr="007508CA">
        <w:rPr>
          <w:rFonts w:ascii="Times New Roman" w:hAnsi="Times New Roman" w:cs="Times New Roman"/>
          <w:sz w:val="28"/>
          <w:szCs w:val="28"/>
          <w:lang w:val="ru-RU"/>
        </w:rPr>
        <w:t xml:space="preserve"> &lt;</w:t>
      </w:r>
      <w:r w:rsidRPr="007508CA">
        <w:rPr>
          <w:rFonts w:ascii="Times New Roman" w:hAnsi="Times New Roman" w:cs="Times New Roman"/>
          <w:sz w:val="28"/>
          <w:szCs w:val="28"/>
        </w:rPr>
        <w:t xml:space="preserve"> </w:t>
      </w:r>
      <w:r w:rsidRPr="007508CA">
        <w:rPr>
          <w:rFonts w:ascii="Times New Roman" w:hAnsi="Times New Roman" w:cs="Times New Roman"/>
          <w:sz w:val="28"/>
          <w:szCs w:val="28"/>
          <w:lang w:val="ru-RU"/>
        </w:rPr>
        <w:t>0,5</w:t>
      </w:r>
      <w:r w:rsidRPr="007508CA">
        <w:rPr>
          <w:rFonts w:ascii="Times New Roman" w:hAnsi="Times New Roman" w:cs="Times New Roman"/>
          <w:sz w:val="28"/>
          <w:szCs w:val="28"/>
        </w:rPr>
        <w:t>.</w:t>
      </w:r>
    </w:p>
    <w:p w:rsidR="00625342" w:rsidRPr="007508CA" w:rsidRDefault="00625342" w:rsidP="007A3510">
      <w:pPr>
        <w:spacing w:line="360" w:lineRule="auto"/>
        <w:ind w:firstLine="709"/>
        <w:rPr>
          <w:rFonts w:ascii="Times New Roman" w:hAnsi="Times New Roman" w:cs="Times New Roman"/>
          <w:sz w:val="28"/>
          <w:szCs w:val="28"/>
        </w:rPr>
      </w:pPr>
      <w:r w:rsidRPr="007508CA">
        <w:rPr>
          <w:rFonts w:ascii="Times New Roman" w:hAnsi="Times New Roman" w:cs="Times New Roman"/>
          <w:sz w:val="28"/>
          <w:szCs w:val="28"/>
        </w:rPr>
        <w:t>Для більш глибокого та ґрунтовного аналізу людського розвитку крім ІЛР використовують додаткові показники, а саме:</w:t>
      </w:r>
    </w:p>
    <w:p w:rsidR="00625342" w:rsidRPr="007508CA" w:rsidRDefault="00625342" w:rsidP="007A3510">
      <w:pPr>
        <w:pStyle w:val="a4"/>
        <w:numPr>
          <w:ilvl w:val="0"/>
          <w:numId w:val="5"/>
        </w:numPr>
        <w:spacing w:line="360" w:lineRule="auto"/>
        <w:ind w:left="0" w:firstLine="709"/>
        <w:rPr>
          <w:rFonts w:ascii="Times New Roman" w:hAnsi="Times New Roman" w:cs="Times New Roman"/>
          <w:sz w:val="28"/>
          <w:szCs w:val="28"/>
        </w:rPr>
      </w:pPr>
      <w:r w:rsidRPr="007508CA">
        <w:rPr>
          <w:rFonts w:ascii="Times New Roman" w:hAnsi="Times New Roman" w:cs="Times New Roman"/>
          <w:sz w:val="28"/>
          <w:szCs w:val="28"/>
        </w:rPr>
        <w:t>індекс бідності населення для країн, що розвиваються (ІБН-1);</w:t>
      </w:r>
    </w:p>
    <w:p w:rsidR="00625342" w:rsidRPr="007508CA" w:rsidRDefault="00625342" w:rsidP="007A3510">
      <w:pPr>
        <w:pStyle w:val="a4"/>
        <w:numPr>
          <w:ilvl w:val="0"/>
          <w:numId w:val="5"/>
        </w:numPr>
        <w:spacing w:line="360" w:lineRule="auto"/>
        <w:ind w:left="0" w:firstLine="709"/>
        <w:rPr>
          <w:rFonts w:ascii="Times New Roman" w:hAnsi="Times New Roman" w:cs="Times New Roman"/>
          <w:sz w:val="28"/>
          <w:szCs w:val="28"/>
        </w:rPr>
      </w:pPr>
      <w:r w:rsidRPr="007508CA">
        <w:rPr>
          <w:rFonts w:ascii="Times New Roman" w:hAnsi="Times New Roman" w:cs="Times New Roman"/>
          <w:sz w:val="28"/>
          <w:szCs w:val="28"/>
        </w:rPr>
        <w:t>індекс бідності населення для країн-членів ОЕСР, країн Західної та Східної Європи, а також СНД (ІБН-2);</w:t>
      </w:r>
    </w:p>
    <w:p w:rsidR="00625342" w:rsidRPr="007508CA" w:rsidRDefault="00625342" w:rsidP="007A3510">
      <w:pPr>
        <w:pStyle w:val="a4"/>
        <w:numPr>
          <w:ilvl w:val="0"/>
          <w:numId w:val="5"/>
        </w:numPr>
        <w:spacing w:line="360" w:lineRule="auto"/>
        <w:ind w:left="0" w:firstLine="709"/>
        <w:rPr>
          <w:rFonts w:ascii="Times New Roman" w:hAnsi="Times New Roman" w:cs="Times New Roman"/>
          <w:sz w:val="28"/>
          <w:szCs w:val="28"/>
        </w:rPr>
      </w:pPr>
      <w:r w:rsidRPr="007508CA">
        <w:rPr>
          <w:rFonts w:ascii="Times New Roman" w:hAnsi="Times New Roman" w:cs="Times New Roman"/>
          <w:sz w:val="28"/>
          <w:szCs w:val="28"/>
        </w:rPr>
        <w:t>індекс розвитку з урахуванням гендерного фактора (ІРГФ);</w:t>
      </w:r>
    </w:p>
    <w:p w:rsidR="00625342" w:rsidRPr="007508CA" w:rsidRDefault="00625342" w:rsidP="007A3510">
      <w:pPr>
        <w:pStyle w:val="a4"/>
        <w:numPr>
          <w:ilvl w:val="0"/>
          <w:numId w:val="5"/>
        </w:numPr>
        <w:spacing w:line="360" w:lineRule="auto"/>
        <w:ind w:left="0" w:firstLine="709"/>
        <w:rPr>
          <w:rFonts w:ascii="Times New Roman" w:hAnsi="Times New Roman" w:cs="Times New Roman"/>
          <w:sz w:val="28"/>
          <w:szCs w:val="28"/>
        </w:rPr>
      </w:pPr>
      <w:r w:rsidRPr="007508CA">
        <w:rPr>
          <w:rFonts w:ascii="Times New Roman" w:hAnsi="Times New Roman" w:cs="Times New Roman"/>
          <w:sz w:val="28"/>
          <w:szCs w:val="28"/>
        </w:rPr>
        <w:t>показник розширення можливостей жінок (ПРМЖ).</w:t>
      </w:r>
    </w:p>
    <w:p w:rsidR="00625342" w:rsidRPr="007508CA" w:rsidRDefault="00625342" w:rsidP="007A3510">
      <w:pPr>
        <w:spacing w:line="360" w:lineRule="auto"/>
        <w:ind w:firstLine="709"/>
        <w:rPr>
          <w:rFonts w:ascii="Times New Roman" w:hAnsi="Times New Roman" w:cs="Times New Roman"/>
          <w:sz w:val="28"/>
          <w:szCs w:val="28"/>
        </w:rPr>
      </w:pPr>
      <w:r w:rsidRPr="007508CA">
        <w:rPr>
          <w:rFonts w:ascii="Times New Roman" w:hAnsi="Times New Roman" w:cs="Times New Roman"/>
          <w:sz w:val="28"/>
          <w:szCs w:val="28"/>
        </w:rPr>
        <w:t>Одночасне використання при аналізі ІЛР та ІБН дають змогу зробити висновки про ступінь однорідності різних шарів населення за рівнем людського розвитку. Низьке значення ІБН поряд з високим значення ІЛР свідчить не лише про високий рівень людського розвитку, а ще й про те, що він характерний для значної частини населення цієї країни. В цілому можна говорити про існування залежності: чим віще рівень розвитку людського потенціалу, тим нижчим є рівень бідності. Виключенням із цього правила стають країни із значним розшаруванням на багатих і бідних. Для таких країн відносно високі значення ІЛР виникають поряд з порівняно значним рівнем бідності населення.</w:t>
      </w:r>
    </w:p>
    <w:p w:rsidR="00625342" w:rsidRPr="007508CA" w:rsidRDefault="00625342" w:rsidP="007A3510">
      <w:pPr>
        <w:spacing w:line="360" w:lineRule="auto"/>
        <w:ind w:firstLine="709"/>
        <w:rPr>
          <w:rFonts w:ascii="Times New Roman" w:hAnsi="Times New Roman" w:cs="Times New Roman"/>
          <w:sz w:val="28"/>
          <w:szCs w:val="28"/>
        </w:rPr>
      </w:pPr>
      <w:r w:rsidRPr="007508CA">
        <w:rPr>
          <w:rFonts w:ascii="Times New Roman" w:hAnsi="Times New Roman" w:cs="Times New Roman"/>
          <w:sz w:val="28"/>
          <w:szCs w:val="28"/>
        </w:rPr>
        <w:t>Якщо паралельний аналіз ІЛР та ІБН дозволяє оцінити рівність можливостей розвитку багатих і бідних в країні, то одночасний аналіз ІЛР та індексу розвитку з урахуванням гендерного фактора (ІРГФ) дозволяє оцінити рівність можливостей розвитку чоловіків і жінок. Такій самій меті слугує і показник розширення можливостей жінок (ПРМЖ).</w:t>
      </w:r>
    </w:p>
    <w:p w:rsidR="00625342" w:rsidRPr="007508CA" w:rsidRDefault="00625342" w:rsidP="007A3510">
      <w:pPr>
        <w:spacing w:line="360" w:lineRule="auto"/>
        <w:ind w:firstLine="709"/>
        <w:rPr>
          <w:rFonts w:ascii="Times New Roman" w:hAnsi="Times New Roman" w:cs="Times New Roman"/>
          <w:sz w:val="28"/>
          <w:szCs w:val="28"/>
        </w:rPr>
      </w:pPr>
      <w:r w:rsidRPr="007508CA">
        <w:rPr>
          <w:rFonts w:ascii="Times New Roman" w:hAnsi="Times New Roman" w:cs="Times New Roman"/>
          <w:sz w:val="28"/>
          <w:szCs w:val="28"/>
        </w:rPr>
        <w:t>Чим вищим є значення ІРГФ, тим більш рівними є можливості жінок та чоловіків у розвитку своїх здібностей. В той же час високі значення ПРМЖ свідчать про те, що жінки мають можливість не лише розвивати свої здібності, а реалізувати їх на практиці, відіграючи рівну з чоловіками роль в соціально-економічному розвитку суспільства.</w:t>
      </w:r>
    </w:p>
    <w:p w:rsidR="00DC3521" w:rsidRPr="007508CA" w:rsidRDefault="00DC3521" w:rsidP="007A3510">
      <w:pPr>
        <w:pStyle w:val="1"/>
        <w:spacing w:before="0" w:line="360" w:lineRule="auto"/>
        <w:ind w:firstLine="709"/>
        <w:rPr>
          <w:rFonts w:ascii="Times New Roman" w:hAnsi="Times New Roman" w:cs="Times New Roman"/>
          <w:color w:val="auto"/>
          <w:lang w:val="ru-RU"/>
        </w:rPr>
      </w:pPr>
      <w:bookmarkStart w:id="5" w:name="_Toc274505011"/>
    </w:p>
    <w:p w:rsidR="00011DC8" w:rsidRPr="007508CA" w:rsidRDefault="00DC3521" w:rsidP="007A3510">
      <w:pPr>
        <w:pStyle w:val="1"/>
        <w:spacing w:before="0" w:line="360" w:lineRule="auto"/>
        <w:ind w:firstLine="709"/>
        <w:rPr>
          <w:rFonts w:ascii="Times New Roman" w:hAnsi="Times New Roman" w:cs="Times New Roman"/>
          <w:color w:val="auto"/>
        </w:rPr>
      </w:pPr>
      <w:r w:rsidRPr="007508CA">
        <w:rPr>
          <w:rFonts w:ascii="Times New Roman" w:hAnsi="Times New Roman" w:cs="Times New Roman"/>
          <w:color w:val="auto"/>
          <w:lang w:val="ru-RU"/>
        </w:rPr>
        <w:t>5</w:t>
      </w:r>
      <w:r w:rsidR="00437F20" w:rsidRPr="007508CA">
        <w:rPr>
          <w:rFonts w:ascii="Times New Roman" w:hAnsi="Times New Roman" w:cs="Times New Roman"/>
          <w:color w:val="auto"/>
          <w:lang w:val="ru-RU"/>
        </w:rPr>
        <w:t xml:space="preserve">. </w:t>
      </w:r>
      <w:r w:rsidR="00011DC8" w:rsidRPr="007508CA">
        <w:rPr>
          <w:rFonts w:ascii="Times New Roman" w:hAnsi="Times New Roman" w:cs="Times New Roman"/>
          <w:color w:val="auto"/>
        </w:rPr>
        <w:t>МІСЦ</w:t>
      </w:r>
      <w:r w:rsidR="00B8519B" w:rsidRPr="007508CA">
        <w:rPr>
          <w:rFonts w:ascii="Times New Roman" w:hAnsi="Times New Roman" w:cs="Times New Roman"/>
          <w:color w:val="auto"/>
        </w:rPr>
        <w:t>Е УКРАЇНИ ЗА ІНДЕКСОМ</w:t>
      </w:r>
      <w:r w:rsidR="00011DC8" w:rsidRPr="007508CA">
        <w:rPr>
          <w:rFonts w:ascii="Times New Roman" w:hAnsi="Times New Roman" w:cs="Times New Roman"/>
          <w:color w:val="auto"/>
        </w:rPr>
        <w:t xml:space="preserve"> РОЗВИТКУ ЛЮДСЬКОГО ПОТЕНЦІАЛУ</w:t>
      </w:r>
      <w:bookmarkEnd w:id="5"/>
    </w:p>
    <w:p w:rsidR="00437F20" w:rsidRPr="007508CA" w:rsidRDefault="00437F20" w:rsidP="007A3510">
      <w:pPr>
        <w:tabs>
          <w:tab w:val="left" w:pos="567"/>
        </w:tabs>
        <w:spacing w:line="360" w:lineRule="auto"/>
        <w:ind w:firstLine="709"/>
        <w:rPr>
          <w:rFonts w:ascii="Times New Roman" w:hAnsi="Times New Roman" w:cs="Times New Roman"/>
          <w:sz w:val="28"/>
          <w:szCs w:val="28"/>
        </w:rPr>
      </w:pPr>
    </w:p>
    <w:p w:rsidR="00011DC8" w:rsidRPr="007508CA" w:rsidRDefault="00011DC8" w:rsidP="007A3510">
      <w:pPr>
        <w:tabs>
          <w:tab w:val="left" w:pos="567"/>
        </w:tabs>
        <w:spacing w:line="360" w:lineRule="auto"/>
        <w:ind w:firstLine="709"/>
        <w:rPr>
          <w:rFonts w:ascii="Times New Roman" w:hAnsi="Times New Roman" w:cs="Times New Roman"/>
          <w:sz w:val="28"/>
          <w:szCs w:val="28"/>
        </w:rPr>
      </w:pPr>
      <w:r w:rsidRPr="007508CA">
        <w:rPr>
          <w:rFonts w:ascii="Times New Roman" w:hAnsi="Times New Roman" w:cs="Times New Roman"/>
          <w:sz w:val="28"/>
          <w:szCs w:val="28"/>
        </w:rPr>
        <w:t xml:space="preserve">Починаючи з 1995 року, Програма розвитку ООН в Україні за допомогою регулярних національних звітів щодо людського розвитку постійно прагнула привернути увагу політиків і громадськості до викликів, перед якими стоїть держави у сфері соціального і економічного розвитку. Національні звіти пропонували погляд у довгостроковій перспективі, аналіз ситуації в країні та стратегій посилення людського розвитку. Україна добилася прогресу у сфері збільшення доходів населення, в освіті та охороні здоров`я. Певний успіх досягнуто в галузі гендерної політики. Водночас, подальший прогрес у забезпеченні гендерної рівності частково залежить від збільшення кількості жінок на керівних посадах. В галузі охорони здоров`я серйозним недоліком з погляду виконання завдань залишається швидке збільшення кількості випадків ВІЛ-інфекції, зростання смертності в результаті СНІДу і розповсюдження туберкульозу. </w:t>
      </w:r>
    </w:p>
    <w:p w:rsidR="00011DC8" w:rsidRPr="007508CA" w:rsidRDefault="00011DC8" w:rsidP="007A3510">
      <w:pPr>
        <w:tabs>
          <w:tab w:val="left" w:pos="567"/>
        </w:tabs>
        <w:spacing w:line="360" w:lineRule="auto"/>
        <w:ind w:firstLine="709"/>
        <w:rPr>
          <w:rFonts w:ascii="Times New Roman" w:hAnsi="Times New Roman" w:cs="Times New Roman"/>
          <w:sz w:val="28"/>
          <w:szCs w:val="28"/>
        </w:rPr>
      </w:pPr>
      <w:r w:rsidRPr="007508CA">
        <w:rPr>
          <w:rFonts w:ascii="Times New Roman" w:hAnsi="Times New Roman" w:cs="Times New Roman"/>
          <w:sz w:val="28"/>
          <w:szCs w:val="28"/>
        </w:rPr>
        <w:t>Невтішні прогнози експертів щодо місця України в Індексі розвитку людського потенціалу, на жаль, виправдалися. Хоча за період з 2001 року позиція України</w:t>
      </w:r>
      <w:r w:rsidR="007A3510" w:rsidRPr="007508CA">
        <w:rPr>
          <w:rFonts w:ascii="Times New Roman" w:hAnsi="Times New Roman" w:cs="Times New Roman"/>
          <w:sz w:val="28"/>
          <w:szCs w:val="28"/>
        </w:rPr>
        <w:t xml:space="preserve"> </w:t>
      </w:r>
      <w:r w:rsidRPr="007508CA">
        <w:rPr>
          <w:rFonts w:ascii="Times New Roman" w:hAnsi="Times New Roman" w:cs="Times New Roman"/>
          <w:sz w:val="28"/>
          <w:szCs w:val="28"/>
        </w:rPr>
        <w:t>в індексі країн повільно підвищувалася (з 80 у 2001 та 78 у 2003 до 77 та 76 у 2005-2006 рр. відповідно), у звіті за 2009 р. Україна, зважаючи на світову фінансову кризу, опинилася лише на 85 місці (Додаток 2).</w:t>
      </w:r>
    </w:p>
    <w:p w:rsidR="006B5A68" w:rsidRPr="007508CA" w:rsidRDefault="006B5A68" w:rsidP="007A3510">
      <w:pPr>
        <w:tabs>
          <w:tab w:val="left" w:pos="567"/>
        </w:tabs>
        <w:spacing w:line="360" w:lineRule="auto"/>
        <w:ind w:firstLine="709"/>
        <w:rPr>
          <w:rFonts w:ascii="Times New Roman" w:hAnsi="Times New Roman" w:cs="Times New Roman"/>
          <w:sz w:val="28"/>
          <w:szCs w:val="28"/>
        </w:rPr>
      </w:pPr>
      <w:r w:rsidRPr="007508CA">
        <w:rPr>
          <w:rFonts w:ascii="Times New Roman" w:hAnsi="Times New Roman" w:cs="Times New Roman"/>
          <w:sz w:val="28"/>
          <w:szCs w:val="28"/>
        </w:rPr>
        <w:t>Найбільш відстає Україна від розвинутих країн за виробництвом валового внутрішнього продукту на душу населення. Саме показник ВВП на душу населення є дуже важливим у контексті інтеграції України до європейських структур.</w:t>
      </w:r>
    </w:p>
    <w:p w:rsidR="00437F20" w:rsidRPr="007508CA" w:rsidRDefault="00DC3521" w:rsidP="007A3510">
      <w:pPr>
        <w:pStyle w:val="1"/>
        <w:spacing w:before="0" w:line="360" w:lineRule="auto"/>
        <w:ind w:firstLine="709"/>
        <w:rPr>
          <w:rFonts w:ascii="Times New Roman" w:hAnsi="Times New Roman" w:cs="Times New Roman"/>
          <w:color w:val="auto"/>
        </w:rPr>
      </w:pPr>
      <w:bookmarkStart w:id="6" w:name="_Toc274505012"/>
      <w:r w:rsidRPr="007508CA">
        <w:rPr>
          <w:rFonts w:ascii="Times New Roman" w:hAnsi="Times New Roman" w:cs="Times New Roman"/>
          <w:b w:val="0"/>
          <w:bCs w:val="0"/>
          <w:color w:val="auto"/>
          <w:lang w:val="ru-RU"/>
        </w:rPr>
        <w:br w:type="page"/>
      </w:r>
      <w:r w:rsidR="00437F20" w:rsidRPr="007508CA">
        <w:rPr>
          <w:rFonts w:ascii="Times New Roman" w:hAnsi="Times New Roman" w:cs="Times New Roman"/>
          <w:color w:val="auto"/>
        </w:rPr>
        <w:t>ВИСНОВКИ</w:t>
      </w:r>
      <w:bookmarkEnd w:id="6"/>
    </w:p>
    <w:p w:rsidR="00437F20" w:rsidRPr="007508CA" w:rsidRDefault="00437F20" w:rsidP="007A3510">
      <w:pPr>
        <w:spacing w:line="360" w:lineRule="auto"/>
        <w:ind w:firstLine="709"/>
        <w:rPr>
          <w:rFonts w:ascii="Times New Roman" w:hAnsi="Times New Roman" w:cs="Times New Roman"/>
          <w:sz w:val="28"/>
          <w:szCs w:val="28"/>
        </w:rPr>
      </w:pPr>
    </w:p>
    <w:p w:rsidR="00437F20" w:rsidRPr="007508CA" w:rsidRDefault="00437F20" w:rsidP="007A3510">
      <w:pPr>
        <w:spacing w:line="360" w:lineRule="auto"/>
        <w:ind w:firstLine="709"/>
        <w:rPr>
          <w:rFonts w:ascii="Times New Roman" w:hAnsi="Times New Roman" w:cs="Times New Roman"/>
          <w:sz w:val="28"/>
          <w:szCs w:val="28"/>
        </w:rPr>
      </w:pPr>
      <w:r w:rsidRPr="007508CA">
        <w:rPr>
          <w:rFonts w:ascii="Times New Roman" w:hAnsi="Times New Roman" w:cs="Times New Roman"/>
          <w:sz w:val="28"/>
          <w:szCs w:val="28"/>
        </w:rPr>
        <w:t xml:space="preserve">В сучасній науковій літературі людський розвиток трактують відповідно до концепції людського розвитку, що стала основою ще першої Доповіді про світовий людський розвиток 1990 року. Однак, це визначення людського розвитку є занадто спрощеним і не відображає повною мірою сутнісного розуміння зазначеної категорії. </w:t>
      </w:r>
    </w:p>
    <w:p w:rsidR="00437F20" w:rsidRPr="007508CA" w:rsidRDefault="00437F20" w:rsidP="007A3510">
      <w:pPr>
        <w:spacing w:line="360" w:lineRule="auto"/>
        <w:ind w:firstLine="709"/>
        <w:rPr>
          <w:rFonts w:ascii="Times New Roman" w:hAnsi="Times New Roman" w:cs="Times New Roman"/>
          <w:sz w:val="28"/>
          <w:szCs w:val="28"/>
        </w:rPr>
      </w:pPr>
      <w:r w:rsidRPr="007508CA">
        <w:rPr>
          <w:rFonts w:ascii="Times New Roman" w:hAnsi="Times New Roman" w:cs="Times New Roman"/>
          <w:sz w:val="28"/>
          <w:szCs w:val="28"/>
        </w:rPr>
        <w:t>Обґрунтована необхідність оцінки ефективності системи соціально-економічного забезпечення людського розвитку за групою запропонованих кількісних та якісних показників, що характеризують досягнутий рівень реальних доходів та майнової забезпеченості населення, споживання матеріальних благ, культурних і побутових послуг, ступінь забезпечення населення належними умовами у виробництві і побуті, сферах духовного, фізичного та соціального розвитку, рівень існуючих соціально-правових гарантій населення, а також надійність у забезпеченні політичних свобод і прав громадян у суспільстві.</w:t>
      </w:r>
    </w:p>
    <w:p w:rsidR="00437F20" w:rsidRPr="007508CA" w:rsidRDefault="00437F20" w:rsidP="007A3510">
      <w:pPr>
        <w:spacing w:line="360" w:lineRule="auto"/>
        <w:ind w:firstLine="709"/>
        <w:rPr>
          <w:rFonts w:ascii="Times New Roman" w:hAnsi="Times New Roman" w:cs="Times New Roman"/>
          <w:sz w:val="28"/>
          <w:szCs w:val="28"/>
        </w:rPr>
      </w:pPr>
      <w:r w:rsidRPr="007508CA">
        <w:rPr>
          <w:rFonts w:ascii="Times New Roman" w:hAnsi="Times New Roman" w:cs="Times New Roman"/>
          <w:sz w:val="28"/>
          <w:szCs w:val="28"/>
        </w:rPr>
        <w:t>Важливо зауважити, що фактично всі країни розміщуються в ньому в спадному порядку, і найбільшу увагу привертає їхнє місце в індексі, а не його абсолютне значення, хоча різниця індексів країн, що стоять поряд у списку, може складати всього 3-5%, а отже і не може відображати реальну відмінність соціального становища в них. Проте розвинені країни продовжують використовувати свої високі позиції в індексі для самореклами на світовій арені та впроваджують непотрібні соціальні заходи для того, щоб зайняти перші місця в індексі. Задля вдосконалення індексу та підвищення його ефективності як індикатора соціальної ситуації в країні пропонуємо впровадити наступні зміни. Перш за все, в індекс необхідно включити й інші складові, наприклад, показники зайнятості та безробіття, грошові вкладення у соціальні програми, участь у міжнародних соціальних проектах, кількість видатних науковців, кількість дітей у сім’ях та можливість надання їм гідної освіти, кількість неповнолітніх, що палять або вживають алкогольні напої</w:t>
      </w:r>
      <w:r w:rsidR="007A3510" w:rsidRPr="007508CA">
        <w:rPr>
          <w:rFonts w:ascii="Times New Roman" w:hAnsi="Times New Roman" w:cs="Times New Roman"/>
          <w:sz w:val="28"/>
          <w:szCs w:val="28"/>
        </w:rPr>
        <w:t xml:space="preserve"> </w:t>
      </w:r>
      <w:r w:rsidRPr="007508CA">
        <w:rPr>
          <w:rFonts w:ascii="Times New Roman" w:hAnsi="Times New Roman" w:cs="Times New Roman"/>
          <w:sz w:val="28"/>
          <w:szCs w:val="28"/>
        </w:rPr>
        <w:t>тощо.</w:t>
      </w:r>
    </w:p>
    <w:p w:rsidR="00437F20" w:rsidRPr="007508CA" w:rsidRDefault="00437F20" w:rsidP="007A3510">
      <w:pPr>
        <w:spacing w:line="360" w:lineRule="auto"/>
        <w:ind w:firstLine="709"/>
        <w:rPr>
          <w:rFonts w:ascii="Times New Roman" w:hAnsi="Times New Roman" w:cs="Times New Roman"/>
          <w:sz w:val="28"/>
          <w:szCs w:val="28"/>
        </w:rPr>
      </w:pPr>
      <w:r w:rsidRPr="007508CA">
        <w:rPr>
          <w:rFonts w:ascii="Times New Roman" w:hAnsi="Times New Roman" w:cs="Times New Roman"/>
          <w:sz w:val="28"/>
          <w:szCs w:val="28"/>
        </w:rPr>
        <w:t>Крім того</w:t>
      </w:r>
      <w:r w:rsidR="0049711F" w:rsidRPr="007508CA">
        <w:rPr>
          <w:rFonts w:ascii="Times New Roman" w:hAnsi="Times New Roman" w:cs="Times New Roman"/>
          <w:sz w:val="28"/>
          <w:szCs w:val="28"/>
          <w:lang w:val="ru-RU"/>
        </w:rPr>
        <w:t>,</w:t>
      </w:r>
      <w:r w:rsidRPr="007508CA">
        <w:rPr>
          <w:rFonts w:ascii="Times New Roman" w:hAnsi="Times New Roman" w:cs="Times New Roman"/>
          <w:sz w:val="28"/>
          <w:szCs w:val="28"/>
        </w:rPr>
        <w:t xml:space="preserve"> </w:t>
      </w:r>
      <w:r w:rsidR="00B8519B" w:rsidRPr="007508CA">
        <w:rPr>
          <w:rFonts w:ascii="Times New Roman" w:hAnsi="Times New Roman" w:cs="Times New Roman"/>
          <w:sz w:val="28"/>
          <w:szCs w:val="28"/>
        </w:rPr>
        <w:t>я вважаю</w:t>
      </w:r>
      <w:r w:rsidRPr="007508CA">
        <w:rPr>
          <w:rFonts w:ascii="Times New Roman" w:hAnsi="Times New Roman" w:cs="Times New Roman"/>
          <w:sz w:val="28"/>
          <w:szCs w:val="28"/>
        </w:rPr>
        <w:t xml:space="preserve"> за доцільне визначати позицію країни за інтегрованим показником всіх рейтингів цієї країни у різних галузях, які наводяться у щорічних звітах «Про розвиток людського потенціалу». Їх представлено у вигляді таблиць, де країни згруповано за величезною кількістю критеріїв: розвитком технологій, фінансів, екологічним становищем тощо. </w:t>
      </w:r>
    </w:p>
    <w:p w:rsidR="00437F20" w:rsidRPr="007508CA" w:rsidRDefault="00437F20" w:rsidP="007A3510">
      <w:pPr>
        <w:spacing w:line="360" w:lineRule="auto"/>
        <w:ind w:firstLine="709"/>
        <w:rPr>
          <w:rFonts w:ascii="Times New Roman" w:hAnsi="Times New Roman" w:cs="Times New Roman"/>
          <w:sz w:val="28"/>
          <w:szCs w:val="28"/>
          <w:lang w:val="ru-RU"/>
        </w:rPr>
      </w:pPr>
      <w:r w:rsidRPr="007508CA">
        <w:rPr>
          <w:rFonts w:ascii="Times New Roman" w:hAnsi="Times New Roman" w:cs="Times New Roman"/>
          <w:sz w:val="28"/>
          <w:szCs w:val="28"/>
        </w:rPr>
        <w:t>Насамкінець пропону</w:t>
      </w:r>
      <w:r w:rsidR="00B8519B" w:rsidRPr="007508CA">
        <w:rPr>
          <w:rFonts w:ascii="Times New Roman" w:hAnsi="Times New Roman" w:cs="Times New Roman"/>
          <w:sz w:val="28"/>
          <w:szCs w:val="28"/>
        </w:rPr>
        <w:t>ю</w:t>
      </w:r>
      <w:r w:rsidRPr="007508CA">
        <w:rPr>
          <w:rFonts w:ascii="Times New Roman" w:hAnsi="Times New Roman" w:cs="Times New Roman"/>
          <w:sz w:val="28"/>
          <w:szCs w:val="28"/>
        </w:rPr>
        <w:t xml:space="preserve"> замінити показники писемності та залученості до освітнього процесу на показники індексу культурного капіталу, який, так само як і індекс розвитку людського потенціалу, щорічно розраховує</w:t>
      </w:r>
      <w:r w:rsidR="00B023BF" w:rsidRPr="007508CA">
        <w:rPr>
          <w:rFonts w:ascii="Times New Roman" w:hAnsi="Times New Roman" w:cs="Times New Roman"/>
          <w:sz w:val="28"/>
          <w:szCs w:val="28"/>
        </w:rPr>
        <w:t>ться міжнародними інституціями.</w:t>
      </w:r>
    </w:p>
    <w:p w:rsidR="002F58AF" w:rsidRPr="007508CA" w:rsidRDefault="006B5563" w:rsidP="007A3510">
      <w:pPr>
        <w:spacing w:line="360" w:lineRule="auto"/>
        <w:ind w:firstLine="709"/>
        <w:rPr>
          <w:rFonts w:ascii="Times New Roman" w:hAnsi="Times New Roman" w:cs="Times New Roman"/>
          <w:sz w:val="28"/>
          <w:szCs w:val="28"/>
        </w:rPr>
      </w:pPr>
      <w:r w:rsidRPr="007508CA">
        <w:rPr>
          <w:rFonts w:ascii="Times New Roman" w:hAnsi="Times New Roman" w:cs="Times New Roman"/>
          <w:sz w:val="28"/>
          <w:szCs w:val="28"/>
        </w:rPr>
        <w:t>Отже</w:t>
      </w:r>
      <w:r w:rsidR="00437F20" w:rsidRPr="007508CA">
        <w:rPr>
          <w:rFonts w:ascii="Times New Roman" w:hAnsi="Times New Roman" w:cs="Times New Roman"/>
          <w:sz w:val="28"/>
          <w:szCs w:val="28"/>
        </w:rPr>
        <w:t>, Індекс людського розвитку можна було б вдосконалити та зробити більш надійним індикатором ефективності соціальної політики країни шляхом внесення до нього деяких поправок. Ця проблема є досить актуальною та вимагає подальшого дослідження.</w:t>
      </w:r>
    </w:p>
    <w:p w:rsidR="00437F20" w:rsidRPr="007508CA" w:rsidRDefault="00DC3521" w:rsidP="007A3510">
      <w:pPr>
        <w:pStyle w:val="1"/>
        <w:spacing w:before="0" w:line="360" w:lineRule="auto"/>
        <w:ind w:firstLine="709"/>
        <w:rPr>
          <w:rFonts w:ascii="Times New Roman" w:hAnsi="Times New Roman" w:cs="Times New Roman"/>
          <w:color w:val="auto"/>
          <w:lang w:val="ru-RU"/>
        </w:rPr>
      </w:pPr>
      <w:bookmarkStart w:id="7" w:name="_Toc274505013"/>
      <w:r w:rsidRPr="007508CA">
        <w:rPr>
          <w:rFonts w:ascii="Times New Roman" w:hAnsi="Times New Roman" w:cs="Times New Roman"/>
          <w:b w:val="0"/>
          <w:bCs w:val="0"/>
          <w:color w:val="auto"/>
        </w:rPr>
        <w:br w:type="page"/>
      </w:r>
      <w:r w:rsidR="002F58AF" w:rsidRPr="007508CA">
        <w:rPr>
          <w:rFonts w:ascii="Times New Roman" w:hAnsi="Times New Roman" w:cs="Times New Roman"/>
          <w:color w:val="auto"/>
        </w:rPr>
        <w:t>СПИСОК ВИКОРИСТАНОЇ ЛІТЕРАТУРИ</w:t>
      </w:r>
      <w:bookmarkEnd w:id="7"/>
    </w:p>
    <w:p w:rsidR="0049711F" w:rsidRPr="007508CA" w:rsidRDefault="0049711F" w:rsidP="007A3510">
      <w:pPr>
        <w:pStyle w:val="a4"/>
        <w:spacing w:line="360" w:lineRule="auto"/>
        <w:ind w:left="0" w:firstLine="709"/>
        <w:rPr>
          <w:rFonts w:ascii="Times New Roman" w:hAnsi="Times New Roman" w:cs="Times New Roman"/>
          <w:sz w:val="28"/>
          <w:szCs w:val="28"/>
        </w:rPr>
      </w:pPr>
    </w:p>
    <w:p w:rsidR="00437F20" w:rsidRPr="007508CA" w:rsidRDefault="00437F20" w:rsidP="00DC3521">
      <w:pPr>
        <w:pStyle w:val="a4"/>
        <w:numPr>
          <w:ilvl w:val="0"/>
          <w:numId w:val="7"/>
        </w:numPr>
        <w:tabs>
          <w:tab w:val="left" w:pos="540"/>
        </w:tabs>
        <w:spacing w:line="360" w:lineRule="auto"/>
        <w:ind w:left="0" w:firstLine="0"/>
        <w:rPr>
          <w:rFonts w:ascii="Times New Roman" w:hAnsi="Times New Roman" w:cs="Times New Roman"/>
          <w:sz w:val="28"/>
          <w:szCs w:val="28"/>
        </w:rPr>
      </w:pPr>
      <w:r w:rsidRPr="007508CA">
        <w:rPr>
          <w:rFonts w:ascii="Times New Roman" w:hAnsi="Times New Roman" w:cs="Times New Roman"/>
          <w:sz w:val="28"/>
          <w:szCs w:val="28"/>
        </w:rPr>
        <w:t>Марченк</w:t>
      </w:r>
      <w:r w:rsidR="00D34026" w:rsidRPr="007508CA">
        <w:rPr>
          <w:rFonts w:ascii="Times New Roman" w:hAnsi="Times New Roman" w:cs="Times New Roman"/>
          <w:sz w:val="28"/>
          <w:szCs w:val="28"/>
        </w:rPr>
        <w:t>о К. Глобалізація та освіта/ К.</w:t>
      </w:r>
      <w:r w:rsidRPr="007508CA">
        <w:rPr>
          <w:rFonts w:ascii="Times New Roman" w:hAnsi="Times New Roman" w:cs="Times New Roman"/>
          <w:sz w:val="28"/>
          <w:szCs w:val="28"/>
        </w:rPr>
        <w:t>В. Ма</w:t>
      </w:r>
      <w:r w:rsidR="006B5A68" w:rsidRPr="007508CA">
        <w:rPr>
          <w:rFonts w:ascii="Times New Roman" w:hAnsi="Times New Roman" w:cs="Times New Roman"/>
          <w:sz w:val="28"/>
          <w:szCs w:val="28"/>
        </w:rPr>
        <w:t>рченко // [Електронний ресурс].</w:t>
      </w:r>
      <w:r w:rsidR="005F4CD4" w:rsidRPr="007508CA">
        <w:rPr>
          <w:rFonts w:ascii="Times New Roman" w:hAnsi="Times New Roman" w:cs="Times New Roman"/>
          <w:sz w:val="28"/>
          <w:szCs w:val="28"/>
          <w:lang w:val="ru-RU"/>
        </w:rPr>
        <w:t xml:space="preserve"> </w:t>
      </w:r>
      <w:r w:rsidRPr="007508CA">
        <w:rPr>
          <w:rFonts w:ascii="Times New Roman" w:hAnsi="Times New Roman" w:cs="Times New Roman"/>
          <w:sz w:val="28"/>
          <w:szCs w:val="28"/>
        </w:rPr>
        <w:t>-</w:t>
      </w:r>
      <w:r w:rsidR="005F4CD4" w:rsidRPr="007508CA">
        <w:rPr>
          <w:rFonts w:ascii="Times New Roman" w:hAnsi="Times New Roman" w:cs="Times New Roman"/>
          <w:sz w:val="28"/>
          <w:szCs w:val="28"/>
          <w:lang w:val="ru-RU"/>
        </w:rPr>
        <w:t xml:space="preserve"> </w:t>
      </w:r>
      <w:r w:rsidRPr="007508CA">
        <w:rPr>
          <w:rFonts w:ascii="Times New Roman" w:hAnsi="Times New Roman" w:cs="Times New Roman"/>
          <w:sz w:val="28"/>
          <w:szCs w:val="28"/>
        </w:rPr>
        <w:t>Режим</w:t>
      </w:r>
      <w:r w:rsidR="006B5A68" w:rsidRPr="007508CA">
        <w:rPr>
          <w:rFonts w:ascii="Times New Roman" w:hAnsi="Times New Roman" w:cs="Times New Roman"/>
          <w:sz w:val="28"/>
          <w:szCs w:val="28"/>
        </w:rPr>
        <w:t xml:space="preserve"> </w:t>
      </w:r>
      <w:r w:rsidRPr="007508CA">
        <w:rPr>
          <w:rFonts w:ascii="Times New Roman" w:hAnsi="Times New Roman" w:cs="Times New Roman"/>
          <w:sz w:val="28"/>
          <w:szCs w:val="28"/>
        </w:rPr>
        <w:t xml:space="preserve">доступу: </w:t>
      </w:r>
      <w:r w:rsidRPr="00186E2D">
        <w:rPr>
          <w:rFonts w:ascii="Times New Roman" w:hAnsi="Times New Roman" w:cs="Times New Roman"/>
          <w:sz w:val="28"/>
          <w:szCs w:val="28"/>
        </w:rPr>
        <w:t>http://www.bdpu.org/scientific_published/conf021009/a</w:t>
      </w:r>
      <w:r w:rsidR="006B5A68" w:rsidRPr="00186E2D">
        <w:rPr>
          <w:rFonts w:ascii="Times New Roman" w:hAnsi="Times New Roman" w:cs="Times New Roman"/>
          <w:sz w:val="28"/>
          <w:szCs w:val="28"/>
        </w:rPr>
        <w:t>rticles/Section_3/Marchenko.pdf</w:t>
      </w:r>
    </w:p>
    <w:p w:rsidR="00437F20" w:rsidRPr="007508CA" w:rsidRDefault="00437F20" w:rsidP="00DC3521">
      <w:pPr>
        <w:pStyle w:val="a4"/>
        <w:numPr>
          <w:ilvl w:val="0"/>
          <w:numId w:val="7"/>
        </w:numPr>
        <w:tabs>
          <w:tab w:val="left" w:pos="540"/>
        </w:tabs>
        <w:spacing w:line="360" w:lineRule="auto"/>
        <w:ind w:left="0" w:firstLine="0"/>
        <w:rPr>
          <w:rFonts w:ascii="Times New Roman" w:hAnsi="Times New Roman" w:cs="Times New Roman"/>
          <w:sz w:val="28"/>
          <w:szCs w:val="28"/>
        </w:rPr>
      </w:pPr>
      <w:r w:rsidRPr="007508CA">
        <w:rPr>
          <w:rFonts w:ascii="Times New Roman" w:hAnsi="Times New Roman" w:cs="Times New Roman"/>
          <w:sz w:val="28"/>
          <w:szCs w:val="28"/>
        </w:rPr>
        <w:t xml:space="preserve">Human Development Report 2009/ [Електронний ресурс]. - Режим доступу: </w:t>
      </w:r>
      <w:r w:rsidRPr="00186E2D">
        <w:rPr>
          <w:rFonts w:ascii="Times New Roman" w:hAnsi="Times New Roman" w:cs="Times New Roman"/>
          <w:sz w:val="28"/>
          <w:szCs w:val="28"/>
        </w:rPr>
        <w:t>http://hdr.undp.org/en/media/HDR_2009_EN_Complete.pdf</w:t>
      </w:r>
    </w:p>
    <w:p w:rsidR="00437F20" w:rsidRPr="007508CA" w:rsidRDefault="00437F20" w:rsidP="00DC3521">
      <w:pPr>
        <w:pStyle w:val="a4"/>
        <w:numPr>
          <w:ilvl w:val="0"/>
          <w:numId w:val="7"/>
        </w:numPr>
        <w:tabs>
          <w:tab w:val="left" w:pos="540"/>
        </w:tabs>
        <w:spacing w:line="360" w:lineRule="auto"/>
        <w:ind w:left="0" w:firstLine="0"/>
        <w:rPr>
          <w:rFonts w:ascii="Times New Roman" w:hAnsi="Times New Roman" w:cs="Times New Roman"/>
          <w:sz w:val="28"/>
          <w:szCs w:val="28"/>
        </w:rPr>
      </w:pPr>
      <w:r w:rsidRPr="007508CA">
        <w:rPr>
          <w:rFonts w:ascii="Times New Roman" w:hAnsi="Times New Roman" w:cs="Times New Roman"/>
          <w:sz w:val="28"/>
          <w:szCs w:val="28"/>
        </w:rPr>
        <w:t xml:space="preserve">Бікла О. Індекс людського розвитку як показник ефективності </w:t>
      </w:r>
      <w:r w:rsidR="005F4CD4" w:rsidRPr="007508CA">
        <w:rPr>
          <w:rFonts w:ascii="Times New Roman" w:hAnsi="Times New Roman" w:cs="Times New Roman"/>
          <w:sz w:val="28"/>
          <w:szCs w:val="28"/>
        </w:rPr>
        <w:t>моделей соціальної політики/ О.</w:t>
      </w:r>
      <w:r w:rsidRPr="007508CA">
        <w:rPr>
          <w:rFonts w:ascii="Times New Roman" w:hAnsi="Times New Roman" w:cs="Times New Roman"/>
          <w:sz w:val="28"/>
          <w:szCs w:val="28"/>
        </w:rPr>
        <w:t xml:space="preserve">В. Бікла// [Електронний ресурс]. - Режим доступу: </w:t>
      </w:r>
      <w:r w:rsidRPr="00186E2D">
        <w:rPr>
          <w:rFonts w:ascii="Times New Roman" w:hAnsi="Times New Roman" w:cs="Times New Roman"/>
          <w:sz w:val="28"/>
          <w:szCs w:val="28"/>
        </w:rPr>
        <w:t>http://www.nbuv.gov.ua/portal/Soc_Gum/Mtpsa/2008/articles/Bikla.pdf</w:t>
      </w:r>
    </w:p>
    <w:p w:rsidR="006B5A68" w:rsidRPr="007508CA" w:rsidRDefault="006B5A68" w:rsidP="00DC3521">
      <w:pPr>
        <w:pStyle w:val="a4"/>
        <w:numPr>
          <w:ilvl w:val="0"/>
          <w:numId w:val="7"/>
        </w:numPr>
        <w:tabs>
          <w:tab w:val="left" w:pos="540"/>
        </w:tabs>
        <w:spacing w:line="360" w:lineRule="auto"/>
        <w:ind w:left="0" w:firstLine="0"/>
        <w:rPr>
          <w:rFonts w:ascii="Times New Roman" w:hAnsi="Times New Roman" w:cs="Times New Roman"/>
          <w:sz w:val="28"/>
          <w:szCs w:val="28"/>
        </w:rPr>
      </w:pPr>
      <w:r w:rsidRPr="007508CA">
        <w:rPr>
          <w:rFonts w:ascii="Times New Roman" w:hAnsi="Times New Roman" w:cs="Times New Roman"/>
          <w:sz w:val="28"/>
          <w:szCs w:val="28"/>
        </w:rPr>
        <w:t>http://hdr.undp.org – Звіти з людського розвитку на сайті Програми розвитку Організації Об’єднаних Націй.</w:t>
      </w:r>
    </w:p>
    <w:p w:rsidR="006B5A68" w:rsidRPr="007508CA" w:rsidRDefault="005F4CD4" w:rsidP="00DC3521">
      <w:pPr>
        <w:pStyle w:val="a4"/>
        <w:numPr>
          <w:ilvl w:val="0"/>
          <w:numId w:val="7"/>
        </w:numPr>
        <w:tabs>
          <w:tab w:val="left" w:pos="540"/>
        </w:tabs>
        <w:spacing w:line="360" w:lineRule="auto"/>
        <w:ind w:left="0" w:firstLine="0"/>
        <w:rPr>
          <w:rFonts w:ascii="Times New Roman" w:hAnsi="Times New Roman" w:cs="Times New Roman"/>
          <w:sz w:val="28"/>
          <w:szCs w:val="28"/>
        </w:rPr>
      </w:pPr>
      <w:r w:rsidRPr="007508CA">
        <w:rPr>
          <w:rFonts w:ascii="Times New Roman" w:hAnsi="Times New Roman" w:cs="Times New Roman"/>
          <w:sz w:val="28"/>
          <w:szCs w:val="28"/>
        </w:rPr>
        <w:t>Грішнова О.</w:t>
      </w:r>
      <w:r w:rsidR="006B5A68" w:rsidRPr="007508CA">
        <w:rPr>
          <w:rFonts w:ascii="Times New Roman" w:hAnsi="Times New Roman" w:cs="Times New Roman"/>
          <w:sz w:val="28"/>
          <w:szCs w:val="28"/>
        </w:rPr>
        <w:t>А.</w:t>
      </w:r>
      <w:r w:rsidR="007A3510" w:rsidRPr="007508CA">
        <w:rPr>
          <w:rFonts w:ascii="Times New Roman" w:hAnsi="Times New Roman" w:cs="Times New Roman"/>
          <w:sz w:val="28"/>
          <w:szCs w:val="28"/>
        </w:rPr>
        <w:t xml:space="preserve"> </w:t>
      </w:r>
      <w:r w:rsidR="006B5A68" w:rsidRPr="007508CA">
        <w:rPr>
          <w:rFonts w:ascii="Times New Roman" w:hAnsi="Times New Roman" w:cs="Times New Roman"/>
          <w:sz w:val="28"/>
          <w:szCs w:val="28"/>
        </w:rPr>
        <w:t>Людський розвиток: Навч. посіб. – К.: КНЕУ, 2006</w:t>
      </w:r>
      <w:r w:rsidRPr="007508CA">
        <w:rPr>
          <w:rFonts w:ascii="Times New Roman" w:hAnsi="Times New Roman" w:cs="Times New Roman"/>
          <w:sz w:val="28"/>
          <w:szCs w:val="28"/>
          <w:lang w:val="ru-RU"/>
        </w:rPr>
        <w:t>.</w:t>
      </w:r>
    </w:p>
    <w:p w:rsidR="006B5A68" w:rsidRPr="007508CA" w:rsidRDefault="005F4CD4" w:rsidP="00DC3521">
      <w:pPr>
        <w:pStyle w:val="a4"/>
        <w:numPr>
          <w:ilvl w:val="0"/>
          <w:numId w:val="7"/>
        </w:numPr>
        <w:tabs>
          <w:tab w:val="left" w:pos="540"/>
        </w:tabs>
        <w:spacing w:line="360" w:lineRule="auto"/>
        <w:ind w:left="0" w:firstLine="0"/>
        <w:rPr>
          <w:rFonts w:ascii="Times New Roman" w:hAnsi="Times New Roman" w:cs="Times New Roman"/>
          <w:sz w:val="28"/>
          <w:szCs w:val="28"/>
        </w:rPr>
      </w:pPr>
      <w:r w:rsidRPr="007508CA">
        <w:rPr>
          <w:rFonts w:ascii="Times New Roman" w:hAnsi="Times New Roman" w:cs="Times New Roman"/>
          <w:sz w:val="28"/>
          <w:szCs w:val="28"/>
        </w:rPr>
        <w:t>Томчук Н.</w:t>
      </w:r>
      <w:r w:rsidR="00592EA0" w:rsidRPr="007508CA">
        <w:rPr>
          <w:rFonts w:ascii="Times New Roman" w:hAnsi="Times New Roman" w:cs="Times New Roman"/>
          <w:sz w:val="28"/>
          <w:szCs w:val="28"/>
        </w:rPr>
        <w:t>В.</w:t>
      </w:r>
      <w:r w:rsidR="00592EA0" w:rsidRPr="007508CA">
        <w:rPr>
          <w:rFonts w:ascii="Times New Roman" w:hAnsi="Times New Roman" w:cs="Times New Roman"/>
          <w:i/>
          <w:iCs/>
          <w:sz w:val="28"/>
          <w:szCs w:val="28"/>
        </w:rPr>
        <w:t xml:space="preserve"> </w:t>
      </w:r>
      <w:r w:rsidR="00592EA0" w:rsidRPr="007508CA">
        <w:rPr>
          <w:rFonts w:ascii="Times New Roman" w:hAnsi="Times New Roman" w:cs="Times New Roman"/>
          <w:sz w:val="28"/>
          <w:szCs w:val="28"/>
        </w:rPr>
        <w:t>Еволюція наукових пог</w:t>
      </w:r>
      <w:r w:rsidRPr="007508CA">
        <w:rPr>
          <w:rFonts w:ascii="Times New Roman" w:hAnsi="Times New Roman" w:cs="Times New Roman"/>
          <w:sz w:val="28"/>
          <w:szCs w:val="28"/>
        </w:rPr>
        <w:t>лядів на людський розвиток / Н.</w:t>
      </w:r>
      <w:r w:rsidR="00592EA0" w:rsidRPr="007508CA">
        <w:rPr>
          <w:rFonts w:ascii="Times New Roman" w:hAnsi="Times New Roman" w:cs="Times New Roman"/>
          <w:sz w:val="28"/>
          <w:szCs w:val="28"/>
        </w:rPr>
        <w:t xml:space="preserve">В. Томчук // Економічна теорія. </w:t>
      </w:r>
      <w:r w:rsidRPr="007508CA">
        <w:rPr>
          <w:rFonts w:ascii="Times New Roman" w:hAnsi="Times New Roman" w:cs="Times New Roman"/>
          <w:sz w:val="28"/>
          <w:szCs w:val="28"/>
        </w:rPr>
        <w:t>–</w:t>
      </w:r>
      <w:r w:rsidR="00592EA0" w:rsidRPr="007508CA">
        <w:rPr>
          <w:rFonts w:ascii="Times New Roman" w:hAnsi="Times New Roman" w:cs="Times New Roman"/>
          <w:sz w:val="28"/>
          <w:szCs w:val="28"/>
        </w:rPr>
        <w:t xml:space="preserve"> 2005</w:t>
      </w:r>
      <w:r w:rsidRPr="007508CA">
        <w:rPr>
          <w:rFonts w:ascii="Times New Roman" w:hAnsi="Times New Roman" w:cs="Times New Roman"/>
          <w:sz w:val="28"/>
          <w:szCs w:val="28"/>
          <w:lang w:val="ru-RU"/>
        </w:rPr>
        <w:t>.</w:t>
      </w:r>
    </w:p>
    <w:p w:rsidR="00592EA0" w:rsidRPr="007508CA" w:rsidRDefault="00592EA0" w:rsidP="00DC3521">
      <w:pPr>
        <w:pStyle w:val="a4"/>
        <w:numPr>
          <w:ilvl w:val="0"/>
          <w:numId w:val="7"/>
        </w:numPr>
        <w:tabs>
          <w:tab w:val="left" w:pos="540"/>
        </w:tabs>
        <w:spacing w:line="360" w:lineRule="auto"/>
        <w:ind w:left="0" w:firstLine="0"/>
        <w:rPr>
          <w:rFonts w:ascii="Times New Roman" w:hAnsi="Times New Roman" w:cs="Times New Roman"/>
          <w:sz w:val="28"/>
          <w:szCs w:val="28"/>
        </w:rPr>
      </w:pPr>
      <w:r w:rsidRPr="007508CA">
        <w:rPr>
          <w:rFonts w:ascii="Times New Roman" w:hAnsi="Times New Roman" w:cs="Times New Roman"/>
          <w:sz w:val="28"/>
          <w:szCs w:val="28"/>
        </w:rPr>
        <w:t>Рівень життя населення України та проблеми реформування механізмів його регулювання (Монографія). – К.: Парламентське вид-во, 1998.</w:t>
      </w:r>
      <w:bookmarkStart w:id="8" w:name="_GoBack"/>
      <w:bookmarkEnd w:id="8"/>
    </w:p>
    <w:sectPr w:rsidR="00592EA0" w:rsidRPr="007508CA" w:rsidSect="0003215E">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1F4F" w:rsidRDefault="00D71F4F" w:rsidP="005B26E0">
      <w:pPr>
        <w:rPr>
          <w:rFonts w:cs="Times New Roman"/>
        </w:rPr>
      </w:pPr>
      <w:r>
        <w:rPr>
          <w:rFonts w:cs="Times New Roman"/>
        </w:rPr>
        <w:separator/>
      </w:r>
    </w:p>
  </w:endnote>
  <w:endnote w:type="continuationSeparator" w:id="0">
    <w:p w:rsidR="00D71F4F" w:rsidRDefault="00D71F4F" w:rsidP="005B26E0">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1F4F" w:rsidRDefault="00D71F4F" w:rsidP="005B26E0">
      <w:pPr>
        <w:rPr>
          <w:rFonts w:cs="Times New Roman"/>
        </w:rPr>
      </w:pPr>
      <w:r>
        <w:rPr>
          <w:rFonts w:cs="Times New Roman"/>
        </w:rPr>
        <w:separator/>
      </w:r>
    </w:p>
  </w:footnote>
  <w:footnote w:type="continuationSeparator" w:id="0">
    <w:p w:rsidR="00D71F4F" w:rsidRDefault="00D71F4F" w:rsidP="005B26E0">
      <w:pPr>
        <w:rPr>
          <w:rFonts w:cs="Times New Roman"/>
        </w:rPr>
      </w:pPr>
      <w:r>
        <w:rPr>
          <w:rFonts w:cs="Times New Roman"/>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0C2AF2"/>
    <w:multiLevelType w:val="hybridMultilevel"/>
    <w:tmpl w:val="65608EB0"/>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
    <w:nsid w:val="27535872"/>
    <w:multiLevelType w:val="hybridMultilevel"/>
    <w:tmpl w:val="993055B6"/>
    <w:lvl w:ilvl="0" w:tplc="04220001">
      <w:start w:val="1"/>
      <w:numFmt w:val="bullet"/>
      <w:lvlText w:val=""/>
      <w:lvlJc w:val="left"/>
      <w:pPr>
        <w:ind w:left="720" w:hanging="360"/>
      </w:pPr>
      <w:rPr>
        <w:rFonts w:ascii="Symbol" w:hAnsi="Symbol" w:cs="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2">
    <w:nsid w:val="2AE25B6A"/>
    <w:multiLevelType w:val="hybridMultilevel"/>
    <w:tmpl w:val="98F6AF94"/>
    <w:lvl w:ilvl="0" w:tplc="541A04A6">
      <w:start w:val="1"/>
      <w:numFmt w:val="upperRoman"/>
      <w:lvlText w:val="%1."/>
      <w:lvlJc w:val="left"/>
      <w:pPr>
        <w:ind w:left="1080" w:hanging="72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
    <w:nsid w:val="31CF197B"/>
    <w:multiLevelType w:val="hybridMultilevel"/>
    <w:tmpl w:val="87962EB4"/>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4">
    <w:nsid w:val="5AB9297A"/>
    <w:multiLevelType w:val="hybridMultilevel"/>
    <w:tmpl w:val="CE764330"/>
    <w:lvl w:ilvl="0" w:tplc="04220009">
      <w:start w:val="1"/>
      <w:numFmt w:val="bullet"/>
      <w:lvlText w:val=""/>
      <w:lvlJc w:val="left"/>
      <w:pPr>
        <w:ind w:left="720" w:hanging="360"/>
      </w:pPr>
      <w:rPr>
        <w:rFonts w:ascii="Wingdings" w:hAnsi="Wingdings" w:cs="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5">
    <w:nsid w:val="5C514BF3"/>
    <w:multiLevelType w:val="hybridMultilevel"/>
    <w:tmpl w:val="530E98A4"/>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6">
    <w:nsid w:val="73C93027"/>
    <w:multiLevelType w:val="hybridMultilevel"/>
    <w:tmpl w:val="EB4C447A"/>
    <w:lvl w:ilvl="0" w:tplc="04220001">
      <w:start w:val="1"/>
      <w:numFmt w:val="bullet"/>
      <w:lvlText w:val=""/>
      <w:lvlJc w:val="left"/>
      <w:pPr>
        <w:ind w:left="720" w:hanging="360"/>
      </w:pPr>
      <w:rPr>
        <w:rFonts w:ascii="Symbol" w:hAnsi="Symbol" w:cs="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num w:numId="1">
    <w:abstractNumId w:val="3"/>
  </w:num>
  <w:num w:numId="2">
    <w:abstractNumId w:val="5"/>
  </w:num>
  <w:num w:numId="3">
    <w:abstractNumId w:val="6"/>
  </w:num>
  <w:num w:numId="4">
    <w:abstractNumId w:val="1"/>
  </w:num>
  <w:num w:numId="5">
    <w:abstractNumId w:val="4"/>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07BC"/>
    <w:rsid w:val="00011DC8"/>
    <w:rsid w:val="0003215E"/>
    <w:rsid w:val="000B1E6B"/>
    <w:rsid w:val="00186E2D"/>
    <w:rsid w:val="001C6FFF"/>
    <w:rsid w:val="002068EC"/>
    <w:rsid w:val="0025556C"/>
    <w:rsid w:val="002F58AF"/>
    <w:rsid w:val="003316A9"/>
    <w:rsid w:val="0033553E"/>
    <w:rsid w:val="003907BC"/>
    <w:rsid w:val="003C6DEA"/>
    <w:rsid w:val="0040491D"/>
    <w:rsid w:val="00406056"/>
    <w:rsid w:val="00420F1B"/>
    <w:rsid w:val="00437F20"/>
    <w:rsid w:val="00494C1F"/>
    <w:rsid w:val="0049711F"/>
    <w:rsid w:val="00592EA0"/>
    <w:rsid w:val="005B26E0"/>
    <w:rsid w:val="005F4CD4"/>
    <w:rsid w:val="00625342"/>
    <w:rsid w:val="006B5563"/>
    <w:rsid w:val="006B5A68"/>
    <w:rsid w:val="00745516"/>
    <w:rsid w:val="007508CA"/>
    <w:rsid w:val="007A3510"/>
    <w:rsid w:val="007E1859"/>
    <w:rsid w:val="008B7BE3"/>
    <w:rsid w:val="008D022A"/>
    <w:rsid w:val="009B5B4B"/>
    <w:rsid w:val="009C1541"/>
    <w:rsid w:val="009F695F"/>
    <w:rsid w:val="00A1036B"/>
    <w:rsid w:val="00A307B4"/>
    <w:rsid w:val="00A32491"/>
    <w:rsid w:val="00AC27C6"/>
    <w:rsid w:val="00AC468C"/>
    <w:rsid w:val="00AE33BD"/>
    <w:rsid w:val="00B023BF"/>
    <w:rsid w:val="00B8519B"/>
    <w:rsid w:val="00BF5C72"/>
    <w:rsid w:val="00C16439"/>
    <w:rsid w:val="00C37334"/>
    <w:rsid w:val="00C705DF"/>
    <w:rsid w:val="00D0662A"/>
    <w:rsid w:val="00D34026"/>
    <w:rsid w:val="00D71F4F"/>
    <w:rsid w:val="00D810E7"/>
    <w:rsid w:val="00DC3521"/>
    <w:rsid w:val="00E41D1E"/>
    <w:rsid w:val="00FA25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28521884-E08C-4EEE-9F75-443CC760F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6439"/>
    <w:pPr>
      <w:jc w:val="both"/>
    </w:pPr>
    <w:rPr>
      <w:rFonts w:eastAsia="Times New Roman" w:cs="Calibri"/>
      <w:sz w:val="22"/>
      <w:szCs w:val="22"/>
      <w:lang w:val="uk-UA" w:eastAsia="en-US"/>
    </w:rPr>
  </w:style>
  <w:style w:type="paragraph" w:styleId="1">
    <w:name w:val="heading 1"/>
    <w:basedOn w:val="a"/>
    <w:next w:val="a"/>
    <w:link w:val="10"/>
    <w:uiPriority w:val="99"/>
    <w:qFormat/>
    <w:rsid w:val="00011DC8"/>
    <w:pPr>
      <w:keepNext/>
      <w:keepLines/>
      <w:spacing w:before="480"/>
      <w:outlineLvl w:val="0"/>
    </w:pPr>
    <w:rPr>
      <w:rFonts w:ascii="Cambria" w:eastAsia="Calibri" w:hAnsi="Cambria" w:cs="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6B5A68"/>
    <w:rPr>
      <w:color w:val="0000FF"/>
      <w:u w:val="single"/>
    </w:rPr>
  </w:style>
  <w:style w:type="paragraph" w:styleId="a4">
    <w:name w:val="List Paragraph"/>
    <w:basedOn w:val="a"/>
    <w:uiPriority w:val="99"/>
    <w:qFormat/>
    <w:rsid w:val="003907BC"/>
    <w:pPr>
      <w:ind w:left="720"/>
    </w:pPr>
  </w:style>
  <w:style w:type="paragraph" w:styleId="a5">
    <w:name w:val="header"/>
    <w:basedOn w:val="a"/>
    <w:link w:val="a6"/>
    <w:uiPriority w:val="99"/>
    <w:semiHidden/>
    <w:rsid w:val="005B26E0"/>
    <w:pPr>
      <w:tabs>
        <w:tab w:val="center" w:pos="4819"/>
        <w:tab w:val="right" w:pos="9639"/>
      </w:tabs>
    </w:pPr>
  </w:style>
  <w:style w:type="paragraph" w:styleId="a7">
    <w:name w:val="footer"/>
    <w:basedOn w:val="a"/>
    <w:link w:val="a8"/>
    <w:uiPriority w:val="99"/>
    <w:rsid w:val="005B26E0"/>
    <w:pPr>
      <w:tabs>
        <w:tab w:val="center" w:pos="4819"/>
        <w:tab w:val="right" w:pos="9639"/>
      </w:tabs>
    </w:pPr>
  </w:style>
  <w:style w:type="character" w:customStyle="1" w:styleId="a6">
    <w:name w:val="Верхний колонтитул Знак"/>
    <w:link w:val="a5"/>
    <w:uiPriority w:val="99"/>
    <w:semiHidden/>
    <w:locked/>
    <w:rsid w:val="005B26E0"/>
  </w:style>
  <w:style w:type="paragraph" w:styleId="a9">
    <w:name w:val="Balloon Text"/>
    <w:basedOn w:val="a"/>
    <w:link w:val="aa"/>
    <w:uiPriority w:val="99"/>
    <w:semiHidden/>
    <w:rsid w:val="008B7BE3"/>
    <w:rPr>
      <w:rFonts w:ascii="Tahoma" w:hAnsi="Tahoma" w:cs="Tahoma"/>
      <w:sz w:val="16"/>
      <w:szCs w:val="16"/>
    </w:rPr>
  </w:style>
  <w:style w:type="character" w:customStyle="1" w:styleId="a8">
    <w:name w:val="Нижний колонтитул Знак"/>
    <w:link w:val="a7"/>
    <w:uiPriority w:val="99"/>
    <w:locked/>
    <w:rsid w:val="005B26E0"/>
  </w:style>
  <w:style w:type="character" w:customStyle="1" w:styleId="10">
    <w:name w:val="Заголовок 1 Знак"/>
    <w:link w:val="1"/>
    <w:uiPriority w:val="99"/>
    <w:locked/>
    <w:rsid w:val="00011DC8"/>
    <w:rPr>
      <w:rFonts w:ascii="Cambria" w:eastAsia="Times New Roman" w:hAnsi="Cambria" w:cs="Cambria"/>
      <w:b/>
      <w:bCs/>
      <w:color w:val="365F91"/>
      <w:sz w:val="28"/>
      <w:szCs w:val="28"/>
    </w:rPr>
  </w:style>
  <w:style w:type="character" w:customStyle="1" w:styleId="aa">
    <w:name w:val="Текст выноски Знак"/>
    <w:link w:val="a9"/>
    <w:uiPriority w:val="99"/>
    <w:semiHidden/>
    <w:locked/>
    <w:rsid w:val="008B7BE3"/>
    <w:rPr>
      <w:rFonts w:ascii="Tahoma" w:hAnsi="Tahoma" w:cs="Tahoma"/>
      <w:sz w:val="16"/>
      <w:szCs w:val="16"/>
    </w:rPr>
  </w:style>
  <w:style w:type="paragraph" w:styleId="ab">
    <w:name w:val="TOC Heading"/>
    <w:basedOn w:val="1"/>
    <w:next w:val="a"/>
    <w:uiPriority w:val="99"/>
    <w:qFormat/>
    <w:rsid w:val="002F58AF"/>
    <w:pPr>
      <w:spacing w:line="276" w:lineRule="auto"/>
      <w:jc w:val="left"/>
      <w:outlineLvl w:val="9"/>
    </w:pPr>
    <w:rPr>
      <w:lang w:val="ru-RU"/>
    </w:rPr>
  </w:style>
  <w:style w:type="paragraph" w:styleId="11">
    <w:name w:val="toc 1"/>
    <w:basedOn w:val="a"/>
    <w:next w:val="a"/>
    <w:autoRedefine/>
    <w:uiPriority w:val="99"/>
    <w:semiHidden/>
    <w:rsid w:val="006B5563"/>
    <w:pPr>
      <w:tabs>
        <w:tab w:val="right" w:leader="dot" w:pos="9629"/>
      </w:tabs>
      <w:spacing w:after="10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3202</Words>
  <Characters>18253</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Grizli777</Company>
  <LinksUpToDate>false</LinksUpToDate>
  <CharactersWithSpaces>21413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DarkKnight</dc:creator>
  <cp:keywords/>
  <dc:description/>
  <cp:lastModifiedBy>admin</cp:lastModifiedBy>
  <cp:revision>2</cp:revision>
  <cp:lastPrinted>2010-10-27T16:45:00Z</cp:lastPrinted>
  <dcterms:created xsi:type="dcterms:W3CDTF">2014-03-19T13:12:00Z</dcterms:created>
  <dcterms:modified xsi:type="dcterms:W3CDTF">2014-03-19T13:12:00Z</dcterms:modified>
</cp:coreProperties>
</file>