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C93" w:rsidRPr="007365BC" w:rsidRDefault="00B92C93" w:rsidP="00924E30">
      <w:pPr>
        <w:spacing w:after="0" w:line="360" w:lineRule="auto"/>
        <w:ind w:firstLine="709"/>
        <w:jc w:val="center"/>
        <w:rPr>
          <w:rFonts w:ascii="Times New Roman" w:hAnsi="Times New Roman" w:cs="Times New Roman"/>
          <w:sz w:val="28"/>
          <w:szCs w:val="28"/>
        </w:rPr>
      </w:pPr>
      <w:r w:rsidRPr="007365BC">
        <w:rPr>
          <w:rFonts w:ascii="Times New Roman" w:hAnsi="Times New Roman" w:cs="Times New Roman"/>
          <w:sz w:val="28"/>
          <w:szCs w:val="28"/>
        </w:rPr>
        <w:t>Министерство образования и науки Российской Федерации</w:t>
      </w:r>
    </w:p>
    <w:p w:rsidR="00B92C93" w:rsidRPr="007365BC" w:rsidRDefault="00B92C93" w:rsidP="00924E30">
      <w:pPr>
        <w:spacing w:after="0" w:line="360" w:lineRule="auto"/>
        <w:ind w:firstLine="709"/>
        <w:jc w:val="center"/>
        <w:rPr>
          <w:rFonts w:ascii="Times New Roman" w:hAnsi="Times New Roman" w:cs="Times New Roman"/>
          <w:sz w:val="28"/>
          <w:szCs w:val="28"/>
        </w:rPr>
      </w:pPr>
      <w:r w:rsidRPr="007365BC">
        <w:rPr>
          <w:rFonts w:ascii="Times New Roman" w:hAnsi="Times New Roman" w:cs="Times New Roman"/>
          <w:sz w:val="28"/>
          <w:szCs w:val="28"/>
        </w:rPr>
        <w:t>Федеральное агентство по образованию</w:t>
      </w:r>
    </w:p>
    <w:p w:rsidR="00B92C93" w:rsidRPr="007365BC" w:rsidRDefault="00B92C93" w:rsidP="00924E30">
      <w:pPr>
        <w:spacing w:after="0" w:line="360" w:lineRule="auto"/>
        <w:ind w:firstLine="709"/>
        <w:jc w:val="center"/>
        <w:outlineLvl w:val="0"/>
        <w:rPr>
          <w:rFonts w:ascii="Times New Roman" w:hAnsi="Times New Roman" w:cs="Times New Roman"/>
          <w:b/>
          <w:bCs/>
          <w:sz w:val="28"/>
          <w:szCs w:val="28"/>
        </w:rPr>
      </w:pPr>
      <w:r w:rsidRPr="007365BC">
        <w:rPr>
          <w:rFonts w:ascii="Times New Roman" w:hAnsi="Times New Roman" w:cs="Times New Roman"/>
          <w:b/>
          <w:bCs/>
          <w:sz w:val="28"/>
          <w:szCs w:val="28"/>
        </w:rPr>
        <w:t>РОССИЙСКИЙ ГОСУДАРСТВЕННЫЙ СОЦИАЛЬНЫЙ УНИВЕРСИТЕТ</w:t>
      </w:r>
    </w:p>
    <w:p w:rsidR="00B92C93" w:rsidRPr="007365BC" w:rsidRDefault="00B92C93" w:rsidP="00924E30">
      <w:pPr>
        <w:spacing w:after="0" w:line="360" w:lineRule="auto"/>
        <w:ind w:firstLine="709"/>
        <w:jc w:val="center"/>
        <w:outlineLvl w:val="0"/>
        <w:rPr>
          <w:rFonts w:ascii="Times New Roman" w:hAnsi="Times New Roman" w:cs="Times New Roman"/>
          <w:b/>
          <w:bCs/>
          <w:sz w:val="28"/>
          <w:szCs w:val="28"/>
        </w:rPr>
      </w:pPr>
      <w:r w:rsidRPr="007365BC">
        <w:rPr>
          <w:rFonts w:ascii="Times New Roman" w:hAnsi="Times New Roman" w:cs="Times New Roman"/>
          <w:b/>
          <w:bCs/>
          <w:sz w:val="28"/>
          <w:szCs w:val="28"/>
        </w:rPr>
        <w:t>Филиал в г. Азове</w:t>
      </w: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b/>
          <w:bCs/>
          <w:sz w:val="28"/>
          <w:szCs w:val="28"/>
        </w:rPr>
        <w:t>КОНТРОЛЬНАЯ РАБОТА</w:t>
      </w: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u w:val="single"/>
        </w:rPr>
      </w:pPr>
      <w:r w:rsidRPr="007365BC">
        <w:rPr>
          <w:rFonts w:ascii="Times New Roman" w:hAnsi="Times New Roman" w:cs="Times New Roman"/>
          <w:sz w:val="28"/>
          <w:szCs w:val="28"/>
          <w:u w:val="single"/>
        </w:rPr>
        <w:t>Студентки 5 курса</w:t>
      </w:r>
    </w:p>
    <w:p w:rsidR="00B92C93" w:rsidRPr="007365BC" w:rsidRDefault="00B92C93" w:rsidP="00924E30">
      <w:pPr>
        <w:spacing w:after="0" w:line="360" w:lineRule="auto"/>
        <w:ind w:firstLine="709"/>
        <w:jc w:val="center"/>
        <w:rPr>
          <w:rFonts w:ascii="Times New Roman" w:hAnsi="Times New Roman" w:cs="Times New Roman"/>
          <w:sz w:val="28"/>
          <w:szCs w:val="28"/>
          <w:u w:val="single"/>
        </w:rPr>
      </w:pPr>
      <w:r w:rsidRPr="007365BC">
        <w:rPr>
          <w:rFonts w:ascii="Times New Roman" w:hAnsi="Times New Roman" w:cs="Times New Roman"/>
          <w:sz w:val="28"/>
          <w:szCs w:val="28"/>
          <w:u w:val="single"/>
        </w:rPr>
        <w:t>заочного отделения</w:t>
      </w:r>
    </w:p>
    <w:p w:rsidR="00B92C93" w:rsidRPr="007365BC" w:rsidRDefault="00B92C93" w:rsidP="00924E30">
      <w:pPr>
        <w:spacing w:after="0" w:line="360" w:lineRule="auto"/>
        <w:ind w:firstLine="709"/>
        <w:jc w:val="center"/>
        <w:rPr>
          <w:rFonts w:ascii="Times New Roman" w:hAnsi="Times New Roman" w:cs="Times New Roman"/>
          <w:sz w:val="28"/>
          <w:szCs w:val="28"/>
          <w:u w:val="single"/>
        </w:rPr>
      </w:pPr>
      <w:r w:rsidRPr="007365BC">
        <w:rPr>
          <w:rFonts w:ascii="Times New Roman" w:hAnsi="Times New Roman" w:cs="Times New Roman"/>
          <w:sz w:val="28"/>
          <w:szCs w:val="28"/>
          <w:u w:val="single"/>
        </w:rPr>
        <w:t>Специальность ГМУ</w:t>
      </w:r>
    </w:p>
    <w:p w:rsidR="00B92C93" w:rsidRPr="007365BC" w:rsidRDefault="00B92C93" w:rsidP="00924E30">
      <w:pPr>
        <w:spacing w:after="0" w:line="360" w:lineRule="auto"/>
        <w:ind w:firstLine="709"/>
        <w:jc w:val="center"/>
        <w:rPr>
          <w:rFonts w:ascii="Times New Roman" w:hAnsi="Times New Roman" w:cs="Times New Roman"/>
          <w:sz w:val="28"/>
          <w:szCs w:val="28"/>
          <w:u w:val="single"/>
        </w:rPr>
      </w:pPr>
      <w:r w:rsidRPr="007365BC">
        <w:rPr>
          <w:rFonts w:ascii="Times New Roman" w:hAnsi="Times New Roman" w:cs="Times New Roman"/>
          <w:sz w:val="28"/>
          <w:szCs w:val="28"/>
          <w:u w:val="single"/>
        </w:rPr>
        <w:t>Мишиной Кристины Евгеньевны</w:t>
      </w:r>
    </w:p>
    <w:p w:rsidR="00B92C93" w:rsidRPr="007365BC" w:rsidRDefault="00B92C93" w:rsidP="00924E30">
      <w:pPr>
        <w:spacing w:after="0" w:line="360" w:lineRule="auto"/>
        <w:ind w:firstLine="709"/>
        <w:jc w:val="center"/>
        <w:rPr>
          <w:rFonts w:ascii="Times New Roman" w:hAnsi="Times New Roman" w:cs="Times New Roman"/>
          <w:sz w:val="28"/>
          <w:szCs w:val="28"/>
          <w:u w:val="single"/>
        </w:rPr>
      </w:pPr>
      <w:r w:rsidRPr="007365BC">
        <w:rPr>
          <w:rFonts w:ascii="Times New Roman" w:hAnsi="Times New Roman" w:cs="Times New Roman"/>
          <w:sz w:val="28"/>
          <w:szCs w:val="28"/>
          <w:u w:val="single"/>
        </w:rPr>
        <w:t>Зачётная книжка № 23693</w:t>
      </w:r>
    </w:p>
    <w:p w:rsidR="00B92C93" w:rsidRPr="007365BC" w:rsidRDefault="00B92C93" w:rsidP="00924E30">
      <w:pPr>
        <w:spacing w:after="0" w:line="360" w:lineRule="auto"/>
        <w:ind w:firstLine="709"/>
        <w:jc w:val="center"/>
        <w:rPr>
          <w:rFonts w:ascii="Times New Roman" w:hAnsi="Times New Roman" w:cs="Times New Roman"/>
          <w:sz w:val="28"/>
          <w:szCs w:val="28"/>
          <w:u w:val="single"/>
        </w:rPr>
      </w:pPr>
      <w:r w:rsidRPr="007365BC">
        <w:rPr>
          <w:rFonts w:ascii="Times New Roman" w:hAnsi="Times New Roman" w:cs="Times New Roman"/>
          <w:sz w:val="28"/>
          <w:szCs w:val="28"/>
          <w:u w:val="single"/>
        </w:rPr>
        <w:t>По дисциплине «Региональная</w:t>
      </w:r>
    </w:p>
    <w:p w:rsidR="00B92C93" w:rsidRPr="007365BC" w:rsidRDefault="00B92C93" w:rsidP="00924E30">
      <w:pPr>
        <w:spacing w:after="0" w:line="360" w:lineRule="auto"/>
        <w:ind w:firstLine="709"/>
        <w:jc w:val="center"/>
        <w:rPr>
          <w:rFonts w:ascii="Times New Roman" w:hAnsi="Times New Roman" w:cs="Times New Roman"/>
          <w:sz w:val="28"/>
          <w:szCs w:val="28"/>
          <w:u w:val="single"/>
        </w:rPr>
      </w:pPr>
      <w:r w:rsidRPr="007365BC">
        <w:rPr>
          <w:rFonts w:ascii="Times New Roman" w:hAnsi="Times New Roman" w:cs="Times New Roman"/>
          <w:sz w:val="28"/>
          <w:szCs w:val="28"/>
          <w:u w:val="single"/>
        </w:rPr>
        <w:t>экономика и управление»</w:t>
      </w:r>
    </w:p>
    <w:p w:rsidR="00B92C93" w:rsidRPr="007365BC" w:rsidRDefault="00B92C93" w:rsidP="00924E30">
      <w:pPr>
        <w:spacing w:after="0" w:line="360" w:lineRule="auto"/>
        <w:ind w:firstLine="709"/>
        <w:jc w:val="center"/>
        <w:rPr>
          <w:rFonts w:ascii="Times New Roman" w:hAnsi="Times New Roman" w:cs="Times New Roman"/>
          <w:sz w:val="28"/>
          <w:szCs w:val="28"/>
          <w:u w:val="single"/>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p>
    <w:p w:rsidR="00B92C93" w:rsidRPr="007365BC" w:rsidRDefault="00B92C93" w:rsidP="00924E30">
      <w:pPr>
        <w:pBdr>
          <w:between w:val="single" w:sz="4" w:space="1" w:color="auto"/>
        </w:pBdr>
        <w:spacing w:after="0" w:line="360" w:lineRule="auto"/>
        <w:ind w:firstLine="709"/>
        <w:jc w:val="center"/>
        <w:rPr>
          <w:rFonts w:ascii="Times New Roman" w:hAnsi="Times New Roman" w:cs="Times New Roman"/>
          <w:sz w:val="28"/>
          <w:szCs w:val="28"/>
        </w:rPr>
      </w:pPr>
    </w:p>
    <w:p w:rsidR="00B92C93" w:rsidRPr="007365BC" w:rsidRDefault="00B92C93" w:rsidP="00924E30">
      <w:pPr>
        <w:spacing w:after="0" w:line="360" w:lineRule="auto"/>
        <w:ind w:firstLine="709"/>
        <w:jc w:val="center"/>
        <w:rPr>
          <w:rFonts w:ascii="Times New Roman" w:hAnsi="Times New Roman" w:cs="Times New Roman"/>
          <w:sz w:val="28"/>
          <w:szCs w:val="28"/>
        </w:rPr>
      </w:pPr>
      <w:r w:rsidRPr="007365BC">
        <w:rPr>
          <w:rFonts w:ascii="Times New Roman" w:hAnsi="Times New Roman" w:cs="Times New Roman"/>
          <w:sz w:val="28"/>
          <w:szCs w:val="28"/>
        </w:rPr>
        <w:t>г. Азов</w:t>
      </w:r>
    </w:p>
    <w:p w:rsidR="00B92C93" w:rsidRPr="007365BC" w:rsidRDefault="00B92C93" w:rsidP="00924E30">
      <w:pPr>
        <w:spacing w:after="0" w:line="360" w:lineRule="auto"/>
        <w:ind w:firstLine="709"/>
        <w:jc w:val="center"/>
        <w:rPr>
          <w:rFonts w:ascii="Times New Roman" w:hAnsi="Times New Roman" w:cs="Times New Roman"/>
          <w:sz w:val="28"/>
          <w:szCs w:val="28"/>
        </w:rPr>
      </w:pPr>
      <w:r w:rsidRPr="007365BC">
        <w:rPr>
          <w:rFonts w:ascii="Times New Roman" w:hAnsi="Times New Roman" w:cs="Times New Roman"/>
          <w:sz w:val="28"/>
          <w:szCs w:val="28"/>
        </w:rPr>
        <w:t>2009</w:t>
      </w:r>
    </w:p>
    <w:p w:rsidR="00B92C93" w:rsidRPr="007365BC" w:rsidRDefault="00B92C93" w:rsidP="00924E30">
      <w:pPr>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sz w:val="28"/>
          <w:szCs w:val="28"/>
        </w:rPr>
        <w:br w:type="page"/>
      </w:r>
      <w:r w:rsidRPr="007365BC">
        <w:rPr>
          <w:rFonts w:ascii="Times New Roman" w:hAnsi="Times New Roman" w:cs="Times New Roman"/>
          <w:b/>
          <w:bCs/>
          <w:sz w:val="28"/>
          <w:szCs w:val="28"/>
        </w:rPr>
        <w:t>Содержание:</w:t>
      </w:r>
    </w:p>
    <w:p w:rsidR="00B92C93" w:rsidRPr="007365BC" w:rsidRDefault="00B92C93" w:rsidP="00924E30">
      <w:pPr>
        <w:spacing w:after="0" w:line="360" w:lineRule="auto"/>
        <w:ind w:firstLine="709"/>
        <w:jc w:val="both"/>
        <w:rPr>
          <w:rFonts w:ascii="Times New Roman" w:hAnsi="Times New Roman" w:cs="Times New Roman"/>
          <w:sz w:val="28"/>
          <w:szCs w:val="28"/>
        </w:rPr>
      </w:pP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b/>
          <w:bCs/>
          <w:sz w:val="28"/>
          <w:szCs w:val="28"/>
        </w:rPr>
        <w:t>Вопрос 1.</w:t>
      </w:r>
      <w:r w:rsidRPr="007365BC">
        <w:rPr>
          <w:rFonts w:ascii="Times New Roman" w:hAnsi="Times New Roman" w:cs="Times New Roman"/>
          <w:sz w:val="28"/>
          <w:szCs w:val="28"/>
        </w:rPr>
        <w:t xml:space="preserve"> Региональная экономика как часть экономики страны</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1.1.Место региональной экономики в воспроизводственном процессе страны</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1.2.Территориальное разделение труда как основа региональног</w:t>
      </w:r>
      <w:r w:rsidR="00924E30" w:rsidRPr="007365BC">
        <w:rPr>
          <w:rFonts w:ascii="Times New Roman" w:hAnsi="Times New Roman" w:cs="Times New Roman"/>
          <w:sz w:val="28"/>
          <w:szCs w:val="28"/>
        </w:rPr>
        <w:t>о воспроизводственного процесса</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1.3.Показатели, характеризующие межрегиональные связи страны</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1.4.Особенности экономики отдельных регионов России</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1.4.1. ЦФО</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1.4.3. СЗФО</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1.4.4. ЮФО</w:t>
      </w:r>
      <w:r w:rsidRPr="007365BC">
        <w:rPr>
          <w:rFonts w:ascii="Times New Roman" w:hAnsi="Times New Roman" w:cs="Times New Roman"/>
          <w:sz w:val="28"/>
          <w:szCs w:val="28"/>
        </w:rPr>
        <w:tab/>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1.4.5. ПФО</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1.4.6. УФО</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1.4.7. СФО</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1.4.8. ДВФО</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b/>
          <w:bCs/>
          <w:sz w:val="28"/>
          <w:szCs w:val="28"/>
        </w:rPr>
        <w:t>Вопрос 2.</w:t>
      </w:r>
      <w:r w:rsidRPr="007365BC">
        <w:rPr>
          <w:rFonts w:ascii="Times New Roman" w:hAnsi="Times New Roman" w:cs="Times New Roman"/>
          <w:sz w:val="28"/>
          <w:szCs w:val="28"/>
        </w:rPr>
        <w:t xml:space="preserve"> Система инструментов активного воздействия государства на ход социально-экономического развития региона</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2.1.Программирование регионального развития</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2.2.Опыт развитых стран в области программирования регионального развития</w:t>
      </w:r>
    </w:p>
    <w:p w:rsidR="00B92C93" w:rsidRPr="007365BC" w:rsidRDefault="00B92C93" w:rsidP="00924E30">
      <w:pPr>
        <w:spacing w:after="0" w:line="360" w:lineRule="auto"/>
        <w:rPr>
          <w:rFonts w:ascii="Times New Roman" w:hAnsi="Times New Roman" w:cs="Times New Roman"/>
          <w:sz w:val="28"/>
          <w:szCs w:val="28"/>
        </w:rPr>
      </w:pPr>
      <w:r w:rsidRPr="007365BC">
        <w:rPr>
          <w:rFonts w:ascii="Times New Roman" w:hAnsi="Times New Roman" w:cs="Times New Roman"/>
          <w:sz w:val="28"/>
          <w:szCs w:val="28"/>
        </w:rPr>
        <w:t>Используемая литература</w:t>
      </w:r>
    </w:p>
    <w:p w:rsidR="00B92C93" w:rsidRPr="007365BC" w:rsidRDefault="00B92C93" w:rsidP="00924E30">
      <w:pPr>
        <w:spacing w:after="0" w:line="360" w:lineRule="auto"/>
        <w:ind w:firstLine="709"/>
        <w:jc w:val="both"/>
        <w:rPr>
          <w:rFonts w:ascii="Times New Roman" w:hAnsi="Times New Roman" w:cs="Times New Roman"/>
          <w:b/>
          <w:bCs/>
          <w:sz w:val="28"/>
          <w:szCs w:val="28"/>
        </w:rPr>
      </w:pPr>
      <w:r w:rsidRPr="007365BC">
        <w:rPr>
          <w:rFonts w:ascii="Times New Roman" w:hAnsi="Times New Roman" w:cs="Times New Roman"/>
          <w:sz w:val="28"/>
          <w:szCs w:val="28"/>
        </w:rPr>
        <w:br w:type="page"/>
      </w:r>
      <w:r w:rsidRPr="007365BC">
        <w:rPr>
          <w:rFonts w:ascii="Times New Roman" w:hAnsi="Times New Roman" w:cs="Times New Roman"/>
          <w:b/>
          <w:bCs/>
          <w:sz w:val="28"/>
          <w:szCs w:val="28"/>
        </w:rPr>
        <w:t>Вопрос 1. Региональная экономика как часть экономики страны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При исследовании региона как части единого народно-хозяйственного комплекса страны встают проблемы определения его места в системе разделения труда в территориальном разрезе, исследования воспроизводственных циклов и определения на этой основе территориальных связей и пропорций в народном хозяйстве страны.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p>
    <w:p w:rsidR="00B92C93" w:rsidRPr="007365BC" w:rsidRDefault="00B92C93" w:rsidP="00924E30">
      <w:pPr>
        <w:pStyle w:val="a7"/>
        <w:numPr>
          <w:ilvl w:val="1"/>
          <w:numId w:val="1"/>
        </w:numPr>
        <w:autoSpaceDE w:val="0"/>
        <w:autoSpaceDN w:val="0"/>
        <w:adjustRightInd w:val="0"/>
        <w:spacing w:after="0" w:line="360" w:lineRule="auto"/>
        <w:ind w:left="0" w:firstLine="709"/>
        <w:jc w:val="center"/>
        <w:rPr>
          <w:rFonts w:ascii="Times New Roman" w:hAnsi="Times New Roman" w:cs="Times New Roman"/>
          <w:b/>
          <w:bCs/>
          <w:i/>
          <w:iCs/>
          <w:sz w:val="28"/>
          <w:szCs w:val="28"/>
        </w:rPr>
      </w:pPr>
      <w:r w:rsidRPr="007365BC">
        <w:rPr>
          <w:rFonts w:ascii="Times New Roman" w:hAnsi="Times New Roman" w:cs="Times New Roman"/>
          <w:b/>
          <w:bCs/>
          <w:i/>
          <w:iCs/>
          <w:sz w:val="28"/>
          <w:szCs w:val="28"/>
        </w:rPr>
        <w:t>Место региональной экономики в воспроизводственном</w:t>
      </w:r>
      <w:r w:rsidR="00924E30" w:rsidRPr="007365BC">
        <w:rPr>
          <w:rFonts w:ascii="Times New Roman" w:hAnsi="Times New Roman" w:cs="Times New Roman"/>
          <w:b/>
          <w:bCs/>
          <w:i/>
          <w:iCs/>
          <w:sz w:val="28"/>
          <w:szCs w:val="28"/>
        </w:rPr>
        <w:t xml:space="preserve"> </w:t>
      </w:r>
      <w:r w:rsidRPr="007365BC">
        <w:rPr>
          <w:rFonts w:ascii="Times New Roman" w:hAnsi="Times New Roman" w:cs="Times New Roman"/>
          <w:b/>
          <w:bCs/>
          <w:i/>
          <w:iCs/>
          <w:sz w:val="28"/>
          <w:szCs w:val="28"/>
        </w:rPr>
        <w:t>процессе страны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i/>
          <w:iCs/>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Устройство регионального блока «экономика» зависит от организации национальной экономической системы</w:t>
      </w:r>
      <w:r w:rsidRPr="007365BC">
        <w:rPr>
          <w:rStyle w:val="a5"/>
          <w:rFonts w:ascii="Times New Roman" w:hAnsi="Times New Roman" w:cs="Times New Roman"/>
          <w:sz w:val="28"/>
          <w:szCs w:val="28"/>
        </w:rPr>
        <w:footnoteReference w:id="1"/>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административно-плановой экономической системе СССР отдельный регион (административно-территориальная единица) представлял собой часть национальной экономики (единого народно-хозяйственного комплекса) и в гораздо меньшей мере - экономическую подсистему (региональный хозяйственный комплекс). Внутренние материальные и финансовые связи региона были существенно слабее внешних связей, регулируемых общегосударственным планированием (включающим планирование производства, материально-технического снабжения и сбыта, финансов, распределения трудовых ресурсов и т.д.). Основные параметры экономики региона определялись государственным планом и политикой общесоюзных ведомств, а не местными потребностями. В большинстве регионов вследствие экономической незаинтересованности предприятий в высвобождении работников поддерживалась практически полная занятость, а миграция из трудоизбыточных регионов имела в основном сезонный характер. С одной стороны, денежные доходы предприятий и населения жестко регулировались центром (перераспределение финансовых ресурсов и нормирование заработной платы), а с другой - реализация доходов ограничивалась из-за централизованного распределения и дефицита большей части средств производства и потребительских благ. Поэтому изменения доходов сравнительно мало влияли на производство, потребление, инвестиции. Таким образом, экономика региона была слабосвязанной экономической подсистемой.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Переход к рыночной экономике и реальному федерализму сопровождается тем, что каждый регион - субъект Федерации - становится экономической подсистемой, характеризующейся сильной взаимосвязанностью своих основных элементов. Значительно возрастает влияние доходов и платежеспособного спроса на региональное производство, потребление и инвестиции, развитие социальной сферы, а также влияние производства на занятость и доходы. Межрегиональный обмен осуществляется на рыночной основе, и поэтому регион как рынок испытывает влияние внешних конкурирующих и дополняющих рынков товаров, труда и капитала.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Укрупненные элементы и связи регионального экономического механизма в плановой и рыночной экономиках в основном совпадают. Однако при переходе к рыночной экономике изменяются сущность и сила связей между элементами регионального механизма и внешней экономической средой (федеральными регулирующими системами, экономиками других регионов и мировыми рынками). Для внутренних и прямых межрегиональных и международных связей типично их усиление, для связей с федеральными системами - изменение качества связей или ослабление</w:t>
      </w:r>
      <w:r w:rsidRPr="007365BC">
        <w:rPr>
          <w:rStyle w:val="a5"/>
          <w:rFonts w:ascii="Times New Roman" w:hAnsi="Times New Roman" w:cs="Times New Roman"/>
          <w:sz w:val="28"/>
          <w:szCs w:val="28"/>
        </w:rPr>
        <w:footnoteReference w:id="2"/>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Значительная часть финансовых потоков проходит через региональный и местные бюджеты и внебюджетные фонды. Так, доходы бюджета субъекта Федерации складываются из налогов (собственных и регулирующих), получаемых от предприятий, используемых природных ресурсов и населения, а также из поступлений от федерального бюджета (субвенций, трансфертов и т.п.). Источниками формирования внебюджетных фондов являются заемные средства, социальные сборы (страховые и т.п.), добровольные взносы, поступления из федеральных внебюджетных фондов и др. Доходы регионального и местных бюджетов и внебюджетных фондов направляются на финансирование социальной сферы (особенно образования, здравоохранения, социального обеспечения, жилищно-коммунального хозяйства), финансовую поддержку производства (главным образом предприятий, находящихся полностью или частично в региональной и муниципальной собственности), инвестиции в региональное хозяйство, охрану окружающей среды.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Регион как подсистема национальной экономики имеет экономические связи с федеральными регулирующими системами (федеральным центром), с другими регионами и внешним миром</w:t>
      </w:r>
      <w:r w:rsidRPr="007365BC">
        <w:rPr>
          <w:rStyle w:val="a5"/>
          <w:rFonts w:ascii="Times New Roman" w:hAnsi="Times New Roman" w:cs="Times New Roman"/>
          <w:sz w:val="28"/>
          <w:szCs w:val="28"/>
        </w:rPr>
        <w:footnoteReference w:id="3"/>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Отношения между регионами и внешним миром являются преимущественно торговыми, хотя в последнее время регионы становятся непосредственными участниками межрегионального и международного рынков кредитных ресурсов, ценных бумаг. Регулирование таких финансовых взаимоотношений (особенно межбюджетных) - одно из главных направлений государственной региональной экономической политики.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i/>
          <w:iCs/>
          <w:sz w:val="28"/>
          <w:szCs w:val="28"/>
        </w:rPr>
      </w:pPr>
      <w:r w:rsidRPr="007365BC">
        <w:rPr>
          <w:rFonts w:ascii="Times New Roman" w:hAnsi="Times New Roman" w:cs="Times New Roman"/>
          <w:b/>
          <w:bCs/>
          <w:i/>
          <w:iCs/>
          <w:sz w:val="28"/>
          <w:szCs w:val="28"/>
        </w:rPr>
        <w:t>1.2. Территориальное разделение труда как основа</w:t>
      </w:r>
      <w:r w:rsidR="00924E30" w:rsidRPr="007365BC">
        <w:rPr>
          <w:rFonts w:ascii="Times New Roman" w:hAnsi="Times New Roman" w:cs="Times New Roman"/>
          <w:b/>
          <w:bCs/>
          <w:i/>
          <w:iCs/>
          <w:sz w:val="28"/>
          <w:szCs w:val="28"/>
        </w:rPr>
        <w:t xml:space="preserve"> </w:t>
      </w:r>
      <w:r w:rsidRPr="007365BC">
        <w:rPr>
          <w:rFonts w:ascii="Times New Roman" w:hAnsi="Times New Roman" w:cs="Times New Roman"/>
          <w:b/>
          <w:bCs/>
          <w:i/>
          <w:iCs/>
          <w:sz w:val="28"/>
          <w:szCs w:val="28"/>
        </w:rPr>
        <w:t>регионального воспроизводственного процесса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Общественное разделение труда </w:t>
      </w:r>
      <w:r w:rsidRPr="007365BC">
        <w:rPr>
          <w:rFonts w:ascii="Times New Roman" w:hAnsi="Times New Roman" w:cs="Times New Roman"/>
          <w:sz w:val="28"/>
          <w:szCs w:val="28"/>
        </w:rPr>
        <w:t>- это объективный процесс развития производительных сил, при котором происходят обособление различных видов трудовой деятельности, специализация производственных единиц и обмен между ними продуктами своей деятельности.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Общественное разделение труда предопределяет последующую интеграцию и установление связей между его отдельными структурными элементами. Можно сказать, что уровень зрелости общественного производства определяется степенью развития общественного разделения труда.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Общественное разделение труда развивается в двух направлениях - в виде отраслевого и территориального разделения труда, между которыми существует объективная неразрывная связь.</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Отраслевое разделение труда </w:t>
      </w:r>
      <w:r w:rsidRPr="007365BC">
        <w:rPr>
          <w:rFonts w:ascii="Times New Roman" w:hAnsi="Times New Roman" w:cs="Times New Roman"/>
          <w:sz w:val="28"/>
          <w:szCs w:val="28"/>
        </w:rPr>
        <w:t>- процесс, знаменующий возникновение новых производств, при котором производители профессионально специализируются на изготовлении готовых продуктов и услуг или их составных частей, происходит дробление производства, выделение специализированных звеньев, возникновение новых профессий.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Социально-экономические процессы, а также процесс общественного разделения и интеграции производства видоизменяются и совершенствуются в ходе научно-технического процесса.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Территориальное разделение труда </w:t>
      </w:r>
      <w:r w:rsidRPr="007365BC">
        <w:rPr>
          <w:rFonts w:ascii="Times New Roman" w:hAnsi="Times New Roman" w:cs="Times New Roman"/>
          <w:sz w:val="28"/>
          <w:szCs w:val="28"/>
        </w:rPr>
        <w:t>- процесс производственной специализации, обособления экономических районов, развития межрайонной кооперации, обмена продукцией и услугами.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Территориальное разделение труда представляет собой пространственное проявление общественного разделения труда, обусловленное природными, экономическими, социальными и национально-историческими особенностями регионов. В результате выделившиеся в процессе общественного разделения труда отрасли и производства размещаются в районах с наиболее благоприятными предпосылками для их развития</w:t>
      </w:r>
      <w:r w:rsidRPr="007365BC">
        <w:rPr>
          <w:rStyle w:val="a5"/>
          <w:rFonts w:ascii="Times New Roman" w:hAnsi="Times New Roman" w:cs="Times New Roman"/>
          <w:sz w:val="28"/>
          <w:szCs w:val="28"/>
        </w:rPr>
        <w:footnoteReference w:id="4"/>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Территориальное разделение труда открывает дополнительные возможности повышения эффективности регионального воспроизводства как за счет преимуществ отраслевой специализации, так и благодаря использованию природно-ресурсных и социально-экономических возможностей регионов.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Сочетание отраслевого и территориального разделения труда формирует региональный воспроизводственный процесс.</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Воспроизводственный подход </w:t>
      </w:r>
      <w:r w:rsidRPr="007365BC">
        <w:rPr>
          <w:rFonts w:ascii="Times New Roman" w:hAnsi="Times New Roman" w:cs="Times New Roman"/>
          <w:sz w:val="28"/>
          <w:szCs w:val="28"/>
        </w:rPr>
        <w:t>к отражению регионального развития означает необходимость установления прямых и косвенных связей между всеми элементами общественной системы, при которых создаются условия для осуществления непрерывного воспроизводственного процесса, ориентированного на достижение поставленных задач.</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Изучение закономерных связей, возникающих в процессе производства, распределения, обмена и потребления, составляет предмет теории общественного воспроизводства. Одним из важных методологических положений теории регионального воспроизводства является выделение двух его аспектов - межрегионального и внутрирегионального.</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Межрегиональный аспект </w:t>
      </w:r>
      <w:r w:rsidRPr="007365BC">
        <w:rPr>
          <w:rFonts w:ascii="Times New Roman" w:hAnsi="Times New Roman" w:cs="Times New Roman"/>
          <w:sz w:val="28"/>
          <w:szCs w:val="28"/>
        </w:rPr>
        <w:t>общественного воспроизводства связан с пространственной локализацией отраслевых производств. При этом объективной предпосылкой территориального разделения труда служат различия в природно-климатических условиях, ресурсном, экономическом, научно-техническом, демографическом потенциале. От пространственного размещения производительных сил зависят эффективность развития экономики и уровень благосостояния людей в регионе.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Внутрирегиональный аспект воспроизводства </w:t>
      </w:r>
      <w:r w:rsidRPr="007365BC">
        <w:rPr>
          <w:rFonts w:ascii="Times New Roman" w:hAnsi="Times New Roman" w:cs="Times New Roman"/>
          <w:sz w:val="28"/>
          <w:szCs w:val="28"/>
        </w:rPr>
        <w:t>охватывает проблемы комплексного развития региона, обеспечения достойного уровня жизни населения. Организация регионального воспроизводственного процесса должна соответствовать интересам населения региона и быть направлена на достижение благоприятных условий жизнедеятельности, сохранение и воспроизводство природных систем. Таким образом, экономические цели регионального воспроизводства связаны с заинтересованностью в росте экономического потенциала как основы роста благосостояния</w:t>
      </w:r>
      <w:r w:rsidRPr="007365BC">
        <w:rPr>
          <w:rStyle w:val="a5"/>
          <w:rFonts w:ascii="Times New Roman" w:hAnsi="Times New Roman" w:cs="Times New Roman"/>
          <w:sz w:val="28"/>
          <w:szCs w:val="28"/>
        </w:rPr>
        <w:footnoteReference w:id="5"/>
      </w:r>
      <w:r w:rsidRPr="007365BC">
        <w:rPr>
          <w:rFonts w:ascii="Times New Roman" w:hAnsi="Times New Roman" w:cs="Times New Roman"/>
          <w:sz w:val="28"/>
          <w:szCs w:val="28"/>
        </w:rPr>
        <w:t>.</w:t>
      </w:r>
    </w:p>
    <w:p w:rsidR="00B92C93" w:rsidRPr="007365BC" w:rsidRDefault="00B92C93" w:rsidP="00924E30">
      <w:pPr>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i/>
          <w:iCs/>
          <w:sz w:val="28"/>
          <w:szCs w:val="28"/>
        </w:rPr>
      </w:pPr>
      <w:r w:rsidRPr="007365BC">
        <w:rPr>
          <w:rFonts w:ascii="Times New Roman" w:hAnsi="Times New Roman" w:cs="Times New Roman"/>
          <w:b/>
          <w:bCs/>
          <w:i/>
          <w:iCs/>
          <w:sz w:val="28"/>
          <w:szCs w:val="28"/>
        </w:rPr>
        <w:t>1.3. Показатели, характеризующие межрегиональные</w:t>
      </w:r>
      <w:r w:rsidR="00924E30" w:rsidRPr="007365BC">
        <w:rPr>
          <w:rFonts w:ascii="Times New Roman" w:hAnsi="Times New Roman" w:cs="Times New Roman"/>
          <w:b/>
          <w:bCs/>
          <w:i/>
          <w:iCs/>
          <w:sz w:val="28"/>
          <w:szCs w:val="28"/>
        </w:rPr>
        <w:t xml:space="preserve"> </w:t>
      </w:r>
      <w:r w:rsidRPr="007365BC">
        <w:rPr>
          <w:rFonts w:ascii="Times New Roman" w:hAnsi="Times New Roman" w:cs="Times New Roman"/>
          <w:b/>
          <w:bCs/>
          <w:i/>
          <w:iCs/>
          <w:sz w:val="28"/>
          <w:szCs w:val="28"/>
        </w:rPr>
        <w:t>связи страны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i/>
          <w:iCs/>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Для характеристики межрегиональных связей применяются показатели потоков продукции и ресурсов как в натуральном, так и в обобщенном стоимостном измерении. Наиболее характерными являются натуральные показатели, отражающие движение конкретных видов продукции между регионами: сырьевых ресурсов, продовольствия, машин и оборудования (в весовом измерении и поштучно), а также трудовых ресурсов (в физических лицах).</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Основными формами межрегиональных связей являются обмен товарами и услугами, миграция населения, финансовые и информационные потоки.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Простые методы анализа обмена товарами и услугами осуществляются с помощью коэффициентов ввоза и вывоза продукции, а также товарообмена.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 xml:space="preserve">В целях получения более общей картины взаимосвязей регионов страны применяются </w:t>
      </w:r>
      <w:r w:rsidRPr="007365BC">
        <w:rPr>
          <w:rFonts w:ascii="Times New Roman" w:hAnsi="Times New Roman" w:cs="Times New Roman"/>
          <w:b/>
          <w:bCs/>
          <w:sz w:val="28"/>
          <w:szCs w:val="28"/>
        </w:rPr>
        <w:t>обобщающие показатели регионального</w:t>
      </w:r>
      <w:r w:rsidRPr="007365BC">
        <w:rPr>
          <w:rFonts w:ascii="Times New Roman" w:hAnsi="Times New Roman" w:cs="Times New Roman"/>
          <w:sz w:val="28"/>
          <w:szCs w:val="28"/>
        </w:rPr>
        <w:t xml:space="preserve"> </w:t>
      </w:r>
      <w:r w:rsidRPr="007365BC">
        <w:rPr>
          <w:rFonts w:ascii="Times New Roman" w:hAnsi="Times New Roman" w:cs="Times New Roman"/>
          <w:b/>
          <w:bCs/>
          <w:sz w:val="28"/>
          <w:szCs w:val="28"/>
        </w:rPr>
        <w:t xml:space="preserve">развития, </w:t>
      </w:r>
      <w:r w:rsidRPr="007365BC">
        <w:rPr>
          <w:rFonts w:ascii="Times New Roman" w:hAnsi="Times New Roman" w:cs="Times New Roman"/>
          <w:sz w:val="28"/>
          <w:szCs w:val="28"/>
        </w:rPr>
        <w:t>характеризующие потоки между отраслями в стоимостном выражении: по динамике валового регионального продукта, денежным потокам и пр.</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 xml:space="preserve">Для наиболее общей характеристики взаимосвязей между регионами используется такой показатель, как </w:t>
      </w:r>
      <w:r w:rsidRPr="007365BC">
        <w:rPr>
          <w:rFonts w:ascii="Times New Roman" w:hAnsi="Times New Roman" w:cs="Times New Roman"/>
          <w:b/>
          <w:bCs/>
          <w:sz w:val="28"/>
          <w:szCs w:val="28"/>
        </w:rPr>
        <w:t>валовой региональный</w:t>
      </w:r>
      <w:r w:rsidRPr="007365BC">
        <w:rPr>
          <w:rFonts w:ascii="Times New Roman" w:hAnsi="Times New Roman" w:cs="Times New Roman"/>
          <w:sz w:val="28"/>
          <w:szCs w:val="28"/>
        </w:rPr>
        <w:t xml:space="preserve"> </w:t>
      </w:r>
      <w:r w:rsidRPr="007365BC">
        <w:rPr>
          <w:rFonts w:ascii="Times New Roman" w:hAnsi="Times New Roman" w:cs="Times New Roman"/>
          <w:b/>
          <w:bCs/>
          <w:sz w:val="28"/>
          <w:szCs w:val="28"/>
        </w:rPr>
        <w:t xml:space="preserve">продукт (ВРП). </w:t>
      </w:r>
      <w:r w:rsidRPr="007365BC">
        <w:rPr>
          <w:rFonts w:ascii="Times New Roman" w:hAnsi="Times New Roman" w:cs="Times New Roman"/>
          <w:sz w:val="28"/>
          <w:szCs w:val="28"/>
        </w:rPr>
        <w:t>Он определяется как сумма валовой добавленной стоимости, произведенной за отчетный период институционными единицами - резидентами региональной экономики. При этом методология расчета валовой добавленной стоимости в большинстве случаев идентична применяемой на федеральном уровне. Валовая добавленная стоимость представляет собой разницу между стоимостью произведенных в отчетном периоде товаров и услуг (выпуском) и стоимостью товаров и услуг, потребленных в процессе производства за тот же период времени (промежуточным потреблением).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Единство методологии исчисления ВРП дает возможность проведения межрегиональных сопоставлений и определения рейтинга регионов по данному показателю.</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Величина ВРП является объективным индикатором вклада каждого региона - субъекта Федерации в развитие экономики страны. В настоящее время суммарный ВРП составляет около 90% ВВП России (по данным за 1998 г. было 89,1% ). Различие между указанными показателями обусловлено тем, что отдельные элементы ВВП, исчисленного на федеральном уровне, не могут быть рассчитаны для отдельных регионов или распределены между ними. (Структура ВВП по федеральным округам приведена в табл. 1). К числу указанных элементов относится валовая добавленная стоимость: нерыночных коллективных услуг, оказываемых государственными учреждениями обществу в целом (например, национальная оборона и государственное управление); услуг финансовых посредников, деятельность которых не ограничивается рамками отдельного субъекта Федерации; услуг внешней торговли и других услуг (как рыночных, так и нерыночных), информация по которым отсутствует на региональном уровне. ВВП и ВРП в рыночных ценах отличаются также на величину налогов на экспорт и импорт, поскольку специфика учета данных видов налогообложения в настоящий момент не позволяет полностью распределить их между отдельными регионами</w:t>
      </w:r>
      <w:r w:rsidRPr="007365BC">
        <w:rPr>
          <w:rStyle w:val="a5"/>
          <w:rFonts w:ascii="Times New Roman" w:hAnsi="Times New Roman" w:cs="Times New Roman"/>
          <w:sz w:val="28"/>
          <w:szCs w:val="28"/>
        </w:rPr>
        <w:footnoteReference w:id="6"/>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Структурные составляющие ВРП. </w:t>
      </w:r>
      <w:r w:rsidRPr="007365BC">
        <w:rPr>
          <w:rFonts w:ascii="Times New Roman" w:hAnsi="Times New Roman" w:cs="Times New Roman"/>
          <w:sz w:val="28"/>
          <w:szCs w:val="28"/>
        </w:rPr>
        <w:t>На уровне отдельных субъектов Российской Федерации исчисляется функциональная и отраслевая структура ВРП.</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Функциональная структура ВРП </w:t>
      </w:r>
      <w:r w:rsidRPr="007365BC">
        <w:rPr>
          <w:rFonts w:ascii="Times New Roman" w:hAnsi="Times New Roman" w:cs="Times New Roman"/>
          <w:sz w:val="28"/>
          <w:szCs w:val="28"/>
        </w:rPr>
        <w:t>означает деление его на показатели, характеризующие его конечное использование. В частности, выделяются показатели «конечное потребление» и «валовые сбережения».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Полученная информация используется для выявления и регулирования пропорций между отдельными стадиями экономического цикла (производством и использованием ВРП) как внутри отдельных регионов, так и в общегосударственном масштабе. Разрабатывается методология построения счета образования первичных доходов на региональном уровне. Но на практике достижение сбалансированности между производством и использованием ВРП на уровне отдельных регионов является чрезвычайно трудной задачей. Проблема заключается в том, что степень межрегионального экономического взаимодействия является очень высокой, и значительная часть материальных и финансовых ресурсов субъектов Федерации формируется за счет обмена с другими территориями страны. Поэтому в ближайшем будущем показатель произведенного ВРП будет по-прежнему являться основным индикатором регионального экономического развития.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Отраслевая структура ВРП </w:t>
      </w:r>
      <w:r w:rsidRPr="007365BC">
        <w:rPr>
          <w:rFonts w:ascii="Times New Roman" w:hAnsi="Times New Roman" w:cs="Times New Roman"/>
          <w:sz w:val="28"/>
          <w:szCs w:val="28"/>
        </w:rPr>
        <w:t>означает деление его на показатели, характеризующие процесс формирования по отраслям народного хозяйства</w:t>
      </w:r>
      <w:r w:rsidRPr="007365BC">
        <w:rPr>
          <w:rStyle w:val="a5"/>
          <w:rFonts w:ascii="Times New Roman" w:hAnsi="Times New Roman" w:cs="Times New Roman"/>
          <w:sz w:val="28"/>
          <w:szCs w:val="28"/>
        </w:rPr>
        <w:footnoteReference w:id="7"/>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Расчет ВРП в регионах России осуществляется в годовом, квартальном и месячном разрезе. Принципиальная схема расчетов во всех трех случаях является единой. Однако помесячное исчисление ВРП носит оперативный характер и по причине отсутствия детальной информации об объеме валовой добавленной стоимости по ряду отраслей экономики проводится с использованием большого количества экспертных оценок и косвенных расчетов.</w:t>
      </w:r>
    </w:p>
    <w:p w:rsidR="00924E30" w:rsidRPr="007365BC" w:rsidRDefault="00924E30" w:rsidP="00924E30">
      <w:pPr>
        <w:autoSpaceDE w:val="0"/>
        <w:autoSpaceDN w:val="0"/>
        <w:adjustRightInd w:val="0"/>
        <w:spacing w:after="0" w:line="360" w:lineRule="auto"/>
        <w:ind w:firstLine="709"/>
        <w:jc w:val="both"/>
        <w:rPr>
          <w:rFonts w:ascii="Times New Roman" w:hAnsi="Times New Roman" w:cs="Times New Roman"/>
          <w:b/>
          <w:bCs/>
          <w:sz w:val="28"/>
          <w:szCs w:val="28"/>
        </w:rPr>
      </w:pPr>
    </w:p>
    <w:p w:rsidR="00B92C93" w:rsidRPr="007365BC" w:rsidRDefault="00924E30"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br w:type="page"/>
      </w:r>
      <w:r w:rsidR="00B92C93" w:rsidRPr="007365BC">
        <w:rPr>
          <w:rFonts w:ascii="Times New Roman" w:hAnsi="Times New Roman" w:cs="Times New Roman"/>
          <w:b/>
          <w:bCs/>
          <w:sz w:val="28"/>
          <w:szCs w:val="28"/>
        </w:rPr>
        <w:t>Табл. 1. Структура ВВП по федеральным округам</w:t>
      </w:r>
      <w:r w:rsidR="00B92C93" w:rsidRPr="007365BC">
        <w:rPr>
          <w:rStyle w:val="a5"/>
          <w:rFonts w:ascii="Times New Roman" w:hAnsi="Times New Roman" w:cs="Times New Roman"/>
          <w:sz w:val="28"/>
          <w:szCs w:val="28"/>
        </w:rPr>
        <w:footnoteReference w:id="8"/>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82"/>
        <w:gridCol w:w="916"/>
        <w:gridCol w:w="916"/>
      </w:tblGrid>
      <w:tr w:rsidR="00B92C93" w:rsidRPr="007365BC" w:rsidTr="007365BC">
        <w:trPr>
          <w:trHeight w:val="320"/>
          <w:jc w:val="center"/>
        </w:trPr>
        <w:tc>
          <w:tcPr>
            <w:tcW w:w="0" w:type="auto"/>
            <w:vMerge w:val="restar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p>
        </w:tc>
        <w:tc>
          <w:tcPr>
            <w:tcW w:w="0" w:type="auto"/>
            <w:gridSpan w:val="2"/>
            <w:tcBorders>
              <w:bottom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b/>
                <w:bCs/>
                <w:sz w:val="20"/>
                <w:szCs w:val="20"/>
              </w:rPr>
              <w:t>Млрд руб.</w:t>
            </w:r>
          </w:p>
        </w:tc>
      </w:tr>
      <w:tr w:rsidR="00B92C93" w:rsidRPr="007365BC" w:rsidTr="007365BC">
        <w:trPr>
          <w:trHeight w:val="70"/>
          <w:jc w:val="center"/>
        </w:trPr>
        <w:tc>
          <w:tcPr>
            <w:tcW w:w="0" w:type="auto"/>
            <w:vMerge/>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p>
        </w:tc>
        <w:tc>
          <w:tcPr>
            <w:tcW w:w="0" w:type="auto"/>
            <w:tcBorders>
              <w:top w:val="single" w:sz="4" w:space="0" w:color="auto"/>
              <w:righ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lang w:val="en-US"/>
              </w:rPr>
            </w:pPr>
            <w:r w:rsidRPr="007365BC">
              <w:rPr>
                <w:rFonts w:ascii="Times New Roman" w:hAnsi="Times New Roman" w:cs="Times New Roman"/>
                <w:b/>
                <w:bCs/>
                <w:sz w:val="20"/>
                <w:szCs w:val="20"/>
                <w:lang w:val="en-US"/>
              </w:rPr>
              <w:t>2005</w:t>
            </w:r>
          </w:p>
        </w:tc>
        <w:tc>
          <w:tcPr>
            <w:tcW w:w="0" w:type="auto"/>
            <w:tcBorders>
              <w:top w:val="single" w:sz="4" w:space="0" w:color="auto"/>
              <w:lef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lang w:val="en-US"/>
              </w:rPr>
            </w:pPr>
            <w:r w:rsidRPr="007365BC">
              <w:rPr>
                <w:rFonts w:ascii="Times New Roman" w:hAnsi="Times New Roman" w:cs="Times New Roman"/>
                <w:b/>
                <w:bCs/>
                <w:sz w:val="20"/>
                <w:szCs w:val="20"/>
                <w:lang w:val="en-US"/>
              </w:rPr>
              <w:t>2006</w:t>
            </w:r>
          </w:p>
        </w:tc>
      </w:tr>
      <w:tr w:rsidR="00B92C93" w:rsidRPr="007365BC" w:rsidTr="007365BC">
        <w:trPr>
          <w:jc w:val="center"/>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ВВП по Российской Федерации - всего</w:t>
            </w:r>
          </w:p>
        </w:tc>
        <w:tc>
          <w:tcPr>
            <w:tcW w:w="0" w:type="auto"/>
            <w:tcBorders>
              <w:right w:val="single" w:sz="4" w:space="0" w:color="auto"/>
            </w:tcBorders>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21</w:t>
            </w:r>
            <w:r w:rsidR="00924E30" w:rsidRPr="007365BC">
              <w:rPr>
                <w:sz w:val="20"/>
                <w:szCs w:val="20"/>
              </w:rPr>
              <w:t xml:space="preserve"> </w:t>
            </w:r>
            <w:r w:rsidRPr="007365BC">
              <w:rPr>
                <w:sz w:val="20"/>
                <w:szCs w:val="20"/>
              </w:rPr>
              <w:t>625,4</w:t>
            </w:r>
          </w:p>
        </w:tc>
        <w:tc>
          <w:tcPr>
            <w:tcW w:w="0" w:type="auto"/>
            <w:tcBorders>
              <w:left w:val="single" w:sz="4" w:space="0" w:color="auto"/>
            </w:tcBorders>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26</w:t>
            </w:r>
            <w:r w:rsidR="00924E30" w:rsidRPr="007365BC">
              <w:rPr>
                <w:sz w:val="20"/>
                <w:szCs w:val="20"/>
              </w:rPr>
              <w:t xml:space="preserve"> </w:t>
            </w:r>
            <w:r w:rsidRPr="007365BC">
              <w:rPr>
                <w:sz w:val="20"/>
                <w:szCs w:val="20"/>
              </w:rPr>
              <w:t>879,8</w:t>
            </w:r>
          </w:p>
        </w:tc>
      </w:tr>
      <w:tr w:rsidR="00B92C93" w:rsidRPr="007365BC" w:rsidTr="007365BC">
        <w:trPr>
          <w:jc w:val="center"/>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ВРП (валовая добавленная стоимость) по субъектам Российской Федерации:</w:t>
            </w:r>
          </w:p>
        </w:tc>
        <w:tc>
          <w:tcPr>
            <w:tcW w:w="0" w:type="auto"/>
            <w:tcBorders>
              <w:righ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18</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034,4</w:t>
            </w:r>
          </w:p>
        </w:tc>
        <w:tc>
          <w:tcPr>
            <w:tcW w:w="0" w:type="auto"/>
            <w:tcBorders>
              <w:lef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22</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292,4</w:t>
            </w:r>
          </w:p>
        </w:tc>
      </w:tr>
      <w:tr w:rsidR="00B92C93" w:rsidRPr="007365BC" w:rsidTr="007365BC">
        <w:trPr>
          <w:jc w:val="center"/>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 Центральный федеральный округ</w:t>
            </w:r>
          </w:p>
        </w:tc>
        <w:tc>
          <w:tcPr>
            <w:tcW w:w="0" w:type="auto"/>
            <w:tcBorders>
              <w:righ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6</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278,4</w:t>
            </w:r>
          </w:p>
        </w:tc>
        <w:tc>
          <w:tcPr>
            <w:tcW w:w="0" w:type="auto"/>
            <w:tcBorders>
              <w:lef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7</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849,6</w:t>
            </w:r>
          </w:p>
        </w:tc>
      </w:tr>
      <w:tr w:rsidR="00B92C93" w:rsidRPr="007365BC" w:rsidTr="007365BC">
        <w:trPr>
          <w:jc w:val="center"/>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 Северо-Западный федеральный округ</w:t>
            </w:r>
          </w:p>
        </w:tc>
        <w:tc>
          <w:tcPr>
            <w:tcW w:w="0" w:type="auto"/>
            <w:tcBorders>
              <w:righ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799,8</w:t>
            </w:r>
          </w:p>
        </w:tc>
        <w:tc>
          <w:tcPr>
            <w:tcW w:w="0" w:type="auto"/>
            <w:tcBorders>
              <w:lef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168,4</w:t>
            </w:r>
          </w:p>
        </w:tc>
      </w:tr>
      <w:tr w:rsidR="00B92C93" w:rsidRPr="007365BC" w:rsidTr="007365BC">
        <w:trPr>
          <w:jc w:val="center"/>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 Южный федеральный округ</w:t>
            </w:r>
          </w:p>
        </w:tc>
        <w:tc>
          <w:tcPr>
            <w:tcW w:w="0" w:type="auto"/>
            <w:tcBorders>
              <w:righ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288,1</w:t>
            </w:r>
          </w:p>
        </w:tc>
        <w:tc>
          <w:tcPr>
            <w:tcW w:w="0" w:type="auto"/>
            <w:tcBorders>
              <w:lef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611,0</w:t>
            </w:r>
          </w:p>
        </w:tc>
      </w:tr>
      <w:tr w:rsidR="00B92C93" w:rsidRPr="007365BC" w:rsidTr="007365BC">
        <w:trPr>
          <w:jc w:val="center"/>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 Приволжский федеральный округ</w:t>
            </w:r>
          </w:p>
        </w:tc>
        <w:tc>
          <w:tcPr>
            <w:tcW w:w="0" w:type="auto"/>
            <w:tcBorders>
              <w:righ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799,0</w:t>
            </w:r>
          </w:p>
        </w:tc>
        <w:tc>
          <w:tcPr>
            <w:tcW w:w="0" w:type="auto"/>
            <w:tcBorders>
              <w:lef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519,0</w:t>
            </w:r>
          </w:p>
        </w:tc>
      </w:tr>
      <w:tr w:rsidR="00B92C93" w:rsidRPr="007365BC" w:rsidTr="007365BC">
        <w:trPr>
          <w:jc w:val="center"/>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5. Уральский федеральный округ</w:t>
            </w:r>
          </w:p>
        </w:tc>
        <w:tc>
          <w:tcPr>
            <w:tcW w:w="0" w:type="auto"/>
            <w:tcBorders>
              <w:righ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091,3</w:t>
            </w:r>
          </w:p>
        </w:tc>
        <w:tc>
          <w:tcPr>
            <w:tcW w:w="0" w:type="auto"/>
            <w:tcBorders>
              <w:lef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772,7</w:t>
            </w:r>
          </w:p>
        </w:tc>
      </w:tr>
      <w:tr w:rsidR="00B92C93" w:rsidRPr="007365BC" w:rsidTr="007365BC">
        <w:trPr>
          <w:jc w:val="center"/>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6. Сибирский федеральный округ</w:t>
            </w:r>
          </w:p>
        </w:tc>
        <w:tc>
          <w:tcPr>
            <w:tcW w:w="0" w:type="auto"/>
            <w:tcBorders>
              <w:righ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951,3</w:t>
            </w:r>
          </w:p>
        </w:tc>
        <w:tc>
          <w:tcPr>
            <w:tcW w:w="0" w:type="auto"/>
            <w:tcBorders>
              <w:lef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390,6</w:t>
            </w:r>
          </w:p>
        </w:tc>
      </w:tr>
      <w:tr w:rsidR="00B92C93" w:rsidRPr="007365BC" w:rsidTr="007365BC">
        <w:trPr>
          <w:jc w:val="center"/>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7. Дальневосточный федеральный округ</w:t>
            </w:r>
          </w:p>
        </w:tc>
        <w:tc>
          <w:tcPr>
            <w:tcW w:w="0" w:type="auto"/>
            <w:tcBorders>
              <w:righ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826,4</w:t>
            </w:r>
          </w:p>
        </w:tc>
        <w:tc>
          <w:tcPr>
            <w:tcW w:w="0" w:type="auto"/>
            <w:tcBorders>
              <w:left w:val="single" w:sz="4" w:space="0" w:color="auto"/>
            </w:tcBorders>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980,9</w:t>
            </w:r>
          </w:p>
        </w:tc>
      </w:tr>
    </w:tbl>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Для отражения внешнеэкономических связей региона </w:t>
      </w:r>
      <w:r w:rsidRPr="007365BC">
        <w:rPr>
          <w:rFonts w:ascii="Times New Roman" w:hAnsi="Times New Roman" w:cs="Times New Roman"/>
          <w:sz w:val="28"/>
          <w:szCs w:val="28"/>
        </w:rPr>
        <w:t>используются две группы индикаторов.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1. Показатели по обмену продукцией в натуральном и стоимостном выражении. Размер ввоза и вывоза продукции</w:t>
      </w:r>
      <w:r w:rsidRPr="007365BC">
        <w:rPr>
          <w:rStyle w:val="a5"/>
          <w:rFonts w:ascii="Times New Roman" w:hAnsi="Times New Roman" w:cs="Times New Roman"/>
          <w:sz w:val="28"/>
          <w:szCs w:val="28"/>
        </w:rPr>
        <w:footnoteReference w:id="9"/>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2. Показатели, характеризующие финансовые связи региона как с федеральным бюджетом, так и с другими регионами страны и с зарубежьем.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Специализация региона </w:t>
      </w:r>
      <w:r w:rsidRPr="007365BC">
        <w:rPr>
          <w:rFonts w:ascii="Times New Roman" w:hAnsi="Times New Roman" w:cs="Times New Roman"/>
          <w:sz w:val="28"/>
          <w:szCs w:val="28"/>
        </w:rPr>
        <w:t>означает преимущественное развитие производства тех или иных видов продукции или выполнение определенных функций с учетом наиболее эффективного использования благоприятных экономических условий данного района в целях получения абсолютных и сравнительных преимуществ. Специализация региона в экономике страны определяется путем исчисления удельного веса той или иной отрасли региона в соответствующей отрасли народного хозяйства страны. Расчет ведется по общему объему выпуска продукции, численности занятых и стоимости капитала. Другим показателем специализации региона является отношение производства продукции или стоимости основных фондов в расчете на одного жителя региона к аналогичной величине по стране.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Экономические районы </w:t>
      </w:r>
      <w:r w:rsidRPr="007365BC">
        <w:rPr>
          <w:rFonts w:ascii="Times New Roman" w:hAnsi="Times New Roman" w:cs="Times New Roman"/>
          <w:sz w:val="28"/>
          <w:szCs w:val="28"/>
        </w:rPr>
        <w:t>- это крупные части территории страны, исторически сложившиеся в процессе территориального разделения труда, отличающиеся своеобразием экономико-географического положения, природных экономических условий, специализацией и комплексностью хозяйства, определяющими его эффективность.</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Сетка и состав крупных экономических районов СССР впервые были утверждены в 1961 г. и затем уточнялись в 1963, 1966 и 1982 гг. Действующая до распада Советского Союза сетка включала II экономических районов на территории РСФСР: Северо-Западный, Северный (с 1982г.), Центральный, Центрально-Черноземный, Волго-Вятский, Поволжский, Северо-Кавказский, Уральский, Западно-Сибирский, Восточно-Сибирский, Дальневосточный.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настоящее время для характеристики территориальной структуры используется понятие федеральных округов. В целях межрегионального сопоставления необходимо проводить исследование состояния регионов страны по отдельным, наиболее важным показателям, таким, как: объем ВРП на душу населения, численность населения, объем промышленной продукции на одного занятого, производительность труда занятых в целом по экономике региона и по отдельным секторам. Для этого строятся кривые Лоренца, показывающие степень отклонения того или иного региона от нормального уровня.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Анализ экономики страны по крупным экономическим районам позволяет определять основные территориальные пропорции и рациональные направления в размещении отраслей и предприятий.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Главными задачами в исследовании крупных экономических регионов являются: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1) поиск вариантов использования сравнительных преимуществ их хозяйства в целях повышения эффективности экономики страны;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2) усиление комплексности развития регионов, особенно взаимоувязанного роста производства и социальной инфраструктуры, с целью повышения эффективности хозяйства и уровня жизни населения;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3) поиск путей рационального размещения производительных сил по территории региона и формирование внутрирегиональных ТПК;</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4) упорядочение межрайонных транспортно-экономических связей.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Для акцентирования внимания на проблемах освоения новых территорий важное значение имеет выделение понятия «пионерная территория».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Пионерная территория </w:t>
      </w:r>
      <w:r w:rsidRPr="007365BC">
        <w:rPr>
          <w:rFonts w:ascii="Times New Roman" w:hAnsi="Times New Roman" w:cs="Times New Roman"/>
          <w:sz w:val="28"/>
          <w:szCs w:val="28"/>
        </w:rPr>
        <w:t>- это регион (или совокупность регионов) слабоочагового социально-экономического развития. Необходимость освоения пионерных территорий в условиях России связана с наличием в них больших запасов полезных ископаемых, леса, водных ресурсов и т.д</w:t>
      </w:r>
      <w:r w:rsidRPr="007365BC">
        <w:rPr>
          <w:rStyle w:val="a5"/>
          <w:rFonts w:ascii="Times New Roman" w:hAnsi="Times New Roman" w:cs="Times New Roman"/>
          <w:sz w:val="28"/>
          <w:szCs w:val="28"/>
        </w:rPr>
        <w:footnoteReference w:id="10"/>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Для подавляющего большинства пионерных территорий характерны отсутствие необходимого количества населения (в особенности это касается женщин; испытывается также нехватка специалистов), слабость инфраструктурного обслуживания, тяжелые бытовые условия. В силу этого, а также ряда других факторов освоение экономического потенциала указанных территорий осуществляется в виде выборочного, мелкоочагового развития производства, в основном вахтовым методом.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Пионерные территории (по крайней мере, в первый период своего освоения) не выделяются в самостоятельные административно-территориальные образования, а включаются в состав ближайших соседних территориальных структур. До формирования собственных органов власти территориальные органы регионов, в состав которых включаются пионерные территории, осуществляют в них всю полноту законодательной (представительной), исполнительной и судебной власти.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Применение понятий и показателей комплексного развития экономики регионов страны позволит использовать ограниченные производственные, трудовые и природные ресурсы в целях повышения уровня и качества жизни народа.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Рассмотрим теперь специфические особенности экономики отдельных регионов страны в разрезе федеральных округов.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i/>
          <w:iCs/>
          <w:sz w:val="28"/>
          <w:szCs w:val="28"/>
        </w:rPr>
      </w:pPr>
      <w:r w:rsidRPr="007365BC">
        <w:rPr>
          <w:rFonts w:ascii="Times New Roman" w:hAnsi="Times New Roman" w:cs="Times New Roman"/>
          <w:b/>
          <w:bCs/>
          <w:i/>
          <w:iCs/>
          <w:sz w:val="28"/>
          <w:szCs w:val="28"/>
        </w:rPr>
        <w:t>1.4. Особенности экономики отдельных</w:t>
      </w:r>
      <w:r w:rsidR="00924E30" w:rsidRPr="007365BC">
        <w:rPr>
          <w:rFonts w:ascii="Times New Roman" w:hAnsi="Times New Roman" w:cs="Times New Roman"/>
          <w:b/>
          <w:bCs/>
          <w:i/>
          <w:iCs/>
          <w:sz w:val="28"/>
          <w:szCs w:val="28"/>
        </w:rPr>
        <w:t xml:space="preserve"> </w:t>
      </w:r>
      <w:r w:rsidRPr="007365BC">
        <w:rPr>
          <w:rFonts w:ascii="Times New Roman" w:hAnsi="Times New Roman" w:cs="Times New Roman"/>
          <w:b/>
          <w:bCs/>
          <w:i/>
          <w:iCs/>
          <w:sz w:val="28"/>
          <w:szCs w:val="28"/>
        </w:rPr>
        <w:t>регионов России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Для Российской Федерации характерно большое разнообразие в условиях жизни и деятельности населения по федеральным округам.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 xml:space="preserve">Это касается природно-климатических условий, степени транспортной доступности, наличия природных полезных ископаемых, плотности населения, уровня жизни и душевых доходов </w:t>
      </w:r>
      <w:r w:rsidRPr="007365BC">
        <w:rPr>
          <w:rFonts w:ascii="Times New Roman" w:hAnsi="Times New Roman" w:cs="Times New Roman"/>
          <w:i/>
          <w:iCs/>
          <w:sz w:val="28"/>
          <w:szCs w:val="28"/>
        </w:rPr>
        <w:t>(табл. 2)</w:t>
      </w:r>
      <w:r w:rsidRPr="007365BC">
        <w:rPr>
          <w:rStyle w:val="a5"/>
          <w:rFonts w:ascii="Times New Roman" w:hAnsi="Times New Roman" w:cs="Times New Roman"/>
          <w:sz w:val="28"/>
          <w:szCs w:val="28"/>
        </w:rPr>
        <w:footnoteReference w:id="11"/>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Здесь и далее в таблицах приняты сокращения: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ЦФО - Центральный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СЗФО - Северо-Западный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ЮФО - Южный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ПФО - Приволжский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УФО - Уральский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СФО - Сибирский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ДВФО - Дальневосточный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r w:rsidRPr="007365BC">
        <w:rPr>
          <w:rFonts w:ascii="Times New Roman" w:hAnsi="Times New Roman" w:cs="Times New Roman"/>
          <w:b/>
          <w:bCs/>
          <w:sz w:val="28"/>
          <w:szCs w:val="28"/>
        </w:rPr>
        <w:t>Табл. 2. Общие показатели состояния регионов Российской Федерации в 2000г</w:t>
      </w:r>
      <w:r w:rsidRPr="007365BC">
        <w:rPr>
          <w:rStyle w:val="a5"/>
          <w:rFonts w:ascii="Times New Roman" w:hAnsi="Times New Roman" w:cs="Times New Roman"/>
          <w:b/>
          <w:bCs/>
          <w:sz w:val="28"/>
          <w:szCs w:val="28"/>
        </w:rPr>
        <w:footnoteReference w:id="12"/>
      </w:r>
      <w:r w:rsidRPr="007365BC">
        <w:rPr>
          <w:rFonts w:ascii="Times New Roman" w:hAnsi="Times New Roman" w:cs="Times New Roman"/>
          <w:b/>
          <w:bCs/>
          <w:sz w:val="28"/>
          <w:szCs w:val="28"/>
        </w:rPr>
        <w:t>.</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99"/>
        <w:gridCol w:w="699"/>
        <w:gridCol w:w="794"/>
        <w:gridCol w:w="769"/>
        <w:gridCol w:w="699"/>
        <w:gridCol w:w="691"/>
        <w:gridCol w:w="688"/>
        <w:gridCol w:w="815"/>
        <w:gridCol w:w="716"/>
      </w:tblGrid>
      <w:tr w:rsidR="00B92C93" w:rsidRPr="007365BC" w:rsidTr="00924E30">
        <w:trPr>
          <w:trHeight w:val="70"/>
        </w:trPr>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ЦФО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СЗФО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ЮФО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ПФО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УФО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СФО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ДВФО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РФ</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Территория, тыс. кв. км</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651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1678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589</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1038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1790</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5115</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6216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17077</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Плотность населения, чел. на 1 кв. км</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56,5</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8,6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36,5</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30,7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7,0</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4,0</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8,5</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Численность населения (на конец года), млн человек</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36,7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14,4</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21,5</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31,8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12,6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20,7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7,1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144,8</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Доля городского населения, %</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79,1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81,9</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57,2</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70,7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79,4</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70,0</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76,1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72,9</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 xml:space="preserve">Доля сельского населения, </w:t>
            </w:r>
            <w:r w:rsidRPr="007365BC">
              <w:rPr>
                <w:rFonts w:ascii="Times New Roman" w:hAnsi="Times New Roman" w:cs="Times New Roman"/>
                <w:i/>
                <w:iCs/>
                <w:sz w:val="20"/>
                <w:szCs w:val="20"/>
              </w:rPr>
              <w:t>%</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20,9</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18,1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42,8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29,3</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20,6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30,0</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23,9</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27,1</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Доля населения в трудоспособном возрасте к общей численности, %</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58,8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51,8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57,7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59,7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61,9</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61,4</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64,8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60,1</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Среднегодовая численность занятых, млн человек</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17,5</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6,6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8,2</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14,2</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5,8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8,8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3,2</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64,3</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Уровень безработицы (в % от экономически активного населения)</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7,8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9,6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15,1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9,5</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9,8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12,6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12,4</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sz w:val="20"/>
                <w:szCs w:val="20"/>
              </w:rPr>
              <w:t>10,5</w:t>
            </w:r>
          </w:p>
        </w:tc>
      </w:tr>
    </w:tbl>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Так, размер территории округов имеет порядковое колебание: от 0,5 млн кв. км в ЮФО и ЦФО до 5-6 млн кв. км в СФО и ДВФО.</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Плотность населения колеблется еще более сильно: от 56,5 человека на 1 кв. км до 1 человека на 1 кв. км.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 xml:space="preserve">Велики различия в инфраструктурном обеспечении производственной деятельности и жизнедеятельности людей </w:t>
      </w:r>
      <w:r w:rsidRPr="007365BC">
        <w:rPr>
          <w:rFonts w:ascii="Times New Roman" w:hAnsi="Times New Roman" w:cs="Times New Roman"/>
          <w:i/>
          <w:iCs/>
          <w:sz w:val="28"/>
          <w:szCs w:val="28"/>
        </w:rPr>
        <w:t>(табл. 3).</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 xml:space="preserve">Различны также условия трудовой деятельности и оплаты труда по регионам страны, что видно из </w:t>
      </w:r>
      <w:r w:rsidRPr="007365BC">
        <w:rPr>
          <w:rFonts w:ascii="Times New Roman" w:hAnsi="Times New Roman" w:cs="Times New Roman"/>
          <w:i/>
          <w:iCs/>
          <w:sz w:val="28"/>
          <w:szCs w:val="28"/>
        </w:rPr>
        <w:t>табл. 4.</w:t>
      </w:r>
      <w:r w:rsidRPr="007365BC">
        <w:rPr>
          <w:rFonts w:ascii="Times New Roman" w:hAnsi="Times New Roman" w:cs="Times New Roman"/>
          <w:sz w:val="28"/>
          <w:szCs w:val="28"/>
        </w:rPr>
        <w:t xml:space="preserve"> Эти различия порождают разницу в объеме произведенного ВРП и его структуре </w:t>
      </w:r>
      <w:r w:rsidRPr="007365BC">
        <w:rPr>
          <w:rFonts w:ascii="Times New Roman" w:hAnsi="Times New Roman" w:cs="Times New Roman"/>
          <w:i/>
          <w:iCs/>
          <w:sz w:val="28"/>
          <w:szCs w:val="28"/>
        </w:rPr>
        <w:t>(табл. 5).</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Обращает внимание относительно высокая доля отраслей, производящих услуги в ЦФО (53,9%), а также доля отраслей, производящих здесь деловые услуги (11,8%).</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Существенны различия в степени участия округов и субъектов Федерации в экспорте современных технологий и способности усвоения новейших технологий мира. Если доля соглашений по экспорту современных технологий из РФ с ЦФО составляет 42,5% (по стоимости предмета соглашения свыше 80%) от уровня по России, то доля ДВФО составляет меньше 1 %. Вместе с тем можно отметить факт заключения большого числа соглашений с относительно небольшим объемом стоимости, что характерно для СЗФО и УФО. Степень фактической реализации заключенных соглашений также невысока. В целом по РФ она составляет около 20%.</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Весьма пестрая картина и по импорту новых технологий, хотя число соглашений и стоимость предмета соглашений распределены более равномерно по федеральным округам страны. Доля Центрального региона - только 34,3% по числу соглашений и 26,1% по стоимостному объему соглашений. Степень реализации соглашений по стоимости импорта новых технологий более благоприятна - свыше 40%</w:t>
      </w:r>
      <w:r w:rsidRPr="007365BC">
        <w:rPr>
          <w:rStyle w:val="a5"/>
          <w:rFonts w:ascii="Times New Roman" w:hAnsi="Times New Roman" w:cs="Times New Roman"/>
          <w:sz w:val="28"/>
          <w:szCs w:val="28"/>
        </w:rPr>
        <w:footnoteReference w:id="13"/>
      </w:r>
      <w:r w:rsidRPr="007365BC">
        <w:rPr>
          <w:rFonts w:ascii="Times New Roman" w:hAnsi="Times New Roman" w:cs="Times New Roman"/>
          <w:sz w:val="28"/>
          <w:szCs w:val="28"/>
        </w:rPr>
        <w:t>.</w:t>
      </w:r>
    </w:p>
    <w:p w:rsidR="00924E30" w:rsidRPr="007365BC" w:rsidRDefault="00924E30" w:rsidP="00924E30">
      <w:pPr>
        <w:autoSpaceDE w:val="0"/>
        <w:autoSpaceDN w:val="0"/>
        <w:adjustRightInd w:val="0"/>
        <w:spacing w:after="0" w:line="360" w:lineRule="auto"/>
        <w:ind w:firstLine="709"/>
        <w:jc w:val="both"/>
        <w:rPr>
          <w:rFonts w:ascii="Times New Roman" w:hAnsi="Times New Roman" w:cs="Times New Roman"/>
          <w:b/>
          <w:bCs/>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r w:rsidRPr="007365BC">
        <w:rPr>
          <w:rFonts w:ascii="Times New Roman" w:hAnsi="Times New Roman" w:cs="Times New Roman"/>
          <w:b/>
          <w:bCs/>
          <w:sz w:val="28"/>
          <w:szCs w:val="28"/>
        </w:rPr>
        <w:t>Таблица 3 Инфраструктурная обеспеченность общественного производства в РФ в 2006г</w:t>
      </w:r>
      <w:r w:rsidRPr="007365BC">
        <w:rPr>
          <w:rStyle w:val="a5"/>
          <w:rFonts w:ascii="Times New Roman" w:hAnsi="Times New Roman" w:cs="Times New Roman"/>
          <w:b/>
          <w:bCs/>
          <w:sz w:val="28"/>
          <w:szCs w:val="28"/>
        </w:rPr>
        <w:footnoteReference w:id="14"/>
      </w:r>
      <w:r w:rsidRPr="007365BC">
        <w:rPr>
          <w:rFonts w:ascii="Times New Roman" w:hAnsi="Times New Roman" w:cs="Times New Roman"/>
          <w:b/>
          <w:bCs/>
          <w:sz w:val="28"/>
          <w:szCs w:val="28"/>
        </w:rPr>
        <w:t>.</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49"/>
        <w:gridCol w:w="699"/>
        <w:gridCol w:w="794"/>
        <w:gridCol w:w="769"/>
        <w:gridCol w:w="699"/>
        <w:gridCol w:w="691"/>
        <w:gridCol w:w="688"/>
        <w:gridCol w:w="815"/>
        <w:gridCol w:w="766"/>
      </w:tblGrid>
      <w:tr w:rsidR="00B92C93" w:rsidRPr="007365BC" w:rsidTr="00924E30">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b/>
                <w:bCs/>
                <w:sz w:val="20"/>
                <w:szCs w:val="20"/>
              </w:rPr>
              <w:t>ЦФО</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b/>
                <w:bCs/>
                <w:sz w:val="20"/>
                <w:szCs w:val="20"/>
              </w:rPr>
              <w:t>СЗФО</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b/>
                <w:bCs/>
                <w:sz w:val="20"/>
                <w:szCs w:val="20"/>
              </w:rPr>
              <w:t>ЮФО</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b/>
                <w:bCs/>
                <w:sz w:val="20"/>
                <w:szCs w:val="20"/>
              </w:rPr>
              <w:t>ПФО</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b/>
                <w:bCs/>
                <w:sz w:val="20"/>
                <w:szCs w:val="20"/>
              </w:rPr>
              <w:t>УФО</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b/>
                <w:bCs/>
                <w:sz w:val="20"/>
                <w:szCs w:val="20"/>
              </w:rPr>
              <w:t>СФО</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b/>
                <w:bCs/>
                <w:sz w:val="20"/>
                <w:szCs w:val="20"/>
              </w:rPr>
              <w:t>ДВФО</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b/>
                <w:bCs/>
                <w:sz w:val="20"/>
                <w:szCs w:val="20"/>
              </w:rPr>
              <w:t>РФ</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Эксплуатационная длина железнодорожных путей общего пользования (на конец года), тыс. км</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17,3</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12,9</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8,6</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15,0</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8,5</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15,0</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8,2</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85,3</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Плотность железных дорог, км на 10 тыс. кв. км</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266</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77</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147</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144</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48</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29</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13</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50</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Протяженность автомобильных дорог общего пользования с твердым покрытием, тыс. км</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120</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66,9</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62,9</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125,2</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34,3</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89,4</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34,0</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597</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Плотность автодорог, км на 1 тыс. кв. км</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184</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4</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3</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121</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5</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6</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7</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31</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Отправление грузов железнодорожным транспортом, млн т</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188,1</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143,0</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78,9</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144,6</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123,8</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318,5</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42,0</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1046,8</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Грузооборот автотранспорта, млрд т/км</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21,1</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12,9</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12,7</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26,4</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9,9</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13,7</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5,7</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5702,4</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Объем платных услуг населению, млрд руб.</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254,3</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58,5</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68,4</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85,1</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46,0</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67,1</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36,3</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615,7</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Объем платных услуг на душу населения, тыс. руб.</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6,9</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4,0</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3,2</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2,7</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3,6</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3,2</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5,1</w:t>
            </w:r>
          </w:p>
        </w:tc>
        <w:tc>
          <w:tcPr>
            <w:tcW w:w="0" w:type="auto"/>
          </w:tcPr>
          <w:p w:rsidR="00B92C93" w:rsidRPr="007365BC" w:rsidRDefault="00B92C93" w:rsidP="00924E30">
            <w:pPr>
              <w:autoSpaceDE w:val="0"/>
              <w:autoSpaceDN w:val="0"/>
              <w:adjustRightInd w:val="0"/>
              <w:spacing w:after="0" w:line="360" w:lineRule="auto"/>
              <w:rPr>
                <w:rFonts w:ascii="Times New Roman" w:hAnsi="Times New Roman" w:cs="Times New Roman"/>
                <w:sz w:val="20"/>
                <w:szCs w:val="20"/>
              </w:rPr>
            </w:pPr>
            <w:r w:rsidRPr="007365BC">
              <w:rPr>
                <w:rFonts w:ascii="Times New Roman" w:hAnsi="Times New Roman" w:cs="Times New Roman"/>
                <w:sz w:val="20"/>
                <w:szCs w:val="20"/>
              </w:rPr>
              <w:t>4,2</w:t>
            </w:r>
          </w:p>
        </w:tc>
      </w:tr>
    </w:tbl>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r w:rsidRPr="007365BC">
        <w:rPr>
          <w:rFonts w:ascii="Times New Roman" w:hAnsi="Times New Roman" w:cs="Times New Roman"/>
          <w:b/>
          <w:bCs/>
          <w:sz w:val="28"/>
          <w:szCs w:val="28"/>
        </w:rPr>
        <w:t>Таблица 4.</w:t>
      </w:r>
      <w:r w:rsidRPr="007365BC">
        <w:rPr>
          <w:rFonts w:ascii="Times New Roman" w:hAnsi="Times New Roman" w:cs="Times New Roman"/>
          <w:sz w:val="28"/>
          <w:szCs w:val="28"/>
        </w:rPr>
        <w:t xml:space="preserve"> </w:t>
      </w:r>
      <w:r w:rsidRPr="007365BC">
        <w:rPr>
          <w:rFonts w:ascii="Times New Roman" w:hAnsi="Times New Roman" w:cs="Times New Roman"/>
          <w:b/>
          <w:bCs/>
          <w:sz w:val="28"/>
          <w:szCs w:val="28"/>
        </w:rPr>
        <w:t>Доходы населения, оплата труда и стоимость минимального набора продуктов питания</w:t>
      </w:r>
      <w:r w:rsidRPr="007365BC">
        <w:rPr>
          <w:rFonts w:ascii="Times New Roman" w:hAnsi="Times New Roman" w:cs="Times New Roman"/>
          <w:sz w:val="28"/>
          <w:szCs w:val="28"/>
        </w:rPr>
        <w:t xml:space="preserve"> </w:t>
      </w:r>
      <w:r w:rsidRPr="007365BC">
        <w:rPr>
          <w:rFonts w:ascii="Times New Roman" w:hAnsi="Times New Roman" w:cs="Times New Roman"/>
          <w:b/>
          <w:bCs/>
          <w:sz w:val="28"/>
          <w:szCs w:val="28"/>
        </w:rPr>
        <w:t>по федеральным округам РФ в 2005 г</w:t>
      </w:r>
      <w:r w:rsidRPr="007365BC">
        <w:rPr>
          <w:rStyle w:val="a5"/>
          <w:rFonts w:ascii="Times New Roman" w:hAnsi="Times New Roman" w:cs="Times New Roman"/>
          <w:b/>
          <w:bCs/>
          <w:sz w:val="28"/>
          <w:szCs w:val="28"/>
        </w:rPr>
        <w:footnoteReference w:id="15"/>
      </w:r>
      <w:r w:rsidRPr="007365BC">
        <w:rPr>
          <w:rFonts w:ascii="Times New Roman" w:hAnsi="Times New Roman" w:cs="Times New Roman"/>
          <w:b/>
          <w:bCs/>
          <w:sz w:val="28"/>
          <w:szCs w:val="28"/>
        </w:rPr>
        <w:t>.</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11"/>
        <w:gridCol w:w="766"/>
        <w:gridCol w:w="794"/>
        <w:gridCol w:w="769"/>
        <w:gridCol w:w="766"/>
        <w:gridCol w:w="866"/>
        <w:gridCol w:w="766"/>
        <w:gridCol w:w="866"/>
        <w:gridCol w:w="766"/>
      </w:tblGrid>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b/>
                <w:bCs/>
                <w:sz w:val="20"/>
                <w:szCs w:val="20"/>
              </w:rPr>
              <w:t>ЦФО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b/>
                <w:bCs/>
                <w:sz w:val="20"/>
                <w:szCs w:val="20"/>
              </w:rPr>
              <w:t>СЗФО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b/>
                <w:bCs/>
                <w:sz w:val="20"/>
                <w:szCs w:val="20"/>
              </w:rPr>
              <w:t>ЮФО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b/>
                <w:bCs/>
                <w:sz w:val="20"/>
                <w:szCs w:val="20"/>
              </w:rPr>
              <w:t>ПФО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b/>
                <w:bCs/>
                <w:sz w:val="20"/>
                <w:szCs w:val="20"/>
              </w:rPr>
              <w:t>УФО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b/>
                <w:bCs/>
                <w:sz w:val="20"/>
                <w:szCs w:val="20"/>
              </w:rPr>
              <w:t>СФО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b/>
                <w:bCs/>
                <w:sz w:val="20"/>
                <w:szCs w:val="20"/>
              </w:rPr>
              <w:t>ДВФО</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b/>
                <w:bCs/>
                <w:sz w:val="20"/>
                <w:szCs w:val="20"/>
              </w:rPr>
              <w:t>РФ</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Среднедушевые денежные доходы (в месяц), руб.</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lang w:val="en-US"/>
              </w:rPr>
              <w:t>8169.1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lang w:val="en-US"/>
              </w:rPr>
              <w:t>8690.6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lang w:val="en-US"/>
              </w:rPr>
              <w:t>4997.9</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lang w:val="en-US"/>
              </w:rPr>
              <w:t>5698.7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lang w:val="en-US"/>
              </w:rPr>
              <w:t>10568.6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lang w:val="en-US"/>
              </w:rPr>
              <w:t>6986.1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lang w:val="en-US"/>
              </w:rPr>
              <w:t>9709.1</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lang w:val="en-US"/>
              </w:rPr>
              <w:t>7465.3</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Среднемесячная номинальная начисленная заработная плата, руб.</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9621.8</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9487.2</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5800.3</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6473.3</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11679.5</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8109.7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11507.9</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8554.9</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Средний размер назначенных пенсий, руб.</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2536.7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2828.4</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2324.5</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2414.3</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2662.9</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2540.7</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2985.6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2538.2</w:t>
            </w:r>
          </w:p>
        </w:tc>
      </w:tr>
      <w:tr w:rsidR="00B92C93" w:rsidRPr="007365BC" w:rsidTr="00924E30">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Величина прожиточного минимума на душу населения на конец года, руб.</w:t>
            </w:r>
          </w:p>
        </w:tc>
        <w:tc>
          <w:tcPr>
            <w:tcW w:w="0" w:type="auto"/>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2631</w:t>
            </w:r>
          </w:p>
        </w:tc>
        <w:tc>
          <w:tcPr>
            <w:tcW w:w="0" w:type="auto"/>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3295</w:t>
            </w:r>
          </w:p>
        </w:tc>
        <w:tc>
          <w:tcPr>
            <w:tcW w:w="0" w:type="auto"/>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2463</w:t>
            </w:r>
          </w:p>
        </w:tc>
        <w:tc>
          <w:tcPr>
            <w:tcW w:w="0" w:type="auto"/>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2569</w:t>
            </w:r>
          </w:p>
        </w:tc>
        <w:tc>
          <w:tcPr>
            <w:tcW w:w="0" w:type="auto"/>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3320</w:t>
            </w:r>
          </w:p>
        </w:tc>
        <w:tc>
          <w:tcPr>
            <w:tcW w:w="0" w:type="auto"/>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3266</w:t>
            </w:r>
          </w:p>
        </w:tc>
        <w:tc>
          <w:tcPr>
            <w:tcW w:w="0" w:type="auto"/>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4801</w:t>
            </w:r>
          </w:p>
        </w:tc>
        <w:tc>
          <w:tcPr>
            <w:tcW w:w="0" w:type="auto"/>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3192</w:t>
            </w:r>
          </w:p>
        </w:tc>
      </w:tr>
    </w:tbl>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r w:rsidRPr="007365BC">
        <w:rPr>
          <w:rFonts w:ascii="Times New Roman" w:hAnsi="Times New Roman" w:cs="Times New Roman"/>
          <w:b/>
          <w:bCs/>
          <w:sz w:val="28"/>
          <w:szCs w:val="28"/>
        </w:rPr>
        <w:t>Таблица 5 ВРП РФ и его отраслевая структура в 2006 г</w:t>
      </w:r>
      <w:r w:rsidRPr="007365BC">
        <w:rPr>
          <w:rStyle w:val="a5"/>
          <w:rFonts w:ascii="Times New Roman" w:hAnsi="Times New Roman" w:cs="Times New Roman"/>
          <w:b/>
          <w:bCs/>
          <w:sz w:val="28"/>
          <w:szCs w:val="28"/>
        </w:rPr>
        <w:footnoteReference w:id="16"/>
      </w:r>
      <w:r w:rsidRPr="007365BC">
        <w:rPr>
          <w:rFonts w:ascii="Times New Roman" w:hAnsi="Times New Roman" w:cs="Times New Roman"/>
          <w:b/>
          <w:bCs/>
          <w:sz w:val="28"/>
          <w:szCs w:val="28"/>
        </w:rPr>
        <w:t>.</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5"/>
        <w:gridCol w:w="816"/>
        <w:gridCol w:w="816"/>
        <w:gridCol w:w="816"/>
        <w:gridCol w:w="815"/>
        <w:gridCol w:w="815"/>
        <w:gridCol w:w="815"/>
        <w:gridCol w:w="815"/>
        <w:gridCol w:w="917"/>
      </w:tblGrid>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ЦФО</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СЗФО</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ЮФО</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ПФО</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УФО</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СФО</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ДВФО</w:t>
            </w:r>
          </w:p>
        </w:tc>
        <w:tc>
          <w:tcPr>
            <w:tcW w:w="479"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РФ</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ВРП — всего млрд руб.</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7</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849,6</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168,4</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611,0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519,0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772,7</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390,6</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980,9</w:t>
            </w:r>
          </w:p>
        </w:tc>
        <w:tc>
          <w:tcPr>
            <w:tcW w:w="479"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22</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292,5</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Отраслевая структура ВРП, %</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100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100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100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100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100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100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100</w:t>
            </w:r>
          </w:p>
        </w:tc>
        <w:tc>
          <w:tcPr>
            <w:tcW w:w="479"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100</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А. Отрасли, производящие товары:</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29,4</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46,3</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42,0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57,6</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 xml:space="preserve">63,6 </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54,2</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43,6</w:t>
            </w:r>
          </w:p>
        </w:tc>
        <w:tc>
          <w:tcPr>
            <w:tcW w:w="479"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45,9</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промышленность</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22,1</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34,2</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23,0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43,2</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55,3</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41,2</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27,2</w:t>
            </w:r>
          </w:p>
        </w:tc>
        <w:tc>
          <w:tcPr>
            <w:tcW w:w="479"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34,6</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сельское хозяйство, охота, лесное хозяйство</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2,7</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3,3</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13,6</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7,8</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2,6</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7,0</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5,4</w:t>
            </w:r>
          </w:p>
        </w:tc>
        <w:tc>
          <w:tcPr>
            <w:tcW w:w="479"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4,9</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строительство</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4,5</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8,2</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7,9</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5,9</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5,2</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5,5</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10,5</w:t>
            </w:r>
          </w:p>
        </w:tc>
        <w:tc>
          <w:tcPr>
            <w:tcW w:w="479"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5,8</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прочие производства</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0,1</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0,6</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0,5</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0,7</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0,5</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0,5</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0,5</w:t>
            </w:r>
          </w:p>
        </w:tc>
        <w:tc>
          <w:tcPr>
            <w:tcW w:w="479"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0,6</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Б. Отрасли, производящие услуги</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55,5</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44,6</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48,0</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35,3</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30,6</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39,5</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45,7</w:t>
            </w:r>
          </w:p>
        </w:tc>
        <w:tc>
          <w:tcPr>
            <w:tcW w:w="479"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44,3</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транспорт и связь</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9,2</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13,9</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13,5</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10,4</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7,8</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12,6</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14,7</w:t>
            </w:r>
          </w:p>
        </w:tc>
        <w:tc>
          <w:tcPr>
            <w:tcW w:w="479"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10,5</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торговля</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35,5</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16,4</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18,2</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13,7</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16,0</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12,5</w:t>
            </w:r>
          </w:p>
        </w:tc>
        <w:tc>
          <w:tcPr>
            <w:tcW w:w="426"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13,7</w:t>
            </w:r>
          </w:p>
        </w:tc>
        <w:tc>
          <w:tcPr>
            <w:tcW w:w="479" w:type="pct"/>
          </w:tcPr>
          <w:p w:rsidR="00B92C93" w:rsidRPr="007365BC" w:rsidRDefault="00B92C93" w:rsidP="00924E30">
            <w:pPr>
              <w:pStyle w:val="ae"/>
              <w:spacing w:before="0" w:beforeAutospacing="0" w:after="0" w:afterAutospacing="0" w:line="360" w:lineRule="auto"/>
              <w:jc w:val="both"/>
              <w:rPr>
                <w:sz w:val="20"/>
                <w:szCs w:val="20"/>
              </w:rPr>
            </w:pPr>
            <w:r w:rsidRPr="007365BC">
              <w:rPr>
                <w:sz w:val="20"/>
                <w:szCs w:val="20"/>
              </w:rPr>
              <w:t>22,2</w:t>
            </w:r>
          </w:p>
        </w:tc>
      </w:tr>
      <w:tr w:rsidR="00B92C93" w:rsidRPr="007365BC" w:rsidTr="00924E30">
        <w:tc>
          <w:tcPr>
            <w:tcW w:w="1538"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b/>
                <w:bCs/>
                <w:sz w:val="20"/>
                <w:szCs w:val="20"/>
              </w:rPr>
            </w:pPr>
            <w:r w:rsidRPr="007365BC">
              <w:rPr>
                <w:rFonts w:ascii="Times New Roman" w:hAnsi="Times New Roman" w:cs="Times New Roman"/>
                <w:b/>
                <w:bCs/>
                <w:sz w:val="20"/>
                <w:szCs w:val="20"/>
              </w:rPr>
              <w:t>В. Отрасли, производящие деловые услуги</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15,2</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8,7</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7,4</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7,8</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6,3</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6,8</w:t>
            </w:r>
          </w:p>
        </w:tc>
        <w:tc>
          <w:tcPr>
            <w:tcW w:w="426"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7,6</w:t>
            </w:r>
          </w:p>
        </w:tc>
        <w:tc>
          <w:tcPr>
            <w:tcW w:w="479" w:type="pct"/>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10,1</w:t>
            </w:r>
          </w:p>
        </w:tc>
      </w:tr>
    </w:tbl>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Рассмотрим теперь кратко экономическую ситуацию в каждом из семи федеральных округов.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b/>
          <w:bCs/>
          <w:sz w:val="28"/>
          <w:szCs w:val="28"/>
        </w:rPr>
        <w:t>1.4.1. Центральный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Состав: Москва, Московская, Владимирская, Ивановская, Калужская, Орловская, Рязанская, Смоленская, Брянская, Тверская, Тульская, Ярославская, Костромская, Белгородская, Воронежская, Курская, Липецкая и Тамбовская области. Площадь - 650,7 тыс. кв. км. Численность населения - 36,7 млн человек, городское - 29,0 млн человек, сельское - 7,7 млн человек. Плотность населения - 56,5 человек на 1 кв. км. Численность населения в трудоспособном возрасте - 21,6 млн человек, среднегодовая численность занятых в экономике - 17,5 млн человек. Динамика показателей развития округа приведена в табл. 2.8.</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ЦФО </w:t>
      </w:r>
      <w:r w:rsidRPr="007365BC">
        <w:rPr>
          <w:rFonts w:ascii="Times New Roman" w:hAnsi="Times New Roman" w:cs="Times New Roman"/>
          <w:sz w:val="28"/>
          <w:szCs w:val="28"/>
        </w:rPr>
        <w:t>расположен в центре европейской части России. На западе округа пролегают Валдайская, Смоленско-Московская, Среднерусская возвышенности; на севере и востоке - Верхневолжская и Мещерская низменности.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 xml:space="preserve">Население </w:t>
      </w:r>
      <w:r w:rsidRPr="007365BC">
        <w:rPr>
          <w:rFonts w:ascii="Times New Roman" w:hAnsi="Times New Roman" w:cs="Times New Roman"/>
          <w:b/>
          <w:bCs/>
          <w:sz w:val="28"/>
          <w:szCs w:val="28"/>
        </w:rPr>
        <w:t xml:space="preserve">ЦФО </w:t>
      </w:r>
      <w:r w:rsidRPr="007365BC">
        <w:rPr>
          <w:rFonts w:ascii="Times New Roman" w:hAnsi="Times New Roman" w:cs="Times New Roman"/>
          <w:sz w:val="28"/>
          <w:szCs w:val="28"/>
        </w:rPr>
        <w:t>- 36,7 млн человек, что составляет 25,5% численности населения Российской Федерации. Это один из густонаселенных районов страны. Средняя плотность населения - 56,5 человека на 1 кв. км. Численность городского населения составляет 79%, а сельского — 21%. Трудоспособное население региона составляют примерно четверть трудовых ресурсов России.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Природные условия и ресурсы</w:t>
      </w:r>
      <w:r w:rsidRPr="007365BC">
        <w:rPr>
          <w:rFonts w:ascii="Times New Roman" w:hAnsi="Times New Roman" w:cs="Times New Roman"/>
          <w:sz w:val="28"/>
          <w:szCs w:val="28"/>
        </w:rPr>
        <w:t>. Климат данного региона умеренно континентальный; зима относительно мягкая, лето теплое. Средние температуры января от - 8 до - 12°С, осадков выпадает 500-600 мм в год. На юго-востоке региона климат более сухой, нередки засухи. Средняя температура июля +(19-20) °С, января - (9-10) °С. Количество годовых атмосферных осадков 400-500 мм в год. Продолжительность вегетационного периода с температурой выше 5°С - 175-200 дней, с температурой выше 10°С - 140-170 дней.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Значительная часть района принадлежит бассейну Волги. По территории района проходит канал им. Москвы, соединяющий Волгу (от Иваньковского водохранилища) с рекой Москвой. Северная часть региона расположена преимущественно в лесной зоне и только на юге переходит в лесостепную зону. Площадь, покрытая лесом, составляет здесь около 40% территории</w:t>
      </w:r>
      <w:r w:rsidRPr="007365BC">
        <w:rPr>
          <w:rStyle w:val="a5"/>
          <w:rFonts w:ascii="Times New Roman" w:hAnsi="Times New Roman" w:cs="Times New Roman"/>
          <w:sz w:val="28"/>
          <w:szCs w:val="28"/>
        </w:rPr>
        <w:footnoteReference w:id="17"/>
      </w:r>
      <w:r w:rsidRPr="007365BC">
        <w:rPr>
          <w:rFonts w:ascii="Times New Roman" w:hAnsi="Times New Roman" w:cs="Times New Roman"/>
          <w:sz w:val="28"/>
          <w:szCs w:val="28"/>
        </w:rPr>
        <w:t>.</w:t>
      </w:r>
    </w:p>
    <w:p w:rsidR="00924E30" w:rsidRPr="007365BC" w:rsidRDefault="00924E30"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924E30"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br w:type="page"/>
      </w:r>
      <w:r w:rsidR="00B92C93" w:rsidRPr="007365BC">
        <w:rPr>
          <w:rFonts w:ascii="Times New Roman" w:hAnsi="Times New Roman" w:cs="Times New Roman"/>
          <w:sz w:val="28"/>
          <w:szCs w:val="28"/>
        </w:rPr>
        <w:t>Таблица 6. Основные социально-экономические показатели ЦФО</w:t>
      </w:r>
      <w:r w:rsidR="00B92C93" w:rsidRPr="007365BC">
        <w:rPr>
          <w:rStyle w:val="a5"/>
          <w:rFonts w:ascii="Times New Roman" w:hAnsi="Times New Roman" w:cs="Times New Roman"/>
          <w:sz w:val="28"/>
          <w:szCs w:val="28"/>
        </w:rPr>
        <w:footnoteReference w:id="18"/>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67"/>
        <w:gridCol w:w="3003"/>
      </w:tblGrid>
      <w:tr w:rsidR="00B92C93" w:rsidRPr="007365BC">
        <w:tc>
          <w:tcPr>
            <w:tcW w:w="6771" w:type="dxa"/>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Площадь:</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650.7</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тыс.кв.км</w:t>
            </w:r>
          </w:p>
        </w:tc>
      </w:tr>
      <w:tr w:rsidR="00B92C93" w:rsidRPr="007365BC">
        <w:tc>
          <w:tcPr>
            <w:tcW w:w="6771" w:type="dxa"/>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Численность населения (на 01.01.2007):</w:t>
            </w:r>
          </w:p>
        </w:tc>
        <w:tc>
          <w:tcPr>
            <w:tcW w:w="3084" w:type="dxa"/>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37218.1</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тыс.человек</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Численность сельского населения, млн. чел. (за 2004г)</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7,5</w:t>
            </w:r>
          </w:p>
        </w:tc>
      </w:tr>
      <w:tr w:rsidR="00B92C93" w:rsidRPr="007365BC">
        <w:tc>
          <w:tcPr>
            <w:tcW w:w="6771" w:type="dxa"/>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Крупных городов</w:t>
            </w:r>
          </w:p>
        </w:tc>
        <w:tc>
          <w:tcPr>
            <w:tcW w:w="3084" w:type="dxa"/>
          </w:tcPr>
          <w:p w:rsidR="00B92C93" w:rsidRPr="007365BC" w:rsidRDefault="00B92C93" w:rsidP="00924E30">
            <w:pPr>
              <w:autoSpaceDE w:val="0"/>
              <w:autoSpaceDN w:val="0"/>
              <w:adjustRightInd w:val="0"/>
              <w:spacing w:after="0" w:line="360" w:lineRule="auto"/>
              <w:jc w:val="both"/>
              <w:rPr>
                <w:rFonts w:ascii="Times New Roman" w:hAnsi="Times New Roman" w:cs="Times New Roman"/>
                <w:sz w:val="20"/>
                <w:szCs w:val="20"/>
                <w:lang w:val="en-US"/>
              </w:rPr>
            </w:pPr>
            <w:r w:rsidRPr="007365BC">
              <w:rPr>
                <w:rFonts w:ascii="Times New Roman" w:hAnsi="Times New Roman" w:cs="Times New Roman"/>
                <w:sz w:val="20"/>
                <w:szCs w:val="20"/>
              </w:rPr>
              <w:t>40</w:t>
            </w:r>
            <w:r w:rsidR="00924E30" w:rsidRPr="007365BC">
              <w:rPr>
                <w:rFonts w:ascii="Times New Roman" w:hAnsi="Times New Roman" w:cs="Times New Roman"/>
                <w:sz w:val="20"/>
                <w:szCs w:val="20"/>
              </w:rPr>
              <w:t xml:space="preserve"> </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Валовой региональный продукт (за 2004 год):</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4586797.8</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млн.руб.</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Объём инвестиций (за 2006 год):</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1152663.4</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млн.руб.</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Оборот розничной торговли (за 2006 год):</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3111003.7</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млн.руб.</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Объём платных услуг (за 2005 год):</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868606</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млн.руб.</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Количество МП (% от количества по РФ за 2004 год):</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330.0</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тыс. (34.6%)</w:t>
            </w:r>
            <w:r w:rsidR="00924E30" w:rsidRPr="007365BC">
              <w:rPr>
                <w:rFonts w:ascii="Times New Roman" w:hAnsi="Times New Roman" w:cs="Times New Roman"/>
                <w:sz w:val="20"/>
                <w:szCs w:val="20"/>
              </w:rPr>
              <w:t xml:space="preserve"> </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Потребность предприятий в работниках (октябрь 2006 г.):</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336872</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человек</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Объем продукции (работ, услуг), произведенной МП (за 2004 год):</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830271.8</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млн.руб.</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Среднедушевые денежные доходы населения (сентябрь 2006 года):</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10288</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руб.</w:t>
            </w:r>
          </w:p>
        </w:tc>
      </w:tr>
      <w:tr w:rsidR="00B92C93" w:rsidRPr="007365BC">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Среднемесячная заработная плата (за 2006 год):</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12117.4</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руб.</w:t>
            </w:r>
          </w:p>
        </w:tc>
      </w:tr>
      <w:tr w:rsidR="00B92C93" w:rsidRPr="007365BC">
        <w:trPr>
          <w:trHeight w:val="315"/>
        </w:trPr>
        <w:tc>
          <w:tcPr>
            <w:tcW w:w="6771"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Производство сельскохозяйственной продукции</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(за 2004г)</w:t>
            </w:r>
          </w:p>
        </w:tc>
        <w:tc>
          <w:tcPr>
            <w:tcW w:w="3084" w:type="dxa"/>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260,1</w:t>
            </w:r>
          </w:p>
        </w:tc>
      </w:tr>
      <w:tr w:rsidR="00B92C93" w:rsidRPr="007365BC">
        <w:trPr>
          <w:trHeight w:val="235"/>
        </w:trPr>
        <w:tc>
          <w:tcPr>
            <w:tcW w:w="6771" w:type="dxa"/>
            <w:tcBorders>
              <w:bottom w:val="single" w:sz="4" w:space="0" w:color="auto"/>
            </w:tcBorders>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Количество сельхозпредприятий, тыс. ед. (за 2004г)</w:t>
            </w:r>
          </w:p>
        </w:tc>
        <w:tc>
          <w:tcPr>
            <w:tcW w:w="3084" w:type="dxa"/>
            <w:tcBorders>
              <w:bottom w:val="single" w:sz="4" w:space="0" w:color="auto"/>
            </w:tcBorders>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7,4</w:t>
            </w:r>
          </w:p>
        </w:tc>
      </w:tr>
      <w:tr w:rsidR="00B92C93" w:rsidRPr="007365BC">
        <w:trPr>
          <w:trHeight w:val="268"/>
        </w:trPr>
        <w:tc>
          <w:tcPr>
            <w:tcW w:w="6771" w:type="dxa"/>
            <w:tcBorders>
              <w:top w:val="single" w:sz="4" w:space="0" w:color="auto"/>
              <w:bottom w:val="single" w:sz="4" w:space="0" w:color="auto"/>
            </w:tcBorders>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Кредиторская задолженность (за 2004г)</w:t>
            </w:r>
          </w:p>
        </w:tc>
        <w:tc>
          <w:tcPr>
            <w:tcW w:w="3084" w:type="dxa"/>
            <w:tcBorders>
              <w:top w:val="single" w:sz="4" w:space="0" w:color="auto"/>
              <w:bottom w:val="single" w:sz="4" w:space="0" w:color="auto"/>
            </w:tcBorders>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112,0</w:t>
            </w:r>
          </w:p>
        </w:tc>
      </w:tr>
      <w:tr w:rsidR="00B92C93" w:rsidRPr="007365BC">
        <w:trPr>
          <w:trHeight w:val="301"/>
        </w:trPr>
        <w:tc>
          <w:tcPr>
            <w:tcW w:w="6771" w:type="dxa"/>
            <w:tcBorders>
              <w:top w:val="single" w:sz="4" w:space="0" w:color="auto"/>
              <w:bottom w:val="single" w:sz="4" w:space="0" w:color="auto"/>
            </w:tcBorders>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Дебиторская задолженность (за 2004г)</w:t>
            </w:r>
          </w:p>
        </w:tc>
        <w:tc>
          <w:tcPr>
            <w:tcW w:w="3084" w:type="dxa"/>
            <w:tcBorders>
              <w:top w:val="single" w:sz="4" w:space="0" w:color="auto"/>
              <w:bottom w:val="single" w:sz="4" w:space="0" w:color="auto"/>
            </w:tcBorders>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22,3</w:t>
            </w:r>
          </w:p>
        </w:tc>
      </w:tr>
      <w:tr w:rsidR="00B92C93" w:rsidRPr="007365BC">
        <w:trPr>
          <w:trHeight w:val="411"/>
        </w:trPr>
        <w:tc>
          <w:tcPr>
            <w:tcW w:w="6771" w:type="dxa"/>
            <w:tcBorders>
              <w:top w:val="single" w:sz="4" w:space="0" w:color="auto"/>
            </w:tcBorders>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z w:val="20"/>
                <w:szCs w:val="20"/>
              </w:rPr>
              <w:t>Стоимость</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минимального</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набора</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продуктов</w:t>
            </w:r>
            <w:r w:rsidR="00924E30" w:rsidRPr="007365BC">
              <w:rPr>
                <w:rFonts w:ascii="Times New Roman" w:hAnsi="Times New Roman" w:cs="Times New Roman"/>
                <w:sz w:val="20"/>
                <w:szCs w:val="20"/>
              </w:rPr>
              <w:t xml:space="preserve"> </w:t>
            </w:r>
            <w:r w:rsidRPr="007365BC">
              <w:rPr>
                <w:rFonts w:ascii="Times New Roman" w:hAnsi="Times New Roman" w:cs="Times New Roman"/>
                <w:sz w:val="20"/>
                <w:szCs w:val="20"/>
              </w:rPr>
              <w:t>питания в 2008 г.</w:t>
            </w:r>
            <w:r w:rsidRPr="007365BC">
              <w:rPr>
                <w:rFonts w:ascii="Times New Roman" w:hAnsi="Times New Roman" w:cs="Times New Roman"/>
                <w:snapToGrid w:val="0"/>
                <w:sz w:val="20"/>
                <w:szCs w:val="20"/>
              </w:rPr>
              <w:t>( Стоимость набора в расчете на месяц, рублей)</w:t>
            </w:r>
          </w:p>
        </w:tc>
        <w:tc>
          <w:tcPr>
            <w:tcW w:w="3084" w:type="dxa"/>
            <w:tcBorders>
              <w:top w:val="single" w:sz="4" w:space="0" w:color="auto"/>
            </w:tcBorders>
          </w:tcPr>
          <w:p w:rsidR="00B92C93" w:rsidRPr="007365BC" w:rsidRDefault="00B92C93" w:rsidP="00924E30">
            <w:pPr>
              <w:spacing w:after="0" w:line="360" w:lineRule="auto"/>
              <w:jc w:val="both"/>
              <w:rPr>
                <w:rFonts w:ascii="Times New Roman" w:hAnsi="Times New Roman" w:cs="Times New Roman"/>
                <w:sz w:val="20"/>
                <w:szCs w:val="20"/>
              </w:rPr>
            </w:pPr>
            <w:r w:rsidRPr="007365BC">
              <w:rPr>
                <w:rFonts w:ascii="Times New Roman" w:hAnsi="Times New Roman" w:cs="Times New Roman"/>
                <w:snapToGrid w:val="0"/>
                <w:sz w:val="20"/>
                <w:szCs w:val="20"/>
              </w:rPr>
              <w:t>2052,86</w:t>
            </w:r>
          </w:p>
        </w:tc>
      </w:tr>
    </w:tbl>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На юге региона гидрографическая сеть бедна. Единственной крупной рекой является Дон с притоками Воронеж и Северный Донец. Дон только в нижнем течении до Павловска судоходен. Остальные реки мелководны, основное их использование - водоснабжение населения и промышленных предприятий. В настоящее время сложился напряженный водохозяйственный баланс в крупных городах.</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Ценнейшим богатством юга региона являются почвы - разного типа черноземы с содержанием гумуса от 4-6 до 10-12% с мощью горизонта в отдельных районах до 120 - 130 см. Это самые плодородные почвы. Черноземы здесь образовались на рыхлых фунтах, поэтому они легко поддаются водной эрозии, ведущей к образованию оврагов. В некоторых районах эрозии подвержено до 60% земель, поэтому борьба с оврагообразованиями составляет важнейшую задачу земледельцев района. Действительным средством этой борьбы стали специальная обработка полей и искусственные лесонасаждения, которые составляют около половины лесопокрытой площади района. Средняя лесистость на юге региона - 8%. Промышленная рубка леса почти всюду запрещена.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Главным природным богатством юга региона являются железные руды Курской магнитной аномалии (КМА), залегающие на его территории двумя полосами: Орел - Щигры - Старый Оскол - Валуйки шириной от 1 до 25 км и Льгов - Белгород шириной от 2 до 40 км с мощностью пластов 70-350 м. Общие геологические запасы руд определяются здесь триллионами тонн, балансовые - в 42 млрд т; по геологическим запасам КМА занимает 1-е место в мире, по балансовым - ей принадлежит 1 -е место в России. Залегают руды на глубине от 35-40 до 400-500 м и глубже. Неглубокое залегание руд позволяет вести их добычу в открытых карьерах со значительно меньшими капитальными и текущими затратами труда и средств. Шахтная добыча руд на глубине осложнена здесь обильной водонасыщенностью подземных горизонтов. Строительство подземных рудников ведется с помощью специальных холодильных агрегатов для замораживания пород при проходке шахтных стволов. Высокое качество богатых руд на глубине может не только восполнять расходы на эту технику, но и обеспечивать высокую эффективность горнорудной промышленности КМА. Кроме высокого содержания железа, эти руды содержат всего лишь десятые доли процента серы и сотые доли фосфора.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Из минерально-сырьевых ресурсов в округе представлены залежи бурых углей Подмосковного бассейна, торфа, фосфоритов, железных руд, а также известняков, огнеупорных и кирпичных глин, строительных, стекольных и формовочных песков. Регион располагает также запасами мела и известняков, мергеля, огнеупорных глин, кирпичных глин, особенно в Воронежской и Белгородской областях</w:t>
      </w:r>
      <w:r w:rsidRPr="007365BC">
        <w:rPr>
          <w:rStyle w:val="a5"/>
          <w:rFonts w:ascii="Times New Roman" w:hAnsi="Times New Roman" w:cs="Times New Roman"/>
          <w:sz w:val="28"/>
          <w:szCs w:val="28"/>
        </w:rPr>
        <w:footnoteReference w:id="19"/>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i/>
          <w:iCs/>
          <w:sz w:val="28"/>
          <w:szCs w:val="28"/>
        </w:rPr>
      </w:pPr>
      <w:r w:rsidRPr="007365BC">
        <w:rPr>
          <w:rFonts w:ascii="Times New Roman" w:hAnsi="Times New Roman" w:cs="Times New Roman"/>
          <w:b/>
          <w:bCs/>
          <w:i/>
          <w:iCs/>
          <w:sz w:val="28"/>
          <w:szCs w:val="28"/>
        </w:rPr>
        <w:t>Общая характеристика хозяйства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Роль ЦФО в национальной экономике страны характеризуется следующими данными (в % от общероссийских показателей): территория - 3,8, численность населения - 25,4, среднегодовая численность занятых в экономике - 27,2, валовой региональный продукт - 29,5, объем промышленной продукции - 19,9, сельского хозяйства - 23,4, растениеводства - 24,1, животноводства - 22,6, стоимость основных фондов в экономике - 25,6, инвестиции в основной капитал - 25,5, розничный товарооборот - 42,8, поступление налоговых платежей и сборов в бюджетную систему России - 36,3, в федеральный бюджет - 43,8, иностранные инвестиции - 42,6, экспорт - 33,1, импорт - 51,7</w:t>
      </w:r>
      <w:r w:rsidRPr="007365BC">
        <w:rPr>
          <w:rStyle w:val="a5"/>
          <w:rFonts w:ascii="Times New Roman" w:hAnsi="Times New Roman" w:cs="Times New Roman"/>
          <w:sz w:val="28"/>
          <w:szCs w:val="28"/>
        </w:rPr>
        <w:footnoteReference w:id="20"/>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На территории ЦФО исторически сформировался сложный промышленный комплекс обрабатывающих отраслей и производств, обладающий достаточно высоким уровнем взаимосвязанности. В отраслевой структуре производства промышленной продукции ЦФО в 2000 г. высок удельный вес машиностроения и металлообработки (26,5%). Основные отрасли машиностроения: станкостроительная, инструментальная, приборостроение, электротехническая, радиотехническая, электронная, автомобильная, производство сельскохозяйственных и дорожных машин, оборудования для текстильной и пищевой промышленности.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Главный центр машиностроения - Москва. Среди других центров выделяются Воронеж (авиастроение), Калуга, Ярославль (моторостроение), Иваново (текстильное и торфяное машиностроение), Тула (сельскохозяйственное и другое машиностроение), Владимир (тракторостроение), Брянск (дизелестроение, вагоностроение), Рязань (станкостроение, радиотехника), Смоленск (электротехника)</w:t>
      </w:r>
      <w:r w:rsidRPr="007365BC">
        <w:rPr>
          <w:rStyle w:val="a5"/>
          <w:rFonts w:ascii="Times New Roman" w:hAnsi="Times New Roman" w:cs="Times New Roman"/>
          <w:sz w:val="28"/>
          <w:szCs w:val="28"/>
        </w:rPr>
        <w:footnoteReference w:id="21"/>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ЦФО относится к районам с развитой химической промышленностью, специализирующейся на производстве азотных и фосфорных удобрений, пластмасс и синтетических смол, химических волокон, синтетического каучука и резинотехнических изделий, синтетических красителей и лакокрасочной промышленности. Основные центры химической промышленности - Воскресенск, Новомосковск, Щекино, Москва, Орехово-Зуево, Рязань, Тверь и др.</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Исторические корни имеет в районе легкая промышленность. Район занимает ведущее место в России по производству хлопчатобумажных, льняных, шелковых тканей, трикотажных, швейных, меховых изделий, обуви. Крупные центры текстильной промышленности - Москва, Иваново, Орехово-Зуево, Щелково, Купавна, Павловский Посад, Дмитров и др.</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ЦФО - значительная полиграфическая база России, представленная крупными предприятиями в Москве, Твери, Чехове, Смоленске.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Сельское хозяйство северной части Центрального округа в целом пригородного направления со специализацией на молочно-мясном животноводстве, а также свиноводстве, птицеводстве, картофелеовощном хозяйстве, обслуживает внутрирайонные потребности. Вокруг Москвы и многих областных и промышленных центров широкое развитие получили птицефабрики, комплексы по выращиванию свиней и крупного рогатого скота, молочные фермы. В структуре посевных площадей района половина приходится на зерновые (пшеница, гречиха и др.), одна треть - на кормовые, остальная площадь занята техническими культурами (сахарная свекла, лен-долгунец и др.), картофелем и овощами.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Внутренняя территориальная структура хозяйства ЦФО характеризуется значительным разрывом в уровнях производства промышленной и сельскохозяйственной продукции, объемами инвестиций в основной капитал и в целом по ВРП. Лидирующее положение в районе занимает Московский регион: по валовому региональному продукту 54,8%, по производству промышленной продукции 20,7% и инвестициям в основной капитал 50,6% - Москва, а по выпуску сельскохозяйственной продукции - Московская область - 13,8% (второй по величине район - Воронежская область производит только 10,4% сельскохозяйственной продукции)</w:t>
      </w:r>
      <w:r w:rsidRPr="007365BC">
        <w:rPr>
          <w:rStyle w:val="a5"/>
          <w:rFonts w:ascii="Times New Roman" w:hAnsi="Times New Roman" w:cs="Times New Roman"/>
          <w:sz w:val="28"/>
          <w:szCs w:val="28"/>
        </w:rPr>
        <w:footnoteReference w:id="22"/>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общероссийском разделении общественного труда ЦФО специализируется на горно-рудной, металлургической, машиностроительной, химической, пищевой промышленности и на производстве некоторых видов строительных материалов, а также на интенсивном сельскохозяйственном производстве. Здесь выращиваются зерновые культуры, подсолнечник, сахарная свекла, картофель. Весьма значительна доля округа и в животноводстве.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Ведущей отраслью народно-хозяйственной специализации южной части Центрального федерального округа является горнорудная и металлургическая промышленность. В настоящее время Липецк превратился в крупный центр металлургии межрегионального значения. Новолипецкий металлургический завод специализируется на выплавке чугуна и высококачественной стали. Развитию мощной горно-рудной и металлургической промышленности способствует освоение железорудных месторождений КМА.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Энергетическая база района КМА укреплена в результате строительства мощных атомных станций - Курской и Нововоронежской.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 развитием черной металлургии в промышленности комплекса повысился удельный вес машиностроения, производства горного оборудования, паровых котлов. В Курске преобладает точное машиностроение, особенно приборостроение и электротехника.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Машиностроительная промышленность - важная отрасль промышленности южной части округа. На заводах района производят горные машины, станки, химическую аппаратуру, радиотехнические и электротехнические изделия. В последние годы машиностроение развивается более высокими темпами, чем в среднем по стране.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Перспективная отрасль машиностроения - авиационная промышленность. На Воронежском авиационном заводе начато производство широкофюзеляжного магистрального лайнера ИЛ-96М.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Химическая промышленность района представлена довольно крупными предприятиями по производству синтетического каучука и автошин в Воронеже, резинотехнических изделий и анилиновых красителей в Тамбове, синтетического волокна в Курске, витаминов и моющих средств в Белгороде и Щебекино, суперфосфата в Уварове Тамбовской области. Все эти виды производства, за исключением выпуска удобрений, имеют межрегиональное значение. Но Центрально-Черноземный район крайне дефицитен по топливу и водным ресурсам, что диктует необходимость сдерживать развитие водо- и топливоемких химических производств. Наиболее перспективными отраслями химической промышленности следует считать витаминную, которая располагает богатой плодоовощной базой, а также производство минеральных удобрений</w:t>
      </w:r>
      <w:r w:rsidRPr="007365BC">
        <w:rPr>
          <w:rStyle w:val="a5"/>
          <w:rFonts w:ascii="Times New Roman" w:hAnsi="Times New Roman" w:cs="Times New Roman"/>
          <w:sz w:val="28"/>
          <w:szCs w:val="28"/>
        </w:rPr>
        <w:footnoteReference w:id="23"/>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Топливная промышленность</w:t>
      </w:r>
      <w:r w:rsidRPr="007365BC">
        <w:rPr>
          <w:rFonts w:ascii="Times New Roman" w:hAnsi="Times New Roman" w:cs="Times New Roman"/>
          <w:sz w:val="28"/>
          <w:szCs w:val="28"/>
        </w:rPr>
        <w:t>. Слабой стороной народно-хозяйственного комплекса Центрально-Черноземного района было его энергетическое хозяйство. На душу населения электроэнергии производилось меньше, чем в каком-либо другом районе Российской Федерации. Поэтому развитию электроэнергетики здесь придается большое значение: расширена Нововоронежская атомная электростанция, построена мощная Курская АЭС, которая также будет расширена.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Легкая промышленность</w:t>
      </w:r>
      <w:r w:rsidRPr="007365BC">
        <w:rPr>
          <w:rFonts w:ascii="Times New Roman" w:hAnsi="Times New Roman" w:cs="Times New Roman"/>
          <w:sz w:val="28"/>
          <w:szCs w:val="28"/>
        </w:rPr>
        <w:t>. На местном и привозном сырье еще в первой половине XIX в. в Тамбовской области была развита шерстяная промышленность, сохраняющая межрайонное значение по настоящее время (Рассказово). Почти во всех областях развивается кожевенно-обувная, трикотажная, швейная и некоторые другие отрасли легкой промышленности, связанные с удовлетворением растущих потребностей местного населения.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Главной отраслью пищевой индустрии района является свеклосахарная. Она возникла еще в дореволюционные годы, с тех пор производство сахара-песка возросло в 6-7 раз. Здесь работает около 50 крупных современных свеклосахарных заводов, выпускающих более половины сахара-песка в Российской Федерации. Наибольшее развитие свеклосахарная промышленность получила в Воронежской, Белгородской и Курской областях.</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Высок удельный вес аграрно-промышленного сектора: в ВРП южной части региона он достигает почти четверти. Плодородные почвы, обеспеченное на значительной части района увлажнение, длительный теплый период создают возможности для получения здесь высоких урожаев сельскохозяйственных культур. По средней многолетней урожайности зерновых культур район несколько уступает Северному Кавказу, а по валовой продукции на 100 га сельскохозяйственных земель занимает 1-е место в Российской Федерации.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К ведущим отраслям АПК в районе относятся также мукомольно-крупяная промышленность с ее высокой концентрацией в крупнейших железнодорожных узлах - Воронеже и Курске; маслобойная с наибольшим ее развитием в Воронежской области, где в основном сеется подсолнечник; крахмалопаточная и спиртовая отрасли, развивающиеся во всех областях и использующие зерно и картофель.</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Главные производственные культуры - озимая пшеница и рожь. Они здесь урожайнее, чем яровая пшеница. В Курской области преобладают посевы ржи, в остальных - пшеницы. Обширные площади занимают просо и гречиха, причем гречиха более распространена в Курской и Липецкой, просо - в Воронежской, Тамбовской и Белгородской областях. Повсюду сеют кормовые культуры, в Воронежской и Белгородской областях значительные посевные площади заняты кукурузой на зерно, в других областях - на силос. Высевают ячмень и овес. Широко распространены сеяные травы, главным образом однолетние</w:t>
      </w:r>
      <w:r w:rsidRPr="007365BC">
        <w:rPr>
          <w:rStyle w:val="a5"/>
          <w:rFonts w:ascii="Times New Roman" w:hAnsi="Times New Roman" w:cs="Times New Roman"/>
          <w:sz w:val="28"/>
          <w:szCs w:val="28"/>
        </w:rPr>
        <w:footnoteReference w:id="24"/>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Важнейшей технической культурой является сахарная свекла. Для выращивания этой культуры район располагает весьма благоприятными почвенно-климатическими и экономическими условиями: высокоплодородными черноземами, достаточно влажным и теплым климатом, высокой плотностью сельского населения, сахарными заводами. На выращивании ее специализируются многие хозяйства района, особенно в Курской, Белгородской и Воронежской областях.</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Вторая по значению техническая культура Черноземного центра - подсолнечник, но ареал его распространения в районе более узкий, чем сахарной свеклы. Основные посевы подсолнечника размещаются в Воронежской, значительные - в Белгородской и на юге Тамбовской областей. На северо-западе района вследствие более умеренного и влажного климата и менее пригодных почв урожаи подсолнечника невелики.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Обширные площади заняты картофелем и овощами, выращиваемыми повсюду. Картофель здесь не только используется в качестве пищевого продукта, но идет на корм скоту и для переработки на крахмал и спирт.</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Транспорт.</w:t>
      </w:r>
      <w:r w:rsidRPr="007365BC">
        <w:rPr>
          <w:rFonts w:ascii="Times New Roman" w:hAnsi="Times New Roman" w:cs="Times New Roman"/>
          <w:sz w:val="28"/>
          <w:szCs w:val="28"/>
        </w:rPr>
        <w:t xml:space="preserve"> Район располагает развитой сетью всех видов современного транспорта - железнодорожными и автомобильными дорогами, водными путями и авиалиниями, трубопроводами и линиями электропередачи. Центральное место в грузо- и пассажироперевозках района принадлежит Москве - крупнейшему комплексному транспортному узлу страны. Железные дороги и автомагистрали радиально от Москвы расходятся во все районы России. В южной части региона мало автодорог с твердым покрытием, особенно соединяющих сахарные заводы со свекловичными плантациями, что осложняет перевозки сахарной свеклы в осеннюю пору.</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Общая конфигурация дорог сетчатая, сложившаяся в основном еще до революции и дополненная позднее. Основные межрайонные экономические связи осуществляются по магистралям меридионального направления. Дороги почти полностью электрифицированы. Основные грузы внутренних перевозок на железных дорогах - руды и флюсы, идущие на металлургические заводы Липецка, и вывозимые оттуда металл, строительные материалы, техническое оборудование, машины и ряд других промышленных товаров. Во внутренних перевозках значительную роль играет автомобильный транспорт</w:t>
      </w:r>
      <w:r w:rsidRPr="007365BC">
        <w:rPr>
          <w:rStyle w:val="a5"/>
          <w:rFonts w:ascii="Times New Roman" w:hAnsi="Times New Roman" w:cs="Times New Roman"/>
          <w:sz w:val="28"/>
          <w:szCs w:val="28"/>
        </w:rPr>
        <w:footnoteReference w:id="25"/>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межрайонном грузообороте ввоз грузов почти в 1,5 раза превышает вывоз. В большом количестве завозятся уголь из Донбасса, Кузбасса и частично из Подмосковного бассейна, нефтепродукты из Поволжья, круглый лес и пиломатериалы из Волго-Вятского района и с Урала. Основные потоки вывоза грузов из района составляют: сельскохозяйственные продукты, железная руда, чугун и сталь. Широкий ассортимент грузов в межрайонных перевозках характеризует разносторонность и возрастающую роль района в общественно-территориальном разделении труда.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Рыночная инфраструктура.</w:t>
      </w:r>
      <w:r w:rsidRPr="007365BC">
        <w:rPr>
          <w:rFonts w:ascii="Times New Roman" w:hAnsi="Times New Roman" w:cs="Times New Roman"/>
          <w:sz w:val="28"/>
          <w:szCs w:val="28"/>
        </w:rPr>
        <w:t xml:space="preserve"> Отрасли деловой инфраструктуры (банковские, страховые, консалтинговые учреждения) наиболее интенсивно развивались в Московском регионе. Число совместных с инофирмами предприятий в регионе составляет 3,6 тыс., что составляет около 50% от их числа по России (в основном эти предприятия расположены в Московском регионе - 42%). Есть предпосылки для расширения числа предприятий, и в первую очередь в наукоемких отраслях, что позволит повысить конкурентоспособность экономики региона в условиях рыночных отношений. Интенсивность внешнеэкономической деятельности резко дифференцирована по территории района. В таких областях, как Липецкая, Тульская, Ярославская, Смоленская, в структуре экспорта преобладают сырье и материалы (от 77 до 84%), а в Москве и Московской области, в Брянской и Калужской областях - машины и оборудование.</w:t>
      </w:r>
    </w:p>
    <w:p w:rsidR="00B92C93" w:rsidRPr="007365BC" w:rsidRDefault="00B92C93" w:rsidP="00924E30">
      <w:pPr>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sz w:val="28"/>
          <w:szCs w:val="28"/>
        </w:rPr>
        <w:br w:type="page"/>
      </w:r>
      <w:r w:rsidRPr="007365BC">
        <w:rPr>
          <w:rFonts w:ascii="Times New Roman" w:hAnsi="Times New Roman" w:cs="Times New Roman"/>
          <w:b/>
          <w:bCs/>
          <w:sz w:val="28"/>
          <w:szCs w:val="28"/>
        </w:rPr>
        <w:t>1.4.2. Северо-Западный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Состав: Санкт-Петербург, Ленинградская, Новгородская, Псковская, Мурманская и Калининградская области, Республика Карелия, Республика Коми, Ненецкий автономный округ. Площадь - 1677,9 тыс. кв. км. Население - 14,4 млн человек, городское - 11,8 млн, сельское - 2,6 млн. Плотность населения - 8,6 человек на 1 кв. км. Численность населения в трудоспособном возрасте - 8,9 млн человек, среднегодовая численность занятых в экономике - 6,6 млн человек</w:t>
      </w:r>
      <w:r w:rsidRPr="007365BC">
        <w:rPr>
          <w:rStyle w:val="a5"/>
          <w:rFonts w:ascii="Times New Roman" w:hAnsi="Times New Roman" w:cs="Times New Roman"/>
          <w:sz w:val="28"/>
          <w:szCs w:val="28"/>
        </w:rPr>
        <w:footnoteReference w:id="26"/>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Регион отличается близостью к европейскому рынку, удобным транспортно-географическим положением, сравнительно высокой степенью заселенности, богатой историко-культурной базой, связанной с наличием второго города России - Санкт-Петербурга, а также сравнительно развитой транспортной и социальной инфраструктурой.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Природные условия и ресурсы.</w:t>
      </w:r>
      <w:r w:rsidRPr="007365BC">
        <w:rPr>
          <w:rFonts w:ascii="Times New Roman" w:hAnsi="Times New Roman" w:cs="Times New Roman"/>
          <w:sz w:val="28"/>
          <w:szCs w:val="28"/>
        </w:rPr>
        <w:t xml:space="preserve"> Территория федерального округа расположена на северо-западе страны, и по характеру рельефа здесь четко выделяются равнинная западная и возвышенная восточная части. Климат умеренно континентальный, с относительно теплой зимой и прохладным летом, отличается повышенной влажностью. Почвы дерново-подзолистые и подзолисто-болотные. Повышенная влажность и моренно-холмистый рельеф обусловливают повышенную заболоченность территории.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Северо-Западный округ не отличается масштабами и разнообразием природных ресурсов, наибольшее значение имеют земельные, водные и лесные ресурсы, меньшую роль играют отдельные минерально-сырьевые ресурсы (фосфориты, горючие сланцы, огнеупорные глины).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недрах района сосредоточено около 40% важнейших топливных ресурсов европейской части страны. Общие перспективные нефтегазоносные площади составляют около 600 тыс. кв. км, они сосредоточены в Республике Коми, Архангельской области и шельфовой зоне Баренцева моря. Балансовые запасы нефти составляют 1,3 млрд т, газа - 1,1 трлн куб. м. Значительны геологические запасы угля - 214 млрд т (Печорский бассейн). В Республике Коми обнаружены запасы горючих сланцев и почти повсеместно запасы торфа.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Выделяются запасы руд черных и цветных металлов - железные руды Кольского полуострова и Карелии, составляющие примерно 5% общероссийских запасов; медно-никелевые руды Кольского полуострова, бокситы, титаносодержащее сырье. В Архангельской области открыто месторождение алмазов. Федеральное значение имеют Хибинские нефелин-апатитовые месторождения.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районе сосредоточено около 40% лесных ресурсов европейской части, причем хвойные породы занимают 81% лесопокрытой площади, главным образом в Архангельской области и Республике Коми</w:t>
      </w:r>
      <w:r w:rsidRPr="007365BC">
        <w:rPr>
          <w:rStyle w:val="a5"/>
          <w:rFonts w:ascii="Times New Roman" w:hAnsi="Times New Roman" w:cs="Times New Roman"/>
          <w:sz w:val="28"/>
          <w:szCs w:val="28"/>
        </w:rPr>
        <w:footnoteReference w:id="27"/>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Значительны водные ресурсы, на долю которых приходится 38% водных ресурсов европейской части страны. Земельные ресурсы (около 90% - это северные территории) слабо используются в хозяйственной деятельности.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 xml:space="preserve">Население. </w:t>
      </w:r>
      <w:r w:rsidRPr="007365BC">
        <w:rPr>
          <w:rFonts w:ascii="Times New Roman" w:hAnsi="Times New Roman" w:cs="Times New Roman"/>
          <w:sz w:val="28"/>
          <w:szCs w:val="28"/>
        </w:rPr>
        <w:t>На территории района проживает 1,7 млн человек. С начала 90-х годов в районе наблюдается абсолютное сокращение численности населения, что является следствием экономического кризиса, снижения социальной защищенности населения.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Большое влияние на процессы депопуляции оказывает и продолжающееся сокращение коэффициента естественного прироста населения, который уже более 10 лет имеет отрицательные значения и является самым низким среди других районов.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Естественная убыль населения сопровождается изменением возрастной структуры населения в пользу старших возрастов, сокращением доли лиц трудоспособного возраста и стабилизацией доли молодых возрастов, что ведет к сокращению миграционной подвижности и естественного воспроизводства населения.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Размещено население неравномерно: почти 40% населения проживает в Санкт-Петербурге и Ленинградской области. Район отличается высоким уровнем урбанизации. На долю городского населения в 2000 г. приходилось 81,9% всего населения, при этом самый высокий показатель в Мурманской области - 91,7%, самый низкий - в Вологодской - 68,3% и Псковской областях - 66,4%. В районе 146 городов и 179 поселков городского типа.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Рекреационные ресурсы СЗФО представлены уникальными художественными ценностями и дворцово-парковыми ансамблями Санкт-Петербурга и его окружения, древнерусским зодчеством древнего Великого Новгорода, неповторимыми ландшафтами и историческими памятниками Ближнего Севера России.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i/>
          <w:iCs/>
          <w:sz w:val="28"/>
          <w:szCs w:val="28"/>
        </w:rPr>
      </w:pPr>
      <w:r w:rsidRPr="007365BC">
        <w:rPr>
          <w:rFonts w:ascii="Times New Roman" w:hAnsi="Times New Roman" w:cs="Times New Roman"/>
          <w:b/>
          <w:bCs/>
          <w:i/>
          <w:iCs/>
          <w:sz w:val="28"/>
          <w:szCs w:val="28"/>
        </w:rPr>
        <w:t>Общая характеристика хозяйства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Роль СЗФО в национальной экономике страны характеризуется следующими данными (в % от общероссийских показателей): территория - 9,8, численность населения - 9,9, среднегодовая численность занятых в экономике - 10,3, ВРП - 10,7, объем промышленной продукции - 11,7, сельского хозяйства - 6,2, растениеводства - 5,7, животноводства - 6,9, стоимость основных фондов в экономике - 10,1, инвестиции в основной капитал - 22,5, розничный товарооборот - 9,1, поступление налоговых платежей и сборов в бюджетную систему России - 9,1, в федеральный бюджет - 8,1, иностранные инвестиции - 15,6, экспорт- 10,3, импорт- 15,5</w:t>
      </w:r>
      <w:r w:rsidRPr="007365BC">
        <w:rPr>
          <w:rStyle w:val="a5"/>
          <w:rFonts w:ascii="Times New Roman" w:hAnsi="Times New Roman" w:cs="Times New Roman"/>
          <w:sz w:val="28"/>
          <w:szCs w:val="28"/>
        </w:rPr>
        <w:footnoteReference w:id="28"/>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Основой хозяйства Северо-Западного региона является использование преимуществ его экономико-географического положения, богатого природно-ресурсного потенциала, постоянного населения и сложившейся системы расселения, значительнейшего научно-технического и трудового потенциала. Преимущества данного региона приобретают особое значение в связи с изменением геополитической ситуации.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Промышленность</w:t>
      </w:r>
      <w:r w:rsidRPr="007365BC">
        <w:rPr>
          <w:rFonts w:ascii="Times New Roman" w:hAnsi="Times New Roman" w:cs="Times New Roman"/>
          <w:sz w:val="28"/>
          <w:szCs w:val="28"/>
        </w:rPr>
        <w:t>. В настоящее время регион выступает как крупный индустриальный центр, специализирующийся на производстве наукоемкой продукции вообще, в первую очередь, сложного и точного машиностроения, выпуске продукции химической и лесной промышленности, товаров народного потребления. Наличие развитого портового хозяйства усиливает экспортно-импортные функции района на Балтийском море.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СЗФО сформировался мощный научный комплекс, который относится к «городским отраслям» и отличается высоким уровнем территориальной концентрации как материальной базы, финансовых ресурсов, так и результатов научных исследований. По основным параметрам, характеризующим научную деятельность, район занимает 2-е место в стране после Центрального. В научно-исследовательскую работу, осуществляемую учеными региона, и в первую очередь Санкт-Петербурга, по фантам вкладывает почти 25% своих средств Российский фонд фундаментальных исследований. Район является и крупным центром высшего образования страны. Здесь обучается почти 8,5% студентов вузов России.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западной части округа основу специализации составляет машиностроение, где выделяются наиболее сложные и точные производства, обеспечивающие НТП, такие, как судостроение, электротехника, энергетическое, транспортное, сельскохозяйственное машиностроение, приборо- и станкостроение, электронная промышленность.</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восточной части региона развиты добывающие отрасли промышленности: добыча железной руды, угля, рыбы, выпуск чугуна, стали, азотных и фосфатных удобрений, производство фосфатного сырья, целлюлозы, бумаги, картона, древесно-волокнистых плит, вывоз древесины. Все большее значение в новых геополитических условиях приобретает морской транспорт района и главный незамерзающий порт Мурманск</w:t>
      </w:r>
      <w:r w:rsidRPr="007365BC">
        <w:rPr>
          <w:rStyle w:val="a5"/>
          <w:rFonts w:ascii="Times New Roman" w:hAnsi="Times New Roman" w:cs="Times New Roman"/>
          <w:sz w:val="28"/>
          <w:szCs w:val="28"/>
        </w:rPr>
        <w:footnoteReference w:id="29"/>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Развитие производительных сил Европейского Севера традиционно опирается на использование ресурсного потенциала, что предполагает высокий удельный вес добывающей промышленности. Однако доступная и насыщенная сырьевая база постепенно исчерпывается, ухудшаются горно-геологические и экологические условия разработки полезных ископаемых. Преобладание этих отраслей в экономике района ухудшило и без того тяжелую экономическую ситуацию, так как кризисные явления в наибольшей степени затронули отрасли топливно-энергетического и металлургического комплексов, химическую промышленность.</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Металлургический комплекс дает более 30% промышленной продукции района и включает черную и цветную металлургию. Он работает наиболее стабильно - растет производство стали и готового продукта на Череповецком металлургическом комбинате (АО «Северсталь»), увеличивается выпуск алюминия, никеля металлического, черновой и рафинированной меди на предприятиях Мурманской области.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Топливно-энергетический комплекс обеспечивает почти 30% промышленной продукции района и осуществляет добычу угля, нефти, природного таза и газового конденсата, переработку нефти и газа, а также производство электро- и теплоэнергии. Наряду с увеличением добычи нефти и производства нефтепродуктов в Республике Коми сохраняется сложная ситуация в угольной промышленности, где ликвидируются неперспективные участки и шахты. Из-за сокращения объемов производства на предприятиях - крупных энергопотребителях происходит повсеместное падение выпуска электроэнергии во всех регионах Северного района, кроме Мурманской области.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Лесная промышленность, на долю которой приходится около 15% выпуска промышленной продукции района, отличается продолжающимся спадом производства. Это обусловлено сокращением спроса на лесную продукцию на внутреннем рынке и снижением экспортных поставок из-за активизации лесоэкспортеров Скандинавских стран.</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Развитие химической промышленности носит экстенсивный харакгер, доля этой отрасли в выпуске промышленной продукции велика. Район - главный производитель апатитового концентрата. В химической промышленности можно выделить также выпуск полимерных материалов - синтетических смол, пластмасс, резинотехнических и резинобытовых изделий, реактивов, лаков, красок, фармацевтических препаратов</w:t>
      </w:r>
      <w:r w:rsidRPr="007365BC">
        <w:rPr>
          <w:rStyle w:val="a5"/>
          <w:rFonts w:ascii="Times New Roman" w:hAnsi="Times New Roman" w:cs="Times New Roman"/>
          <w:sz w:val="28"/>
          <w:szCs w:val="28"/>
        </w:rPr>
        <w:footnoteReference w:id="30"/>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Среди отраслей пищевой промышленности общероссийское значение имеет рыбная - район дает 1/5 улова рыбы в стране. Традиционными отраслями специализации являются маслодельная промышленность, производство сгущенного и сухого молока.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производстве товаров народного потребления почти 2/3 приходится на непродовольственные товары.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Лесной комплекс представлен всеми отраслями с явным преобладанием целлюлозно-бумажной и деревообрабатывающей.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Сельское хозяйство.</w:t>
      </w:r>
      <w:r w:rsidRPr="007365BC">
        <w:rPr>
          <w:rFonts w:ascii="Times New Roman" w:hAnsi="Times New Roman" w:cs="Times New Roman"/>
          <w:sz w:val="28"/>
          <w:szCs w:val="28"/>
        </w:rPr>
        <w:t xml:space="preserve"> Сельское хозяйство - традиционная отрасль экономики Северо-Запада, но в силу особенностей развития производительных сил и природно-климатических условий территории оно играет второстепенную роль, отличаясь четкой направленностью и пригородным типом ведения хозяйства, обеспечивая лишь наполовину потребности населения в продуктах питания.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Транспортная инфраструктура региона сформирована под воздействием окраинного положения района, наличия непосредственного выхода в моря Северного бассейна, высокой грузоемкости продукции добывающих отраслей промышленности. В районе развиты все виды транспорта, но наибольшее значение имеют железнодорожный (почти 70% грузооборота), морской и речной.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последнее время все большее значение приобретает рекреационное хозяйство, которое помимо традиционного санаторно-курортного обслуживания в 40-километровой зоне Финского залива (Сестрорецк, Репино, Комарово) начинает выполнять функцию экскурсионного обслуживания международного значения, объединяя музейные памятники Санкт-Петербурга, Петродворца, Павловска, Гатчины, Царского Села, древних Великого Новгорода и Пскова.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b/>
          <w:bCs/>
          <w:sz w:val="28"/>
          <w:szCs w:val="28"/>
        </w:rPr>
        <w:t>1.4.3. Южный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состав ЮФО включены субъекты Российской Федерации, входящие в Северо-Кавказский экономический район (республики Адыгея, Дагестан, Ингушская, Чеченская, Кабардино-Балкарская, Карачаево-Черкесская, Северная Осетия - Алания, Краснодарский и Ставропольский края, Ростовская область), а также Республика Калмыкия, Астраханская и Волгоградская области, которые относятся к Поволжскому экономическому району</w:t>
      </w:r>
      <w:r w:rsidRPr="007365BC">
        <w:rPr>
          <w:rStyle w:val="a5"/>
          <w:rFonts w:ascii="Times New Roman" w:hAnsi="Times New Roman" w:cs="Times New Roman"/>
          <w:sz w:val="28"/>
          <w:szCs w:val="28"/>
        </w:rPr>
        <w:footnoteReference w:id="31"/>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Территория ЮФО - 589 тыс. кв. км, численность населения на 1 января 2000 г. - 21,5 млн человек.</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Территория региона включает значительные по протяженности побережья Черного, Азовского и Каспийского морей. Морские порты СКЭР (Новороссийск, Анапа. Сочи, Туапсе, Таганрог, Геленджик, Темрюк, Кавказ) приобрели особо важное значение для России после перехода черноморских портов Одессы, Николаева, Херсона, Севастополя под юрисдикцию Украины.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Особенности территории региона заключаются в уникальном сочетании равнин, предгорий и высоких гор, побережий трех южных морей России.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Роль ЮФО в национальной экономике страны характеризуется следующими данными (в % от общероссийских показателей): территория - 3,4, численность населения - 14,8, среднегодовая численность занятых в экономике - 12,7, ВРП - 9,1, объем промышленной продукции - 5,9, сельского хозяйства - 19,3, растениеводства - 18,9, животноводства - 17,6, стоимость основных фондов в экономике - 10,2, инвестиции в основной капитал -11,0, розничный товарооборот - 9,2, поступление налоговых платежей и сборов в бюджетную систему России - 6,3, в федеральный бюджет - 6,7, иностранные инвестиции - 11,4, экспорт - 3,7, импорт - 5,8.</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Благоприятные климатические и почвенные условия на большей части территории региона, особенно в Предкавказье, а также на побережьях Черного, Каспийского и Азовского морей, обусловили возникновение в регионе развитой базы сельскохозяйственного производства общероссийского значения. Посевные площади всех сельскохозяйственных культур на начало 2000 г составили 17,0% показателя РФ, зерновых культур - 12,2, сахарной свеклы - 19,7, подсолнечника - 46,9, овощей - 29,0, картофеля - 9,5, поголовье крупного рогатого скота - 15,0, свиней - 21,0, овец и коз - 46,6%.</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Регион отличается благоприятным транспортным положением и развитой транспортной сетью: плотность железных дорог вторая среди федеральных округов после Центрального и составляет 14,7 км на 10 тыс кв. км территории. Плотность автомобильных дорог - 107 км на 1 тыс. кв. км территории. Она очень дифференцирована по территории округа: в Республике Калмыкия она составляет 29 км, тогда как в Астраханской области - 129 км и в Волгоградской - 142 км</w:t>
      </w:r>
      <w:r w:rsidRPr="007365BC">
        <w:rPr>
          <w:rStyle w:val="a5"/>
          <w:rFonts w:ascii="Times New Roman" w:hAnsi="Times New Roman" w:cs="Times New Roman"/>
          <w:sz w:val="28"/>
          <w:szCs w:val="28"/>
        </w:rPr>
        <w:footnoteReference w:id="32"/>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Удобное географическое положение ЮФО в перспективе будет способствовать дальнейшему развитию его производительных сил, особенно после завершения транспортной системы, связывающей европейские регионы России со странами Балтийского, Азово-Черноморского и Каспийского морских бассейнов.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Велики ресурсы поверхностных и подземных вод, особенно вблизи основных водных источников. Однако размещение их весьма неравномерно. Поэтому в ряде внутренних районов Волгоградской, Астраханской областей и особенно Республики Калмыкия отмечается дефицит водных ресурсов. Развитие региона требует решения проблемы водообеспеченности таких районов путем поддержания действующих обводнительно-оросительных систем и строительства новых, увеличения объемов бурения скважин для использования подземных вод, расширения масштабов гидрогеологических работ. Ограниченность водных ресурсов диктует необходимость радикального улучшения системы водопользования и охраны водных ресурсов от загрязнения.</w:t>
      </w:r>
    </w:p>
    <w:p w:rsidR="00B92C93" w:rsidRPr="007365BC" w:rsidRDefault="00B92C93" w:rsidP="00924E30">
      <w:pPr>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b/>
          <w:bCs/>
          <w:sz w:val="28"/>
          <w:szCs w:val="28"/>
        </w:rPr>
        <w:t>1.4.5. Приволжский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Состав: Республики Марий Эл, Мордовия, Чувашская, Удмуртская, Татарстан, Башкортостан; Нижегородская, Кировская, Пермская, Пензенская, Самарская, Саратовская, Ульяновская, Оренбургская области, Коми-Пермяцкий автономный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Площадь - 1038,0 тыс. кв. км. Численность населения - 31,8 млн человек, городское - 22,5 млн человек, сельское - 9,3 млн человек. Плотность населения - 30,7 человек на 1 кв. км. Численность населения в трудоспособном возрасте - 19,0 млн человек, среднегодовая численность занятых в экономике - 14,2 млн человек.</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Природные условия и ресурсы.</w:t>
      </w:r>
      <w:r w:rsidRPr="007365BC">
        <w:rPr>
          <w:rFonts w:ascii="Times New Roman" w:hAnsi="Times New Roman" w:cs="Times New Roman"/>
          <w:sz w:val="28"/>
          <w:szCs w:val="28"/>
        </w:rPr>
        <w:t xml:space="preserve"> По совокупности природных факторов Поволжье принадлежит к числу благоприятных для комплексного развития районов Российской Федерации. Значительная часть северной части ПФО расположена в лесной зоне, только на юге находится лесостепь. Лесами здесь покрыта почти половина территории. Большая часть их в Кировской, Пермской и на севере Нижегородской области. Почвы преобладают дерново-подзолистые и подзолистые, к югу от Волги появляются серые лесные, а в Мордовии есть деградированные черноземы. Почвенно-климатические условия в целом благоприятны для выращивания серых хлебов, картофеля, кормовых культур, а на юге - сахарной свеклы, конопли, хмеля</w:t>
      </w:r>
      <w:r w:rsidRPr="007365BC">
        <w:rPr>
          <w:rStyle w:val="a5"/>
          <w:rFonts w:ascii="Times New Roman" w:hAnsi="Times New Roman" w:cs="Times New Roman"/>
          <w:sz w:val="28"/>
          <w:szCs w:val="28"/>
        </w:rPr>
        <w:footnoteReference w:id="33"/>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южной части округа около 60% сельскохозяйственных земель приходится на плодородные черноземные и каштановые почвы. Особая проблема для земельных ресурсов Нижнего Поволжья - их подверженность водной и ветровой эрозии. В этой связи необходимо повсеместно внедрять в производство комплекс противоэрозийных мероприятий.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Запасы нефти в Поволжском районе до недавнего времени обеспечивали сырьем нефтеперерабатывающую промышленность не только Поволжья, но и других районов страны. Из Поволжского района в Европу проложен нефтепровод «Дружба». Но в настоящее время в связи с истощением запасов в наиболее крупных месторождениях и активной разработкой западносибирских месторождений доля района в общероссийской добыче нефти постоянно снижается.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Нефть в Поволжье залегает на глубине от 2 до 5 км. Нередко ее пласты перекрываются твердыми кристаллическими породами, затрудняющими бурение скважин Качество нефти в Поволжье неодинаково. Большая часть характеризуется высоким удельным весом светлых фракций и ароматических углеводородов, повышающих ее ценность, но в некоторых случаях она содержит значительный процент серы (3% и более) и парафина. Наличие серы в нефти и нефтепродуктах ведет к коррозии трубопроводов, двигателей и загрязняет окружающую среду. Поэтому такую нефть предварительно очищают.</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Месторождениями природного газа выделяются Волгоградская и Саратовская области. Крупнейшее газоконденсатное месторождение открыто и эксплуатируется в Астраханской области. Это месторождение уникально по составу входящих в него нефте- и газопродуктов. Природный газ имеется также в Республике Калмыкия. Добываются в районе и попутные нефтяные газы.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Поволжский район располагает значительными ресурсами химического сырья.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Население.</w:t>
      </w:r>
      <w:r w:rsidRPr="007365BC">
        <w:rPr>
          <w:rFonts w:ascii="Times New Roman" w:hAnsi="Times New Roman" w:cs="Times New Roman"/>
          <w:sz w:val="28"/>
          <w:szCs w:val="28"/>
        </w:rPr>
        <w:t xml:space="preserve"> Общая численность населения ПФО составляет 31 ,8 млн человек, из них городское население - 22,5 млн человек (70,7% от общей численности) и сельское - 9,4 млн человек (29,3%).</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Население по территории региона размещено неравномерно. Основная полоса расселения проходит вдоль реки Волги, районообразующее значение которой и вызвало к жизни ряд крупных энергоемких производств, которые впоследствии стали отраслями специализации района</w:t>
      </w:r>
      <w:r w:rsidRPr="007365BC">
        <w:rPr>
          <w:rStyle w:val="a5"/>
          <w:rFonts w:ascii="Times New Roman" w:hAnsi="Times New Roman" w:cs="Times New Roman"/>
          <w:sz w:val="28"/>
          <w:szCs w:val="28"/>
        </w:rPr>
        <w:footnoteReference w:id="34"/>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Поволжский регион отличается большой подвижностью населения. Интенсивность миграции здесь в среднем в 2 раза выше, чем по Российской Федерации в целом. Основной поток приезжих приходится на страны СНГ (Казахстан, Таджикистан, Туркменистан, Узбекистан и Кыргызстан).</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i/>
          <w:iCs/>
          <w:sz w:val="28"/>
          <w:szCs w:val="28"/>
        </w:rPr>
      </w:pPr>
      <w:r w:rsidRPr="007365BC">
        <w:rPr>
          <w:rFonts w:ascii="Times New Roman" w:hAnsi="Times New Roman" w:cs="Times New Roman"/>
          <w:b/>
          <w:bCs/>
          <w:i/>
          <w:iCs/>
          <w:sz w:val="28"/>
          <w:szCs w:val="28"/>
        </w:rPr>
        <w:t>Общая характеристика хозяйства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Роль ПФО в национальной экономике страны характеризуется следующими данными (в % от общероссийских показателей): территория - 6,1, численность населения - 22,0, среднегодовая численность занятых в экономике - 22,2, ВРП - 22,2, объем промышленной продукции - 24,1, сельского хозяйства - 26,3, растениеводства - 26,2, животноводства - 26,3, стоимость основных фондов в экономике - 20,7, инвестиции в основной капитал - 16,4, розничный товарооборот - 16,6, поступление налоговых платежей и сборов в бюджетную систему России - 18,1, в федеральный бюджет - 15,9, иностранные инвестиции - 6,1, экспорт - 16,3, импорт - 9,5.</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Важнейшей предпосылкой развития округа, и в первую очередь его экономики, являются трудовые ресурсы, отличающиеся исторически высокой квалификацией, особенно в металлургии, химической промышленности, деревообработке. Повышению образовательного и профессионального уровня населения способствуют вузы и университеты столичных и областных центров.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Промышленный комплекс округа имеет сложную многоотраслевую структуру и является несомненным лидером экономики этого региона. Отраслями специализации являются машиностроение и металлообработка, химическая и нефтехимическая промышленность, на долю которых приходится более 50% всего объема промышленной продукции района. Эти отрасли, определяющие направления развития НТП, характеризуют место района в общероссийском территориальном разделении труда.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Машиностроение и металлообработка являются главными отраслями специализации и основой современного развития промышленного комплекса района. Условиями его развития выступили созданные производственные фонды, обеспеченность квалифицированными кадрами и выгодное транспортно-географическое положение по отношению к сырью и потребителям</w:t>
      </w:r>
      <w:r w:rsidRPr="007365BC">
        <w:rPr>
          <w:rStyle w:val="a5"/>
          <w:rFonts w:ascii="Times New Roman" w:hAnsi="Times New Roman" w:cs="Times New Roman"/>
          <w:sz w:val="28"/>
          <w:szCs w:val="28"/>
        </w:rPr>
        <w:footnoteReference w:id="35"/>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Особое место в хозяйственном комплексе региона занимает транспортное машиностроение, представленное производством самолетов и вертолетов, грузовых и легковых автомобилей, троллейбусов, велосипедов, судов.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Поволжье - крупнейший в стране производитель автомобилей. Для развития этой отрасли имеются все необходимые предпосылки. Район находится в зоне концентрации основных потребителей продукции, хорошо обеспечен транспортной сетью, уровень развития промышленного комплекса позволяет организовать широкие связи по кооперированию.</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округе возник крупнейший в Российской Федерации автомобилестроительный завод «АвтоГАЗ», который выпускает как грузовые, так и легковые автомобили. Этот гигант благодаря широким связям по кооперированию стал связующим звеном всего производственного комплекса региона.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Другим гигантом является Волжский автомобильный завод, который был построен в Тольятти за три с половиной года (1967-1971) и по своей технической оснащенности цехов, уровню автоматизации и механизации является ведущим в автомобилестроении страны. ВАЗ имеет обширные связи по кооперации. В комплектации автомобиля «Жигули» участвуют как предприятия Поволжья - Нижнекамский завод (покрышки), Волжский завод РТИ (прокладки, резиновые кольца), заводы Димитровграда Ульяновской области (тканевые материалы для обивки и утепления салона, кузовная арматура, карбюраторы, вкладыши), так и предприятия, специально построенные для ВАЗа в других районах страны, например Вологодский подшипниковый завод.</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КамАЗ - крупнейшее в России предприятие по производству грузовых автомобилей большой грузоподъемности. В его составе 7 заводов: автомобильный, двигателей, прессорамный, кузнечный, литейный, колесный, ремонтно-инструментальный. КамАЗ имеет более 100 предприятий-смежников, обеспечивающих поставки необходимых комплектующих изделий.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Ульяновский автозавод возник в 1941 г. на базе эвакуированного ЗИЛа. Здесь создана серия автомобилей УАЗ высокой проходимости, предназначенных для мелкопорционной перевозки грузов.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Авиационная промышленность возникла в годы войны в Самаре и Саратове. В настоящее время отрасль специализируется на производстве турбореактивных самолетов (Самара) и ЯК-40 (Саратов)</w:t>
      </w:r>
      <w:r w:rsidRPr="007365BC">
        <w:rPr>
          <w:rStyle w:val="a5"/>
          <w:rFonts w:ascii="Times New Roman" w:hAnsi="Times New Roman" w:cs="Times New Roman"/>
          <w:sz w:val="28"/>
          <w:szCs w:val="28"/>
        </w:rPr>
        <w:footnoteReference w:id="36"/>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Старейшей отраслью специализации региона является судостроение с крупным центром в Нижнем Новгороде (завод «Красное Сормово»), выпускающим морские паромы, суда на подводных крыльях, суда смешанного «река-море» плавания, современные пассажирские теплоходы, речные ледоколы.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Высокого уровня развития достигли станкостроение, приборостроение, электро- и светотехника, производство инструментов, оборудования для химической, лесной и пищевой промышленности. Электротехническая промышленность представлена предприятиями, возникшими в столицах республик: завод «Электровыпрямитель» в Саранске - головное предприятие объединения «Светотехника», выпускающий электролампы и выпрямители; электроаппаратный завод в Чебоксарах; производство полупроводниковых приборов, в том числе для цветных телевизоров, есть в Йошкар-Оле.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Топливно-энергетический комплекс</w:t>
      </w:r>
      <w:r w:rsidRPr="007365BC">
        <w:rPr>
          <w:rFonts w:ascii="Times New Roman" w:hAnsi="Times New Roman" w:cs="Times New Roman"/>
          <w:sz w:val="28"/>
          <w:szCs w:val="28"/>
        </w:rPr>
        <w:t>. Поволжье использует как собственное топливно-энергетическое сырье, так и привозное. Более половины добываемых в районе нефти и газа вывозится. В то же время тепловые электростанции (ТЭС) и тепловые электроцентрали (ТЭЦ) района работают на энергетических углях Кузбасса, Караганды и др., на оренбургском газе, поступающем по магистральному газопроводу. В перспективе существенных изменений в структуре топливного баланса района не ожидается. Предполагается более активное использование избыточного топлива восточных районов страны.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На территории района находятся наиболее мощные ГЭС Волжского каскада: Волжская у города Жигулевска Самарской области (мощность 2,3 млн кВт), Саратовская у города Балаково (мощность 1,3 млн кВт), Волгоградская (мощность 2,5 млн кВт), Нижнекамская (мощность 1,1 млн кВт).</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районе действует ряд мощных тепловых станций, размещенных в центрах крупного потребления тепла и электроэнергии (нефтехимическая промышленность и нефтепереработка). В суммарном производстве электроэнергии доля тепловых электростанции составляет примерно 3/5. Одной из крупнейших является ГРЭС в Республике Татарстан (мощность 2,4 млн кВт), работающая на газе</w:t>
      </w:r>
      <w:r w:rsidRPr="007365BC">
        <w:rPr>
          <w:rStyle w:val="a5"/>
          <w:rFonts w:ascii="Times New Roman" w:hAnsi="Times New Roman" w:cs="Times New Roman"/>
          <w:sz w:val="28"/>
          <w:szCs w:val="28"/>
        </w:rPr>
        <w:footnoteReference w:id="37"/>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Нефтегазохимический комплекс региона является крупнейшим в стране по объемам производства и его завершенности. Он включает в себя всю технологическую цепочку последовательной переработки нефти и газа - от их добычи до производства различных химических продуктов и изделий из них. Развитию этого комплекса способствовало прежде всего наличие мошной сырьевой базы. Крупнейшие предприятия нефтепереработки в Самарской области: Сызраньский нефтеперерабатывающий завод на базе эвакуированного во время войны Бакинского НПЗ, Самарский нефтеперерабатывающий завод и Новокуйбышевский нефтехимический комплекс, в Республике Татарстан - нефтеперерабатывающий завод в Альметьевске; Волгоградский НПЗ -ведущий в стране по выработке смазочных масел. Район занимает ведущее место в стране по выпуску аммиака, каустической соды, капролактама, средств защиты растений, пластмасс, красителей, кожзаменителей, шин, минеральных удобрений и других химических продуктов. Большее развитие отрасль получила в Нижегородской области, где действуют нефтеперерабатывающие заводы в Нижнем Новгороде и Кстово В городе Дзержинске сформировался крупнейший химический комплекс по выпуску поливинилхлоридных труб, оргстекла, пластиков, минеральных удобрений, гербицидов и др. Шинное производство возникло в Кирове, Чебоксарах и Саранске.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Заметное место в структуре промышленности района занимают лесная и деревообрабатывающая промышленность, использующие местное сырье. Предприятия лесной и деревообрабатывающей промышленности представлены во всех областях и республиках экономического района, но наибольшее развитие они получили в Кировской и Нижегородской областях. Дальнейшее развитие лесной промышленности связано с более глубокой переработкой древесного сырья, полным использованием отходов, расширением использования лиственной древесины и проведением лесовосстановительных работ.</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ПФО выделяется как район старинных народных художественных промыслов. Это деревянная продукция объединения «Хохломская роспись», матрешки (Семенов), глиняные дымковские игрушки и капокорешковые изделия (Киров), сувенирные металлические изделия (Павлово), изделия из льняных тканей с национальной вышивкой республик и др.</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Сельское хозяйство</w:t>
      </w:r>
      <w:r w:rsidRPr="007365BC">
        <w:rPr>
          <w:rFonts w:ascii="Times New Roman" w:hAnsi="Times New Roman" w:cs="Times New Roman"/>
          <w:sz w:val="28"/>
          <w:szCs w:val="28"/>
        </w:rPr>
        <w:t xml:space="preserve"> Агропромышленный комплекс ПФО имеет общероссийское значение как по производству важнейших видов продукции сельского хозяйства, так и по их переработке.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Природно-климатические условия способствуют развитию сельского хозяйства Поволжья, располагающего обширной естественной базой для развития и размещения отраслей земледелия</w:t>
      </w:r>
      <w:r w:rsidRPr="007365BC">
        <w:rPr>
          <w:rStyle w:val="a5"/>
          <w:rFonts w:ascii="Times New Roman" w:hAnsi="Times New Roman" w:cs="Times New Roman"/>
          <w:sz w:val="28"/>
          <w:szCs w:val="28"/>
        </w:rPr>
        <w:footnoteReference w:id="38"/>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Сельскохозяйственные угодья занимают примерно 1/3 всей территории региона, в том числе на долю пашни приходится 69,5%, а на долю лугов и пастбищ - 29,5%.</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На долю зерновых в посевной площади приходится около 74,6%, свеклы - 0,7, картофеля и овощей - 3,7, технических культур - 10%. Зерновые представлены озимой рожью, яровой пшеницей, на юге - озимой пшеницей, ячменем, овсом, гречихой.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Поволжье было и остается одним из основных сельскохозяйственных районов Российской Федерации. Кроме отраслей, обычных для любого экономического района, обеспечивающих местное население продуктами питания, Поволжье имеет ряд производств общероссийского значения, таких, как мукомольно-крупяная, рыбная, соляная. Предприятия по переработке сельскохозяйственного сырья приурочены к зонам сельскохозяйственного производства, крупным городам и транспортным узлам.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Важнейшими техническими культурами Поволжья являются подсолнечник, сахарная свекла и горчица. Их удельный вес в структуре всех посевных площадей района не превышает 4%. Посевы подсолнечника преимущественно распространены в лесостепных и степных районах Самарской области и особенно в сухих степных районах Саратовской области.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Поволжье - один из крупных животноводческих районов России. По численности поголовья крупного рогатого скота (8,4 млн голов) район занимал ведущее место в Российской Федерации (30,7% общего поголовья по РФ).</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Животноводство дает более половины всей валовой продукции сельского хозяйства округа. Оно располагает обширной естественной кормовой базой. Кроме того, в производстве кормов участвует полеводство. На производство кормов, включая зерновые и бобовые культуры, отводится около 30% всех посевных площадей района.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Размещение отраслей животноводства, его специализация определяются природно-климатическими условиями, состоянием кормовой базы. В лесостепных районах большей частью разводят крупный рогатый скот молочно-мясных пород, в степных засушливых районах юга и Заволжья преобладает мясошерстное направление - полутонкорунное и тонкорунное овцеводство и мясное скотоводство</w:t>
      </w:r>
      <w:r w:rsidRPr="007365BC">
        <w:rPr>
          <w:rStyle w:val="a5"/>
          <w:rFonts w:ascii="Times New Roman" w:hAnsi="Times New Roman" w:cs="Times New Roman"/>
          <w:sz w:val="28"/>
          <w:szCs w:val="28"/>
        </w:rPr>
        <w:footnoteReference w:id="39"/>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связи с наличием в Поволжье большого числа крупных, средних, мелких городов и промышленных центров, где проживает 70,3% населения, здесь получило широкое развитие пригородное хозяйство. Созданы специализированные хозяйства по производству молока, овощей, картофеля и другой скоропортящейся продукции сельского хозяйства.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Особое место в Поволжье занимает рыбная промышленность, производящая высококачественные рыбные изделия. Она сосредоточена преимущественно в Нижнем Поволжье, особенно в Астраханской области.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Транспорт.</w:t>
      </w:r>
      <w:r w:rsidRPr="007365BC">
        <w:rPr>
          <w:rFonts w:ascii="Times New Roman" w:hAnsi="Times New Roman" w:cs="Times New Roman"/>
          <w:sz w:val="28"/>
          <w:szCs w:val="28"/>
        </w:rPr>
        <w:t xml:space="preserve"> В Поволжье развиты все виды современного транспорта. По показателям транспортной обеспеченности регион превосходит многие районы Российской Федерации (по плотности железных дорог он занимает 3-е место, по плотности автомобильных дорог - 2-е место).</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Важнейшим является железнодорожный транспорт. Ему принадлежит 1-е место в структуре грузооборота и в перевозках грузов. Протяженность железных дорог составляет около 15 тыс. км. Поволжье пересекают широтные железнодорожные магистрали: Москва – Казань - Свердловск; Москва – Сызрань – Самара – Кинель - Челябинск. У Саратова Волгу пересекает дорога Ртищево – Саратов - Уральск, которая связывает Нижнее Поволжье с Центральной Россией, Уралом и Казахстаном.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Большую роль в грузоперевозках Поволжья играет речной транспорт. В пределах района по глубоководной Волжской магистрали осуществляются перевозки нефти, зерна, леса, соли, каменного угля, рыбы, цемента, бахчевых культур, автомобилей, тракторов, минеральных удобрений и т.д. Волга связывает Поволжье с районами Центральной России, Урала, а через Волго-Донской канал - с Кавказом, Азовским и Черным морями. Волго-Балтийский водный путь связал Поволжье с Северо-Западом. В ряде мест Волга пересекается железными дорогами, что способствует развитию смешанных железнодорожно-речных перевозок.</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Хорошо развит в районе трубопроводный транспорт. С его помощью перемещаются нефть, газ и продукты их переработки. В Поволжье переплетаются крупнейшие нефтепроводы, идущие из Западной Сибири, с теми, которые проложены из Поволжья в европейскую часть Российской Федерации и в Западную Европу (известный нефтепровод «Дружба», нефтепровод Самара - Новороссийск, нефтепроводы на Москву и Рязань, а также проходящие через Нижний Новгород на Ярославль и Санкт-Петербург газопроводы Саратов - Москва и Саратов - Нижний Новгород)</w:t>
      </w:r>
      <w:r w:rsidRPr="007365BC">
        <w:rPr>
          <w:rStyle w:val="a5"/>
          <w:rFonts w:ascii="Times New Roman" w:hAnsi="Times New Roman" w:cs="Times New Roman"/>
          <w:sz w:val="28"/>
          <w:szCs w:val="28"/>
        </w:rPr>
        <w:footnoteReference w:id="40"/>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b/>
          <w:bCs/>
          <w:sz w:val="28"/>
          <w:szCs w:val="28"/>
        </w:rPr>
        <w:t>1.4.6. Уральский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состав УФО включены Удмуртская Республика, Курганская, Свердловская, Челябинская, Тюменская области, Ханты-Мансийский и Ямало-Ненецкий автономные округа.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УФО охватывает площадь 1,8 млн кв. км (около 1/10 территории страны), в том числе Удмуртская Республика - 42,1 тыс. кв. км, Курганская область - 71,0, Свердловская - 194,8, Челябинская - 87,9 и Тюменская область (включая Ханты-Мансийский и Ямало-Ненецкий автономные округа) - 1435,2 тыс. кв. км.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Численность населения округа в 2000 г. составляла 12,6 млн человек (9,8% населения страны).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Удельный вес городского населения - 84,2%, сельского - 15,8%. Плотность населения - 7 человек на 1 кв. км (в среднем по стране - 8,5 человека). Сеть городских поселений округа включает 114 городов и 174 поселка городского типа.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Территория округа отличается весьма разнообразными природными условиями, характерными для приморских регионов Заполярья, тундры, тайги, лесостепной и частично степной зон. Наиболее суровыми природными условиями отличается примерно 25% территории Тюменской области и особенно той ее части, которая расположена в пределах Ханты-Мансийского и Ямало-Ненецкого автономных округов. Значительная часть Ямало-Ненецкого АО находится за Полярным кругом. Сравнительно благоприятные почвенные и климатические условия, характерные для лесостепной и степной территорий Урала и Тюменской области, создают необходимые предпосылки развития аграрно-промышленного потенциала в регионе. Значительны водные и лесные ресурсы региона.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Недра региона богаты разнообразными полезными ископаемыми, среди которых нефть, газ, уголь, железные руды, хромиты, медь, бокситы, алмазы, золото, платина, драгоценные и поделочные камни, асбест, графит, тальк, кварциты, сырье для производства разнообразных строительных материалов.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Округ имеет сравнительно развитую транспортную сеть, особенно в пределах Среднего и Южного Урала, а также юга Тюменской области.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Эксплуатационная длина железных дорог общего пользования - 8,6 тыс. км при плотности железнодорожных путей 52,5 км на 10 тыс. кв. км территории; протяженность автомобильных дорог - 34,3 тыс. км, при плотности - 55,9 км на 1000 кв. км</w:t>
      </w:r>
      <w:r w:rsidRPr="007365BC">
        <w:rPr>
          <w:rStyle w:val="a5"/>
          <w:rFonts w:ascii="Times New Roman" w:hAnsi="Times New Roman" w:cs="Times New Roman"/>
          <w:sz w:val="28"/>
          <w:szCs w:val="28"/>
        </w:rPr>
        <w:footnoteReference w:id="41"/>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Протяженность внутренних судоходных путей (реки Обь, Иртыш и др.) наиболее значительна в Тюменской области (9,8 тыс.км), из них в Ханты-Мансийском округе - 4,8 тыс. и в Ямало-Ненецком - 3,7 тыс. кв. км. В Курганской области внутрирайонные перевозки осуществляются по реке Тобол, в Удмуртской Республике - по реке Каме, на северо-востоке Свердловской области - по реке Тавда. Через водные пути Тюменской области осуществляется связь регионов, тяготеющих к Транссибирской магистрали, с северными территориями округа и морями Северного Ледовитого океана. Удобное географическое положение округа на стыке европейской и восточной частей страны обусловило эффективность его экономических связей со всеми регионами РФ, которые еще более усилятся после развития системы железных дорог транспортного коридора по направлению Урал - Северо-Запад - Север, а также скоростных автомагистралей Запад - Восток.</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Географическое положение северных территорий Тюменской области, и в частности Ямало-Ненецкого и Ханты-Мансийского автономных округов, позволяет осуществлять их транспортное обслуживание морским флотом по Северному морскому пути.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i/>
          <w:iCs/>
          <w:sz w:val="28"/>
          <w:szCs w:val="28"/>
        </w:rPr>
      </w:pPr>
      <w:r w:rsidRPr="007365BC">
        <w:rPr>
          <w:rFonts w:ascii="Times New Roman" w:hAnsi="Times New Roman" w:cs="Times New Roman"/>
          <w:b/>
          <w:bCs/>
          <w:i/>
          <w:iCs/>
          <w:sz w:val="28"/>
          <w:szCs w:val="28"/>
        </w:rPr>
        <w:t>Общая характеристика хозяйства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Роль УФО в национальной экономике страны характеризуется следующими данными (в % от общероссийских показателей): территория - 10,5, численность населения - 8,7, среднегодовая численность занятых в экономике - 9,0, ВРП - 14,0, объем промышленной продукции - 19,4, сельского хозяйства - 6,3, растениеводства - 5,7, животноводства - 7,0, стоимость основных фондов в экономике - 13,5, инвестиции в основной капитал - 22,5, розничный товарооборот - 7,2, поступление налоговых платежей и сборов в бюджетную систему России - 17,8, в федеральный бюджет - 15,8, иностранные инвестиции - 8,6, экспорт - 21,2, импорт - 6,3.</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Регион располагает значительным человеческим потенциалом, очень неравномерно распределенным по территории округа. Численность населения в 2001 г. составила 12 564,6 тыс. человек, хотя в 1992 г. она была на уровне 12 658,0 тыс. человек. Негативная динамика была обусловлена отрицательными показателями естественного прироста. В 1999 г. в целом по округу естественная убыль составила 5;5. в 2000 г - 4,4 человек на 1000 населения. Стабилизация численности населения обусловлена высоким миграционным приростом но всем субъектам РФ региона, особенно в период 1994-1999 IT Согласно неполным данным, ко состоянию на начало 2000 г только число зарегистрированных вынужденных переселенцев и беженцев превысило 145 тыс человек. Миграционный прирост населения обусловлен наличием в регионе развитого хозяйственного потенциала</w:t>
      </w:r>
      <w:r w:rsidRPr="007365BC">
        <w:rPr>
          <w:rStyle w:val="a5"/>
          <w:rFonts w:ascii="Times New Roman" w:hAnsi="Times New Roman" w:cs="Times New Roman"/>
          <w:sz w:val="28"/>
          <w:szCs w:val="28"/>
        </w:rPr>
        <w:footnoteReference w:id="42"/>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УФО размешается мощный промышленный потенциал В 1999 г здесь произведено 14,4% электроэнергии, 68,3 - нефти, включая газовый конденсат, 2,1 - первичной переработки нефти, 91,5 - естественного газа (природного и нефтяного), 2,8 - угля, 35,2 - готовою проката черных металлов, 6,5 – синтетических смол и пластических масс, 21,3 - металлорежущих станков, 10 - грузовых и легковых автомобилей, 2,4 - холодильников, 8,6 - вывозки древесины, 12 - пиломатериалов, 6,9 - кирпича строительного, 5,9 - цемента, 0,5 - тканей всех видов, 1,8 - обуви, 7,6 -мяса (промышленная переработка) 10,5% цельномолочной продукции (в пересчете на молоко).</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отраслевой структуре промышленности региона преобладают отрасли топливно-энергетического, металлургического и машиностроительного комплексов, а также пищевой промышленности.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Главное богатство региона - нефтяные и газовые запасы Тюменской области. В силу этого регион является достаточно привлекательным для иностранных предпринимателей. Иностранные инвестиции преимущественно направлялись в нефтяную и газовую промышленность, черную и цветную металлургию и в меньшей мере - в химическую и нефтехимическую промышленность и машиностроение.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Специфика промышленного потенциала УФО обусловлена преобладанием в структуре промышленного производства крупных предприятий машиностроения и металлообработки (как гражданских отраслей, так и ВПК, что определило особую сложность его адаптации к условиям переходного периода и отказа от планового управления из центра Эти обстоятельства, а также быстрый рост материальных, энергетических и транспортных затрат привели к резкому падению объемов производства и снижению его рентабельности.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Значительное развитие получили сферы науки и высшей школы. На начало 2000 г. здесь размещались 281 организация, выполняющие исследования и разработки (6,9% их числа в РФ), в которых было занято 51,3 тыс. человек (5,9%), 88 вузов (9,8%) с числом студентов 358,4 тыс. человек (8,8%). Число аспирантов возросло до 4,6 тыс. человек (4,3% их числа в РФ)</w:t>
      </w:r>
      <w:r w:rsidRPr="007365BC">
        <w:rPr>
          <w:rStyle w:val="a5"/>
          <w:rFonts w:ascii="Times New Roman" w:hAnsi="Times New Roman" w:cs="Times New Roman"/>
          <w:sz w:val="28"/>
          <w:szCs w:val="28"/>
        </w:rPr>
        <w:footnoteReference w:id="43"/>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Кризисные явления в экономике региона вызвали резкое ухудшение использования достаточно мощного трудового потенциала региона. В 2000 г. из 7103 тыс. человек экономически активного населения число занятых в экономике составило лишь 6217 тыс. человек,</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К началу 2000 г. общая численность безработных в регионе достигла 895 тыс. человек. При этом безработные отличались достаточно высоким образовательным уровнем. К 2000 г. численность не занятых трудовой деятельностью граждан, зарегистрированных в органах государственной службы занятости, составила 118,2 тыс. человек.</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b/>
          <w:bCs/>
          <w:sz w:val="28"/>
          <w:szCs w:val="28"/>
        </w:rPr>
        <w:t>1.4.7. Сибирский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состав СФО (с центром в Новосибирске) включены субъекты РФ, расположенные в Восточно-Сибирском экономическом районе, а также Западно-Сибирском экономическом районе (за исключением Тюменской области, которая вошла в состав Уральского федерального округа).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СФО охватывает 5114,9 тыс. кв. км (29,9% территории страны); численность его населения на начало 2000 г. - 20 792 тыс. человек (14,2%).</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По размерам территории регион занимает 2-е место после Дальневосточного федерального округа, по численности населения - лишь 5-е место. Сеть городских поселений региона включает 132 города и 292 поселка городского типа.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Регион отличается недостаточной степенью транспортной обеспеченности. Эксплуатационная длина железных дорог составляет 15,0 тыс. км, а плотность железнодорожных путей общего пользования на 10 тыс. кв. км - 2,9 км. Протяженность автомобильных дорог - 89,4 тыс. км при плотности автодорог с твердым покрытием на 1000 кв. км территории - 17,5 км. Плотность автодорог с твердым покрытием колеблется в широких пределах от 5,5 км на 1000 кв. км территории в Красноярском крае до 59 км в Кемеровской области.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Наряду с этим практически регион Сибири обладает развитой сетью внутренних судоходных путей. Наиболее крупные судоходные реки - Обь, Иртыш, Ангара, Енисей, Лена, Витим, Селенга с многочисленными притоками. Наличие обширной сети водных путей позволяет осуществлять внутренние грузовые и пассажирские перевозки в пределах территории региона и через Карское море входить в сферу действия Северного морскою пуки как одной из важнейших транспортных коммуникаций страны, имеющей огромное стратегическое и экономическое значение для развития северных территорий Сибири и Дальнего Востока.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На севере Красноярского края, в пределах Таймырского (Долгано-Ненецкою) автономного округа, омываемого Карским морем и морем Лаптевых, расположены порты Дудинка, Диксон, Хатанга. Северная часть региона зависит от регулярного обслуживания морским флотом по Северному морскому пути, который обеспечивает значительную часть северного завоза и вывоза продукции цветной металлургии из Норильска и лесною комплекса. В настоящее время все большее значение приобретает необходимость круглогодичного использования Северного морского пути для перевозок из Атлантического в Тихий океан.</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Транспортная обеспеченность территории региона существенно улучшится в результате завершения строительства Байкало-Амурской магистрали, имеющей уникальное значение для дальнейшего освоения Восточной Сибири и Дальнего Востока, обладающих богатейшими минерально-сырьевыми и лесными ресурсами. Ввод этой магистрали существенно усилит транзитное значение региона по направлению Запад - Восток с выходом в страны Азиатско-Тихоокеанского региона. К началу 2001 г. По этому пути прошло из Азии в Европу 41274 контейнера. При этом была обеспечена полная сохранность грузов.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Роль транспортной системы региона еще более возрастет в результате развития международного транспортного коридора «Транссио» (Азия - Россия - Европа) с тремя ответвлениями на Казахстан и Китай. Корейский полуостров, Монголию.</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i/>
          <w:iCs/>
          <w:sz w:val="28"/>
          <w:szCs w:val="28"/>
        </w:rPr>
        <w:t>Природные условия и ресурсы</w:t>
      </w:r>
      <w:r w:rsidRPr="007365BC">
        <w:rPr>
          <w:rFonts w:ascii="Times New Roman" w:hAnsi="Times New Roman" w:cs="Times New Roman"/>
          <w:sz w:val="28"/>
          <w:szCs w:val="28"/>
        </w:rPr>
        <w:t>. Территория региона отличается разнообразными природными условиями, характерными для тайги, лесостепной и частично степной зон, а также горных районов. Большая часть Республики Алтай, вплоть до границы с Казахстаном и Монголией, находится в пределах Алтайских гор</w:t>
      </w:r>
      <w:r w:rsidRPr="007365BC">
        <w:rPr>
          <w:rStyle w:val="a5"/>
          <w:rFonts w:ascii="Times New Roman" w:hAnsi="Times New Roman" w:cs="Times New Roman"/>
          <w:sz w:val="28"/>
          <w:szCs w:val="28"/>
        </w:rPr>
        <w:footnoteReference w:id="44"/>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Главными составными элементами национального богатства региона являются топливно-энергетические и минерально-сырьевые ресурсы. Регион занимает 1-е место в стране по разведанным запасам энергетического и коксующегося каменного угля высокого качества, значительны запасы нефти и природного газа, железных, свинцово-цинковых, марганцевых и хромовых руд, титана, магния, золота, редких металлов, поделочных цветных камней, поваренной и глауберовой соли, фосфоритовых и нефелиновых руд, цементного сырья.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Ресурсы минерального сырья в Республике Алтай представлены цветными и редкими металлами, ртутью, золотом, поделочными цветными камнями. В Алтайском крае помимо месторождений цветных и редких металлов и поделочных цветных камней выявлены значительные запасы поваренной и глауберовой соли и соды, в Кемеровской области - каменного угля, железных, фосфоритовых и нефелиновых руд, горючих сланцев, золота, в Новосибирской области - каменного угля, торфа, нефти и природного газа, в Омской области - нефти, природного газа, бурого угля, торфа, в Томской области - нефти, природного газа, руд черных и цветных металлов, химического сырья. Во всех областях региона значительны ресурсы нерудного сырья для производства разнообразных строительных материалов.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Значителен аграрный потенциал региона. Общая площадь сельскохозяйственных угодий, используемых землепользователями, занимающимися сельскохозяйственным производством в регионе, составляет 29 473 тыс. га (14,9% уровня РФ), в том числе пашня - 16 877 тыс. га (14%). По этим показателям регион занимает 3-е место после Поволжья и Урала. Наибольшими площадями плодородных сельскохозяйственных земель располагают Омская и Новосибирская области и Алтайский край, в меньшей мере - Кемеровская область.</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Район отличается значительными водными ресурсами, обеспечивающими практически любые возможности промышленного и хозяйственно-бытового водоснабжения. Между тем в перспективе можно ожидать ухудшения этих условий, а также отрицательных экологических последствий прежде всего на территориях Омской и Новосибирской областей, тяготеющих к бассейну Иртыша, в связи с форсированным строительством в Синьцзян-Уйгурском автономном районе Китая канала Иртыш - Каранай</w:t>
      </w:r>
      <w:r w:rsidRPr="007365BC">
        <w:rPr>
          <w:rStyle w:val="a5"/>
          <w:rFonts w:ascii="Times New Roman" w:hAnsi="Times New Roman" w:cs="Times New Roman"/>
          <w:sz w:val="28"/>
          <w:szCs w:val="28"/>
        </w:rPr>
        <w:footnoteReference w:id="45"/>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i/>
          <w:iCs/>
          <w:sz w:val="28"/>
          <w:szCs w:val="28"/>
        </w:rPr>
      </w:pPr>
      <w:r w:rsidRPr="007365BC">
        <w:rPr>
          <w:rFonts w:ascii="Times New Roman" w:hAnsi="Times New Roman" w:cs="Times New Roman"/>
          <w:b/>
          <w:bCs/>
          <w:i/>
          <w:iCs/>
          <w:sz w:val="28"/>
          <w:szCs w:val="28"/>
        </w:rPr>
        <w:t>Общая характеристика хозяйства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Роль СФО в экономике страны характеризуется следующими данными (за 2000 г. в % к общероссийским показателям): территория - 30, численность населения - 14,3, среднегодовая численность занятых в экономике - 13,6, ВРП - 12,2, стоимость основных фондов в экономике (на конец года) - 13,5, объем промышленной продукции - 13,2, объем продукции сельского хозяйства - 16,1, растениеводства - 16,0, животноводства - 16,2, розничный товарооборот - 11,1, поступление налоговых платежей и сборов в бюджетную систему России - 8,8, в федеральный бюджет - 7,0, инвестиции в основной капитал - 8,0, иностранные инвестиции - 10,3, объем экспорта - 11,7, объем импорта - 7,7.</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Юг Западной Сибири - крупнейший в стране производитель каменного угля, важный регион страны по развитию черной и цветной металлургии, химической и нефтехимической, лесной, деревообрабатывающей и целлюлозно-бумажной промышленности.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Развитие хозяйства региона, отличающегося преобладанием энергоемких отраслей, лимитируется недостатком мощностей электроэнергетики, которые не в состоянии полностью обеспечить быстрорастущее электропотребление. В 1999 г. в регионе было произведено лишь 55,6 млрд кВт • ч электроэнергии (6,6% уровня РФ).</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Решение проблемы энергообеспечения региона целесообразно за счет передачи электроэнергии из Восточной Сибири и наращивания мощностей местных источников энергоснабжения. Существенное значение для развития электроэнергетики региона будут иметь ввод в действие линии электропередач 1150 кВт Барнаул - Итат, новых мощностей на Томской ТЭЦ (140 мВт), газотурбинной станции в Барнауле мощностью 250 мВт электрической и 200 гкл тепловой энергии. Предлагается возведение нескольких мини-ГЭС на горных реках края и использование ветряных и солнечных электростанций, а также строительство ряда новых городских теплоэлектроцентралей и крупных котельных.</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Инновационная политика в электроэнергетике региона должна быть направлена на реконструкцию станций, применение нового оборудования с улучшенными энергетическими и экологическими характеристиками, повышение эффективности использования электро- и тепловой энергии</w:t>
      </w:r>
      <w:r w:rsidRPr="007365BC">
        <w:rPr>
          <w:rStyle w:val="a5"/>
          <w:rFonts w:ascii="Times New Roman" w:hAnsi="Times New Roman" w:cs="Times New Roman"/>
          <w:sz w:val="28"/>
          <w:szCs w:val="28"/>
        </w:rPr>
        <w:footnoteReference w:id="46"/>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Добыча нефти в настоящее время осуществляется в Томской области, где в 2000 г. было добыто 6,9 млн т. Имеются проблемы загрязнения окружающей среды, поскольку многие действующие производства не оснащены современными очистными установками для улавливания и обезвреживания вредных веществ из отходящих газов и сточных вод предприятий и объектов коммунального хозяйства,</w:t>
      </w:r>
      <w:r w:rsidR="00924E30" w:rsidRPr="007365BC">
        <w:rPr>
          <w:rFonts w:ascii="Times New Roman" w:hAnsi="Times New Roman" w:cs="Times New Roman"/>
          <w:sz w:val="28"/>
          <w:szCs w:val="28"/>
        </w:rPr>
        <w:t xml:space="preserve"> </w:t>
      </w:r>
      <w:r w:rsidRPr="007365BC">
        <w:rPr>
          <w:rFonts w:ascii="Times New Roman" w:hAnsi="Times New Roman" w:cs="Times New Roman"/>
          <w:sz w:val="28"/>
          <w:szCs w:val="28"/>
        </w:rPr>
        <w:t>все это способствовало возникновению во многих городских поселениях региона крайне неблагоприятной экологической ситуации. Результатом этого стал высокий уровень заболеваемости населения, который в 1999 г. составил в Республике Алтай - 717,4, Алтайском крае - 597,6, Новосибирской области - 638,3, Омской области - 720,2 и Томской области - 756,4 заболеваний у зарегистрированных больных с впервые установленным диагнозом на 1000 населения.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Средства, затрачиваемые в регионе на охрану водных ресурсов и атмосферного воздуха, явно недостаточны для достижения сколько-нибудь позитивного эффекта. При этом далеко не все городские поселения, отличающиеся высоким уровнем загрязнения воздуха и местных водных источников, стали объектом пристального внимания экологических властей региона и РФ.</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Необходимо принять меры по радикальной защите воздушного бассейна прежде всего в городах Кемеровской области, которая лидирует в регионе по величине выбросов загрязняющих веществ в атмосферу (951 тыс. т в 1999 г.), а также в Алтайском крае (258 тыс.), Новосибирской (208 тыс.) и Омской областях (269 тыс. т). В Томской области, где этот показатель был ниже (140 тыс. т), в отдельных городских поселениях вредные выбросы в атмосферу все еще значительны. Об этом свидетельствует лидерство этой области по величине заболеваемости населения.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целях сохранения легкоранимой северной природы необходимо создавать в местах компактного проживания коренных малочисленных народов Севера зоны традиционного природопользования, а также полностью реализовать намеченные меры по содержанию государственных природных заповедников, по улучшению финансового и организационно-технического обеспечения полярных гидрометеорологических станций Управления по гидрометеорологии и мониторингу окружающей среды Таймырского (Долгано-Ненецкого) автономного округа. В существенном улучшении нуждаются система авиационной охраны оленьих пастбищ от пожаров, а также развитие научно-исследовательских работ по изучению и использованию популяции дикого северного оленя</w:t>
      </w:r>
      <w:r w:rsidRPr="007365BC">
        <w:rPr>
          <w:rStyle w:val="a5"/>
          <w:rFonts w:ascii="Times New Roman" w:hAnsi="Times New Roman" w:cs="Times New Roman"/>
          <w:sz w:val="28"/>
          <w:szCs w:val="28"/>
        </w:rPr>
        <w:footnoteReference w:id="47"/>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последние годы в регионе имеет место снижение объема иностранных инвестиций с 1,3 млрд до 1,1 млрд долл., что составляет около 10% общероссийского показателя. В перспективе регион может сохранить свою роль во внешнеэкономической деятельности страны за счет развития экспортно-ориентированных отраслей топливно-энергетического комплекса, цветной металлургии, лесопромышленного комплекса и предприятий ВПК. Неотложной задачей является развитие пищевой и легкой промышленности, сферы услуг, растениеводства и животноводства.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Актуальной задачей является разработка новой научно обоснованной государственной стратегии развития Сибири, охватывающей территории Западно-Сибирского и Восточно-Сибирского экономических районов.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b/>
          <w:bCs/>
          <w:sz w:val="28"/>
          <w:szCs w:val="28"/>
        </w:rPr>
        <w:t>1.4.8. Дальневосточный федеральный округ</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состав ДВФО включены Республика Саха (Якутия), Еврейская автономная область, Чукотский автономный округ, Приморский и Хабаровский края, Амурская, Камчатская область (включая Корякский автономный округ), Магаданская и Сахалинская области.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По размерам своей территории (6215,9 тыс. кв. км) округ лидирует среди всех регионов РФ, охватывая 36,4% всей площади страны. Однако по численности населения, которое составило на начало 2000 г. 7160 тыс. человек, или 4,9% к общероссийскому показателю, регион существенно уступает всем другим регионам России. Это обусловило весьма низкую степень заселенности территории региона (плотность его составляет 1,2 человека на 1 кв. км) и недостаточно развитую сеть городских поселений (70 городов, 255 поселков городского типа). Удельный вес городского населения на 1 января 2000 г. - 75,9% и сельского - 24,1%.</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Особенностью территории региона является крайне низкая обеспеченность железнодорожными путями общего пользования (протяженность 8337 тыс. км при плотности 13 км на 10 000 кв. км) и автомобильными дорогами общего пользования с твердым покрытием (36 971 тыс. км при плотности 11 км на 1000 кв. км). Регион пересекает Транссибирская железнодорожная магистраль, являющаяся составной частью международного транспортного коридора «Транссиб» (Азия - РФ - Европа), имеющего ответвления на Казахстан и Китай, Корейский полуостров, Монголию. По территории Амурской области проходит часть Байкало-Амурской магистрали и ее меридиональный участок Бамовское - Тында - Беркакит. Продолжается строительство Амуро-Якутской железнодорожной магистрали от станции Нерюнгри (БАМ) до Якутска, которая в настоящее время достигла Алдана, что составляет примерно половину ее протяженности</w:t>
      </w:r>
      <w:r w:rsidRPr="007365BC">
        <w:rPr>
          <w:rStyle w:val="a5"/>
          <w:rFonts w:ascii="Times New Roman" w:hAnsi="Times New Roman" w:cs="Times New Roman"/>
          <w:sz w:val="28"/>
          <w:szCs w:val="28"/>
        </w:rPr>
        <w:footnoteReference w:id="48"/>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ДВФО - один из наиболее важных в стратегическом отношении регионов страны, военно-морской форпост России в Тихоокеанском регионе.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Регион омывается с севера и северо-востока Морем Лаптевых, Восточно-Сибирским и Чукотским морями, с востока - Беринговым, Охотским и Японским морями. В состав региона входят такие крупные острова, как Новосибирские, Медвежьи, Врангеля, Сахалин, Курильские, Командорские. Приморское положение региона обусловило особое значение для его обслуживания морского транспорта, осуществляющего как внутренние, так и внешние грузовые и пассажирские перевозки. Значительное развитие получили морские порты, среди которых вьщеляются Владивосток, Находка, Восточный порт, Посьет (Приморский край), Ванино и Охотск (Хабаровский край), Южно-Сахалинск и Холмск (Сахалинская область), Петропавловск-Камчатский, Усть-Камчатск, Корф (Камчатская область), Магадан (Магаданская область), Тикси, Певек, Анадырь, Провидения, Беринговский (Якутия и Чукотский АО). Огромную роль в обеспечении внутрирайонных связей играет водный транспорт. Протяженность внутренних судоходных путей в регионе превышает 15 тыс. км. Река Амур вместе с притоками образует речную сеть длиной 7,5 тыс. км, охватывающую территории Еврейской автономной области, Хабаровского края и Амурской области, достигая Сахалинского залива в южной части Охотского моря. Важную роль в обслуживании отдаленных районов Якутии играют реки Лена и Индигирка, река Колыма в Магаданской области. В ДВФО получил значительное развитие воздушный транспорт, обеспечивая круглогодичные грузовые и пассажирские перевозки в труднодоступные северные районы и островные территории.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Место ДВФО в экономике страны обусловлено, прежде всего, наличием уникальных, имеющих мировое значение минерально-сырьевых, топливно-энергетических, лесных и морских биологических ресурсов. В регионе выявлено свыше 70 видов полезных ископаемых, среди которых особо выделяются алмазы, золото, серебро, молибден, титан, вольфрам, сурьма, ртуть, олово, железные, медные, свинцово-цинковые и алюминиевые руды, редкие и рассеянные элементы в комплексных рудах, горно-химическое и камнесамоцветное сырье, угли энергетические и коксующиеся, нефть, природный газ. Значительны водные и гидроэнергетические ресурсы, запасы термальных вод, а также минеральных источников. Огромную ценность представляют измеряемые миллионами тонн ресурсы биологического сырья дальневосточных морей</w:t>
      </w:r>
      <w:r w:rsidRPr="007365BC">
        <w:rPr>
          <w:rStyle w:val="a5"/>
          <w:rFonts w:ascii="Times New Roman" w:hAnsi="Times New Roman" w:cs="Times New Roman"/>
          <w:sz w:val="28"/>
          <w:szCs w:val="28"/>
        </w:rPr>
        <w:footnoteReference w:id="49"/>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Значительны лесные ресурсы. Общая площадь лесного фонда ДВФО достигает 415,7 млн га (42,5% общероссийской, 1-е место в стране), из нее покрытая лесом - 248,2 млн га (37,8%, 1-е место), лесистость - 45,3%, (2-е место после Восточной Сибири), общий запас древесины на корню - 20 450 млн куб. м (28%, 2-е место). Наиболее крупные ресурсы древесины сосредоточены на территориях Республики Саха (Якутия), Приморского и Хабаровского краев и Амурской области. В зоне тайги преобладают даурская лиственница, сосна, ель, пихта. Ценные лиственные породы распространены в основном на юге Приморского края. 85% запасов древесины представлены хвойными породами, из них 62% приходится на лиственницу. Современная ситуация характеризуется слабой постановкой дела по уходу и воспроизводству лесных ресурсов, охране от пожаров и браконьеров, недобросовестных пользователей.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Сельскохозяйственные угодья региона оцениваются в 5724 тыс. га, из них на пашню приходится 2657 тыс. га. Сельское хозяйство получило недостаточное развитие в регионе, что обусловлено суровыми климатическими условиями и небольшими площадями земель сельскохозяйственного назначения, особенно в Республике Саха (Якутия), Магаданской, Сахалинской и Камчатской областях, Чукотском автономном округе. Более благоприятные условия для сельскохозяйственного производства характерны для ряда южных регионов ДФО: Еврейской автономной области, Амурской области, Хабаровского и Приморского краев.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i/>
          <w:iCs/>
          <w:sz w:val="28"/>
          <w:szCs w:val="28"/>
        </w:rPr>
      </w:pPr>
      <w:r w:rsidRPr="007365BC">
        <w:rPr>
          <w:rFonts w:ascii="Times New Roman" w:hAnsi="Times New Roman" w:cs="Times New Roman"/>
          <w:b/>
          <w:bCs/>
          <w:i/>
          <w:iCs/>
          <w:sz w:val="28"/>
          <w:szCs w:val="28"/>
        </w:rPr>
        <w:t>Общая характеристика хозяйства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Роль ДВФО в экономике страны в 2000 г. может быть охарактеризована следующими показателями (удельный вес в % к показателям РФ): территория - 36,4, численность населения - 4,9, среднегодовая численность занятых в экономике - 5,0, ВРП - 6,2, основные фонды в экономике - 6,4, объем промышленной продукции - 5,8, продукция сельского хозяйства - 3,4, растениеводства - 3,3, животноводства - 3,5, розничный товарооборот - 4,0, инвестиции в основной капитал - 4,3, поступление налогов и сборов в бюджетную систему России - 3,6, в федеральный бюджет - 2,7, инвестиции в основной капитал - 4,3, иностранные инвестиции - 5,3, объем экспорта - 3,7, объем импорта - 2,2</w:t>
      </w:r>
      <w:r w:rsidRPr="007365BC">
        <w:rPr>
          <w:rStyle w:val="a5"/>
          <w:rFonts w:ascii="Times New Roman" w:hAnsi="Times New Roman" w:cs="Times New Roman"/>
          <w:sz w:val="28"/>
          <w:szCs w:val="28"/>
        </w:rPr>
        <w:footnoteReference w:id="50"/>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настоящее время на территории региона размещаются 6,4% всех основных фондов страны, 5,4 - основных фондов отраслей, производящих товары, 6 - промышленности, 3,5 - сельского хозяйства, 7,7 - строительства 7,1 - основных фондов отраслей, оказывающих рыночные и нерыночные услуги, из них транспорт - 9,5%.</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2000 г. в регионе функционировали 48 вузов (4,4% их количества в стране) с числом студентов - 173,0 тыс. человек (4,2%). На 10 000 населения приходился 241 студент (5-е место среди регионов РФ) при среднем показателе по стране 229 человек. В регионе насчитывалось 154 организации, выполняющие исследования и разработки (3,8%), с численностью персонала 13,9 тыс. человек (1,5%).</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ДВФО создан развитый промышленный потенциал. К 2000 г. здесь производилось всей промышленной продукции страны - 5,9%, продукции цветной металлургии - 15 (3-е место после Уральского и Восточно-Сибирского регионов), электроэнергетики - свыше 8 (5-е место), пищевой промышленность - около 10 (3-е место), микробиологической - 7 (3-е место), лесной, деревообрабатывающей и целлюлозно-бумажной - 5,5 (6-е место), топливной промышленности - 4, промышленности строительных материалов - 3,7, стекольной и фарфоро-фаянсовой промышленности - 2,4, медицинской - 2,6, машиностроения и металлообработки - около 2, черной металлургии - 0,1, прочих отраслей промышленности - 11%.</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структуре промышленности особо выделяются цветная металлургия (34,5%), электроэнергетика (13,8), пищевая промышленность (25,6), в основном за счет рыбной промышленности, топливная промышленность (10), машиностроение и металлообработка (6,6%). На долю лесной, деревообрабатывающей и целлюлозной промышленности, несмотря на то, что они опираются на уникальную сырьевую базу, приходится 4,1% производства промышленной продукции. Слабо развиты черная металлургия, химическая и нефтехимическая (0,7%) и особенно легкая (0,4%) промышленность. Недостаточное развитие получила промышленность строительных материалов (1,5%). В машиностроительном комплексе ведущее место занимают судостроительная и судоремонтная, электротехническая, авиационная промышленность, приборостроение, подъемно-транспортное машиностроение, производство бурового оборудования</w:t>
      </w:r>
      <w:r w:rsidRPr="007365BC">
        <w:rPr>
          <w:rStyle w:val="a5"/>
          <w:rFonts w:ascii="Times New Roman" w:hAnsi="Times New Roman" w:cs="Times New Roman"/>
          <w:sz w:val="28"/>
          <w:szCs w:val="28"/>
        </w:rPr>
        <w:footnoteReference w:id="51"/>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ДВФО - один из трех ведущих (наряду с Уральским и Сибирским) регионов страны по производству цветных металлов, лидер в развитии рыбной промышленности, крупный лесопромышленный регион.</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Особое значение для региона имеет развитие отраслей хозяйства океанического направления - морской транспорт и строительство, добыча рыбы и морепродуктов, рыбная промышленность, судостроение и судоремонт. Первенствует в этих сферах Приморский край, в котором на долю таких отраслей приходится более '/3 совокупного валового продукта, за ним следуют Хабаровский край, Камчатская, Магаданская и Сахалинская области.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Несмотря на уникальные потенциальные возможности развития экономики ДВФО, обусловленные наличием богатейших природных ресурсов, преимуществами географического положения и весьма важной ролью в народном хозяйстве страны, его современное социально-экономическое состояние нельзя признать благоприятным. Достигнутые в результате колоссальных усилий и затрат определенные успехи в хозяйственном освоении территорий этого важного для судеб страны региона и развитии его экономического потенциала и социальной сферы стали размываться в условиях перехода к рыночным отношениям.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Следует ускорить принятие крайне необходимого Закона «Об арктической зоне России». В рамках Федеральной программы, предусматривающей меры по возрождению торгового флота страны, необходимо активизировать работы по реконструкции и наращиванию мощностей морских портов и улучшению транспортных подходов к ним в регионе. Важной проблемой является пополнение морского флота региона судами усиленного ледового класса.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Необходимость развития межрегиональных и внешнеэкономических связей предопределяет приоритетность форсирования работ по строительству трансконтинентальной автомобильной трассы Центр - Дальний Восток, которая вместе с транспортными коридорами Москва - Варшава - Минск - Берлин и Северо-Запад - Урал послужит эффективной альтернативой разрабатываемому в настоящее время европейским сообществом и США проекту строительства автомагистралей в обход России по транспортной дуге от Балтийского к Черному и Каспийскому морям и далее - к Индийскому океану и Китаю. Это позволит избежать опасности вытеснения России из процесса развития международных транспортных коридоров, лишения ее важных в стратегическом и экономическом отношениях транспортно-географических преимуществ. Следует ускорить строительство автодороги Чита - Хабаровск</w:t>
      </w:r>
      <w:r w:rsidRPr="007365BC">
        <w:rPr>
          <w:rStyle w:val="a5"/>
          <w:rFonts w:ascii="Times New Roman" w:hAnsi="Times New Roman" w:cs="Times New Roman"/>
          <w:sz w:val="28"/>
          <w:szCs w:val="28"/>
        </w:rPr>
        <w:footnoteReference w:id="52"/>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существенном развитии и усилении внутренних и внешних связей ДВФО нуждается воздушный транспорт, который в межнавигационный период становится единственным средством сообщения с материковой частью России и между частями региона. Особо важное значение эта проблема имеет для территорий Республика Саха (Якутия), Магаданской, Сахалинской и Камчатской областей, Чукотского автономного округа, северной части Хабаровского края, где в существенном улучшении нуждаются наземная инфраструктура воздушного транспорта, а также материальная часть обслуживающих их авиакомпаний.</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Для развития экономики и расширения внешнеэкономической деятельности ДВФО большое значение может иметь развитие особых экономических зон прежде всего в Сахалинской и Камчатской областях и Приморском крае. Установление режима особой экономической зоны в Магаданской области способствовало развитию ее производительных сил, повышению эффективности производства. Определенный интерес вызывает проект создания в г. Находке (Приморский край) в районе глубоководного порта Восточный российско-корейского технопарка стоимостью около 800 млн долл. для размещения производственных помещений и офисов, в которых заинтересованы ведущие азиатские компании.</w:t>
      </w:r>
    </w:p>
    <w:p w:rsidR="00B92C93" w:rsidRPr="007365BC" w:rsidRDefault="00924E30" w:rsidP="00924E30">
      <w:pPr>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sz w:val="28"/>
          <w:szCs w:val="28"/>
        </w:rPr>
        <w:br w:type="page"/>
      </w:r>
      <w:r w:rsidR="00B92C93" w:rsidRPr="007365BC">
        <w:rPr>
          <w:rFonts w:ascii="Times New Roman" w:hAnsi="Times New Roman" w:cs="Times New Roman"/>
          <w:b/>
          <w:bCs/>
          <w:sz w:val="28"/>
          <w:szCs w:val="28"/>
        </w:rPr>
        <w:t>Вопрос 2. Система инструментов активного воздействия государства на ход социально-экономического развития региона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Система инструментов активного воздействия государства на экономическое развитие региона включает: программирование регионального развития, разработку и реализацию бюджета региона, включая налоговую систему региона и бюджет развития</w:t>
      </w:r>
      <w:r w:rsidRPr="007365BC">
        <w:rPr>
          <w:rStyle w:val="a5"/>
          <w:rFonts w:ascii="Times New Roman" w:hAnsi="Times New Roman" w:cs="Times New Roman"/>
          <w:sz w:val="28"/>
          <w:szCs w:val="28"/>
        </w:rPr>
        <w:footnoteReference w:id="53"/>
      </w:r>
      <w:r w:rsidRPr="007365BC">
        <w:rPr>
          <w:rFonts w:ascii="Times New Roman" w:hAnsi="Times New Roman" w:cs="Times New Roman"/>
          <w:sz w:val="28"/>
          <w:szCs w:val="28"/>
        </w:rPr>
        <w:t>.</w:t>
      </w:r>
    </w:p>
    <w:p w:rsidR="00B92C93" w:rsidRPr="007365BC" w:rsidRDefault="00B92C93" w:rsidP="00924E30">
      <w:pPr>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i/>
          <w:iCs/>
          <w:sz w:val="28"/>
          <w:szCs w:val="28"/>
        </w:rPr>
      </w:pPr>
      <w:r w:rsidRPr="007365BC">
        <w:rPr>
          <w:rFonts w:ascii="Times New Roman" w:hAnsi="Times New Roman" w:cs="Times New Roman"/>
          <w:b/>
          <w:bCs/>
          <w:i/>
          <w:iCs/>
          <w:sz w:val="28"/>
          <w:szCs w:val="28"/>
        </w:rPr>
        <w:t>2.1. Программирование регионального развития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Программирование развития экономики региона </w:t>
      </w:r>
      <w:r w:rsidRPr="007365BC">
        <w:rPr>
          <w:rFonts w:ascii="Times New Roman" w:hAnsi="Times New Roman" w:cs="Times New Roman"/>
          <w:sz w:val="28"/>
          <w:szCs w:val="28"/>
        </w:rPr>
        <w:t>означает разработку и реализацию специальных документов, описывающих цели, процедуру и мероприятия и средства решения наиболее актуальных проблем регионального развития.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Программирование знаменует активное участие властных структур не только в опосредованном (косвенном) воздействии на экономические процессы, но и в непосредственном управлении ходом общественного воспроизводства. Этот процесс имеет место во всех развитых странах мира.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основу программно-целевого подхода как инструмента проведения региональной администрацией целенаправленной политики по решению проблем региона должна быть положена система программ, которые реализуются либо государственными органами разного уровня, либо частными компаниями при государственной поддержке.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Целевые программы </w:t>
      </w:r>
      <w:r w:rsidRPr="007365BC">
        <w:rPr>
          <w:rFonts w:ascii="Times New Roman" w:hAnsi="Times New Roman" w:cs="Times New Roman"/>
          <w:sz w:val="28"/>
          <w:szCs w:val="28"/>
        </w:rPr>
        <w:t>представляют собой комплекс научно-исследовательских, опытно-конструкторских, производственных, социально-экономических, организационно-хозяйственных и других мероприятий, обеспечивающих эффективное решение задач в области государственного, экономического, экологического, социального и культурного развития Российской Федерации.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Существуют федеральные, региональные и отраслевые программы. Региональным программам в случае их важности может присваиваться статус федеральных. Федеральные целевые программы являются важнейшим средством реализации структурной политики государства, активного воздействия властных структур на ход экономических процессов для достижения конечных социально-экономических целей</w:t>
      </w:r>
      <w:r w:rsidRPr="007365BC">
        <w:rPr>
          <w:rStyle w:val="a5"/>
          <w:rFonts w:ascii="Times New Roman" w:hAnsi="Times New Roman" w:cs="Times New Roman"/>
          <w:sz w:val="28"/>
          <w:szCs w:val="28"/>
        </w:rPr>
        <w:footnoteReference w:id="54"/>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Структурными элементами программно-целевого подхода </w:t>
      </w:r>
      <w:r w:rsidRPr="007365BC">
        <w:rPr>
          <w:rFonts w:ascii="Times New Roman" w:hAnsi="Times New Roman" w:cs="Times New Roman"/>
          <w:sz w:val="28"/>
          <w:szCs w:val="28"/>
        </w:rPr>
        <w:t>в регулировании регионального развития являются установление целей социально-экономического развития; разработка мероприятий, которые направлены на достижение этих целей; обеспечение согласования целей и мероприятий; ресурсное обеспечение намечаемых мер</w:t>
      </w:r>
      <w:r w:rsidRPr="007365BC">
        <w:rPr>
          <w:rStyle w:val="a5"/>
          <w:rFonts w:ascii="Times New Roman" w:hAnsi="Times New Roman" w:cs="Times New Roman"/>
          <w:sz w:val="28"/>
          <w:szCs w:val="28"/>
        </w:rPr>
        <w:footnoteReference w:id="55"/>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качестве целевых установок регионального развития могут выступать задачи как общерегионального уровня (например, повышение эффективности функционирования экономики региона путем развития производственной инфраструктуры или создание условий для широкого развития предпринимательства), так и более узкого и частного характера (например, решение продовольственной проблемы, прорыв на мировой рынок с товарами определенного вида).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Наиболее сложной проблемой является разработка программы комплексного развития экономики и социальной сферы региона как целостного образования, поскольку в этом случае необходимо учесть все многообразие ограничений на экономическое развитие региона, а именно: состояние природного фактора, современную социально-демографическую ситуацию, прогноз социальной напряженности в регионе и пр. Принципиальное значение имеет положение о том, что для стабильного развития региона нельзя ограничиваться только решением задач, имеющих преимущественно оперативный характер и связанных с функционированием жизнеобеспечивающих систем и объектов. Необходимо решать задачи стратегического порядка, призванные обеспечить совершенствование (модернизацию) экономики базы, развитие социальной среды.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качестве обязательных выдвигаются следующие структурные элементы региональной комплексной программы:</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промышленная политика (подпрограмма модернизации экономики и реструктуризации предприятий);</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строительная политика (подпрограмма развития региональной инфраструктуры, реконструкция коммуникаций);</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социальная политика (подпрограмма развития образования, здравоохранения, культуры).</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Процедура разработки комплексных региональных программ опирается на апробированную и. общепринятую в мировой практике схему и предусматривает следующую последовательность действий:</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анализ социально-экономической ситуации в регионе, выявление проблем, определение их актуальности и социальной значимости;</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формулировка проблем, подлежащих программному решению, анализ ограничений проблемы, прогноз ее состояния в будущем;</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выделение основных целей, их ранжировка, построение «дерева целей»;</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поиск возможных путей решения проблемы (разработка максимального количества альтернатив), оценка и отбор альтернатив (выбор оптимального решения);</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детализация и уточнение отобранных альтернатив;</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разработка взаимосвязанной совокупности мероприятий программы;</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разработка рекомендаций по реализации программы, оценка последствий реализации программы</w:t>
      </w:r>
      <w:r w:rsidRPr="007365BC">
        <w:rPr>
          <w:rStyle w:val="a5"/>
          <w:rFonts w:ascii="Times New Roman" w:hAnsi="Times New Roman" w:cs="Times New Roman"/>
          <w:sz w:val="28"/>
          <w:szCs w:val="28"/>
        </w:rPr>
        <w:footnoteReference w:id="56"/>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b/>
          <w:bCs/>
          <w:sz w:val="28"/>
          <w:szCs w:val="28"/>
        </w:rPr>
        <w:t xml:space="preserve">Ресурсное обеспечение программ </w:t>
      </w:r>
      <w:r w:rsidRPr="007365BC">
        <w:rPr>
          <w:rFonts w:ascii="Times New Roman" w:hAnsi="Times New Roman" w:cs="Times New Roman"/>
          <w:sz w:val="28"/>
          <w:szCs w:val="28"/>
        </w:rPr>
        <w:t>осуществляется на основе рассмотрения бюджетных заявок, которые содержат обоснование затрат на реализацию федеральных целевых программ и иных федеральных нужд в данном году. Вопрос о выделении финансовых и иных ограниченных ресурсов на реализацию федеральных программ решается по рекомендации Министерства экономического развития и торговли, а также Министерства финансов на основе проектов бюджетных заявок, исходя из прогноза социально-экономического развития и проекта государственного бюджета.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Программа должна иметь четко фиксируемые начало и конец; при этом сроки программы позволяют осуществлять контроль за ее реализацией и оценить ее выполнение.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Программа, как правило, реализуется в несколько этапов. Дело в том, что с помощью данного метода управления задачи обычно решаются один раз и впервые в данной постановке, что предполагает несколько равновероятностных исходов. В свою очередь, последнее обстоятельство заставляет разрабатывать запасные варианты решения проблемы в случае неудачи на отдельных этапах реализации программы. В связи с этим широко применяется сетевое планирование.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r w:rsidRPr="007365BC">
        <w:rPr>
          <w:rFonts w:ascii="Times New Roman" w:hAnsi="Times New Roman" w:cs="Times New Roman"/>
          <w:b/>
          <w:bCs/>
          <w:sz w:val="28"/>
          <w:szCs w:val="28"/>
        </w:rPr>
        <w:t xml:space="preserve">Методический инструментарий программно-целевого подхода </w:t>
      </w:r>
      <w:r w:rsidRPr="007365BC">
        <w:rPr>
          <w:rFonts w:ascii="Times New Roman" w:hAnsi="Times New Roman" w:cs="Times New Roman"/>
          <w:sz w:val="28"/>
          <w:szCs w:val="28"/>
        </w:rPr>
        <w:t>включает широко использовавшиеся в прежние годы методы «дерево целей», балансовых и технико-экономических расчетов, определения приоритетов, разработки вариантов и др., причем как</w:t>
      </w:r>
      <w:r w:rsidRPr="007365BC">
        <w:rPr>
          <w:rFonts w:ascii="Times New Roman" w:hAnsi="Times New Roman" w:cs="Times New Roman"/>
          <w:b/>
          <w:bCs/>
          <w:sz w:val="28"/>
          <w:szCs w:val="28"/>
        </w:rPr>
        <w:t xml:space="preserve"> </w:t>
      </w:r>
      <w:r w:rsidRPr="007365BC">
        <w:rPr>
          <w:rFonts w:ascii="Times New Roman" w:hAnsi="Times New Roman" w:cs="Times New Roman"/>
          <w:sz w:val="28"/>
          <w:szCs w:val="28"/>
        </w:rPr>
        <w:t>в традиционном экономико-статистическом, так и в экономикоматематическом исполнении.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Региональные программы должны базироваться на единой системе методов и показателей общенационального и территориального регулирования, что обеспечивает сопоставимость этих уровней и возможность включения в программный и непрограммный разрезы региональных разработок</w:t>
      </w:r>
      <w:r w:rsidRPr="007365BC">
        <w:rPr>
          <w:rStyle w:val="a5"/>
          <w:rFonts w:ascii="Times New Roman" w:hAnsi="Times New Roman" w:cs="Times New Roman"/>
          <w:sz w:val="28"/>
          <w:szCs w:val="28"/>
        </w:rPr>
        <w:footnoteReference w:id="57"/>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На стадиях научной разработки программы исключительно важен вариантный подход. Многовариантность позволяет надежно выявить и обосновать наиболее эффективные пути достижения программных целей. При этом надо различать ценность вариантов с количественными различиями показателей (вилка) и с принципиальными качественными отличиями решений (альтернатива).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Для выявления оптимального варианта программы подходят такие критерии, как минимум времени реализации при заданных ограничениях на ресурсы и конечных показателях; минимум затрат на реализацию при фиксированных конечных показателях и времени реализации; минимум отклонения конечных показателей от установленных нормативов при заданных затратах и времени реализации.</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Ограниченность финансовых, материальных и других ресурсов делает невозможной и нецелесообразной одновременную разработку большого количества программ. Речь идет, таким образом, о непременном ранжировании и отборе наиболее актуальных и перспективных проблем из числа потенциальных.</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Важной предпосылкой отбора проблем является их тщательное изучение и научное обоснование с единых методологических позиций. Для этих целей применим метод, который основан на ранжировании проблем согласно количеству баллов, «собираемых» каждой проблемой по группам критериальных признаков, и их суммирование.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autoSpaceDE w:val="0"/>
        <w:autoSpaceDN w:val="0"/>
        <w:adjustRightInd w:val="0"/>
        <w:spacing w:after="0" w:line="360" w:lineRule="auto"/>
        <w:ind w:firstLine="709"/>
        <w:jc w:val="center"/>
        <w:rPr>
          <w:rFonts w:ascii="Times New Roman" w:hAnsi="Times New Roman" w:cs="Times New Roman"/>
          <w:b/>
          <w:bCs/>
          <w:i/>
          <w:iCs/>
          <w:sz w:val="28"/>
          <w:szCs w:val="28"/>
        </w:rPr>
      </w:pPr>
      <w:r w:rsidRPr="007365BC">
        <w:rPr>
          <w:rFonts w:ascii="Times New Roman" w:hAnsi="Times New Roman" w:cs="Times New Roman"/>
          <w:b/>
          <w:bCs/>
          <w:i/>
          <w:iCs/>
          <w:sz w:val="28"/>
          <w:szCs w:val="28"/>
        </w:rPr>
        <w:t>2.2. Опыт развитых стран в области программирования</w:t>
      </w:r>
      <w:r w:rsidR="00924E30" w:rsidRPr="007365BC">
        <w:rPr>
          <w:rFonts w:ascii="Times New Roman" w:hAnsi="Times New Roman" w:cs="Times New Roman"/>
          <w:b/>
          <w:bCs/>
          <w:i/>
          <w:iCs/>
          <w:sz w:val="28"/>
          <w:szCs w:val="28"/>
        </w:rPr>
        <w:t xml:space="preserve"> </w:t>
      </w:r>
      <w:r w:rsidRPr="007365BC">
        <w:rPr>
          <w:rFonts w:ascii="Times New Roman" w:hAnsi="Times New Roman" w:cs="Times New Roman"/>
          <w:b/>
          <w:bCs/>
          <w:i/>
          <w:iCs/>
          <w:sz w:val="28"/>
          <w:szCs w:val="28"/>
        </w:rPr>
        <w:t>регионального развития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b/>
          <w:bCs/>
          <w:sz w:val="28"/>
          <w:szCs w:val="28"/>
        </w:rPr>
      </w:pP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Программно-целевой метод приобрел активных сторонников во многих развитых странах мира. В ряде развитых стран разрабатывались и реализовывались программы социально-экономического развития, в том числе программы регионального развития, главным назначением которых было выравнивание условий развития отдельных регионов и обеспечение достойного уровня жизни их населению.</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Особенно интересным представляется опыт Соединенных Штатов Америки, которые при общей рыночной ориентации экономики осуществили ряд социально-экономических программ, обеспечивающих влияние государства на экономические процессы и поддержку конкурентоспособности страны на мировой арене</w:t>
      </w:r>
      <w:r w:rsidRPr="007365BC">
        <w:rPr>
          <w:rStyle w:val="a5"/>
          <w:rFonts w:ascii="Times New Roman" w:hAnsi="Times New Roman" w:cs="Times New Roman"/>
          <w:sz w:val="28"/>
          <w:szCs w:val="28"/>
        </w:rPr>
        <w:footnoteReference w:id="58"/>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Соединенные Штаты стали использовать заимствованный у нашей страны опыт государственного регулирования народно-хозяйственных процессов с 1933 г. Непосредственной причиной этого стала необходимость вывода американской экономики из состояния Великой депрессии. Вмешательство государства в экономику выражалось главным образом во введении элементов центрального планирования, и в первую очередь была начата разработка ряда целевых программ. Особое значение придавалось программам развития сельскохозяйственных отраслей. Цель данных программ заключалась в снижении социальной напряженности в обществе путем увеличения производства продуктов питания и снижения за счет этого цен на продовольствие. Был принят также ряд программ по развитию строительной индустрии и других отраслей, обеспечивающих высокую занятость населения.</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тот же период была развернута масштабная региональная программа - программа развития долины реки Тенесси, которая продолжает свое функционирование до настоящего времени. Эта программа является характерным примером комплексной целевой программы, т.е. такой программы, которая используется для достижения комбинации различных целей. (Другими примерами комплексных программ могут служить, например, долгосрочная программа «Решение общенациональной жилищной проблемы», рассчитанная на период с 1985 по 2000 г., а также программа разработки и строительства космических кораблей на 1985-1995 гг. и др.) Программа предусматривает развитие территорий в долине реки Тенесси и предполагает совместное решение ряда частных задач, в числе которых можно выделить освоение потенциальных гидроэнергетических ресурсов, расширение водоемов, а также создание новых искусственных водоемов с целью смягчения засушливого климата и создания источников воды для искусственного орошения сельскохозяйственных угодий, комплексную мелиорацию земель, рост производства сельскохозяйственной продукции, улучшение условий судоходства на реке Тенесси и развитие сети транспортных коммуникаций региона, совершенствование условий жизни населения, создание новых рабочих мест в регионе, создание зон отдыха, улучшение экологической обстановки в регионе.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 нашей точки зрения представляется весьма важным, что для управления программой был создан специальный орган - Администрация по выполнению данной программы. Первоочередными мероприятиями, которые администрация начала проводить в жизнь, было строительство каскада гидроэлектростанций. После окончания строительства администрация начала отпускать электроэнергию по низким ценам несмотря на возражения частных энергетических компаний и дала обязательство сохранять такой уровень цен в течение длительного срока. Низкие цены на электроэнергию привлекли в регион значительное количество частных предпринимателей и привели к значительному росту производства в регионе, а также к росту количества рабочих мест, созданию промышленной и социальной инфраструктуры. Предполагалось создать еще семь структур, подобных администрации долины Тенесси, но эти планы были свернуты после смерти президента США Ф.Рузвельта</w:t>
      </w:r>
      <w:r w:rsidRPr="007365BC">
        <w:rPr>
          <w:rStyle w:val="a5"/>
          <w:rFonts w:ascii="Times New Roman" w:hAnsi="Times New Roman" w:cs="Times New Roman"/>
          <w:sz w:val="28"/>
          <w:szCs w:val="28"/>
        </w:rPr>
        <w:footnoteReference w:id="59"/>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Программа «Освоение и развитие ресурсов долины реки Тенесси» является выдающейся зарубежной программой регионального развития. Опыт ее разработки и осуществления выступает предметом изучения в американских университетах и бизнес-центрах.</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последующие годы в Соединенных Штатах Америки был принят широкий спектр программ, многие из которых были направлены на развитие передовых наукоемких проектов, среди которых в первую очередь стоит упомянуть программы космических исследований, стратегическую оборонную инициативу и др.</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Следует отметить, что термин «программа» в американском понимании имеет широкий спектр значений и может быть распространен, по существу, на любой вид управленческой деятельности - от тщательно проработанной системы проектов до простого выделения из бюджета некоторой суммы средств на финансирование мероприятий, имеющих порой довольно расплывчатый характер. Программы подразделяются на две основные категории: программы основной деятельности и программы обеспечивающей деятельности. К первой категории относят программы, непосредственно направленные на предоставление населению каких-либо услуг, например, по медицинскому обслуживанию, жилищному строительству, транспорту, связи, образованию и т.п. Ко второй категории относятся программы, предназначенные для развития обеспечивающей деятельности, такой, как административное обслуживание, подготовка кадров, эксплуатация оборудования, НИОКР, информационное обеспечение, и ряд других. Программы второй категории, как правило, предназначены для создания условии, которые требуются для успешного выполнения программ основной деятельности</w:t>
      </w:r>
      <w:r w:rsidRPr="007365BC">
        <w:rPr>
          <w:rStyle w:val="a5"/>
          <w:rFonts w:ascii="Times New Roman" w:hAnsi="Times New Roman" w:cs="Times New Roman"/>
          <w:sz w:val="28"/>
          <w:szCs w:val="28"/>
        </w:rPr>
        <w:footnoteReference w:id="60"/>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зависимости от роли федерального правительства в реализации программы можно выделить две основные категории: управление «мягкого типа» и «жесткого типа». К первой категории относятся, например, программы «федеральной помощи», основное содержание которых состоит в выделении федеральных бюджетных средств на осуществление проектов местных органов власти, учебных заведений, частного секторами т.д. Такого рода программы обычно практикуются с целью развития сети автодорог, создания новых рабочих мест в депрессивных районах. Реализация программ этой категории контролируется федеральным правительством лишь в самой общей форме. Программы «жесткого типа» обычно фактически управляются государственными ведомствами, несмотря даже на то, что в их реализации зачастую принимают участие частные фирмы. К этой категории относятся программы строительства наиболее важных объектов, по разработке систем вооружения и т.п. Помимо этих двух категорий, под контроль государства попадают также многие масштабные проекты, реализуемые частными компаниями в силу их влияния на экономику и природную среду.</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Основная причина, по которой правительства развитых стран прибегают к целевым программам, - расхождение интересов между общественными и государственными интересами, с одной стороны, и интересами частного капитала - с другой. Такая ситуация часто возникает в инвестиционной сфере. Обычно она бывает связана с масштабными, но медленно окупающимися проектами, формирующими инфраструктуру одного или нескольких регионов. Такие проекты (например, строительство сети автодорог) весьма целесообразны с точки зрения государственной, но непривлекательны для частных предпринимателей из-за большого срока окупаемости и большого объема вложений. Здесь уместно упомянуть, что администрация крупнейшей американской региональной программы по развитию долины реки Тенесси, которая была начата в 1933 г. и включала в себя такие дорогостоящие мероприятия, как совершенствование организации судоходства по реке Тенесси, строительство каскада гидроэлектростанций и др., объявила о получении первой прибыли лишь в 1959 г. - через 25 лет после начала реализации программы.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Применение целевых программ представляется особенно значительным в периоды экономического спада, когда остро ощущается необходимость сохранения уровня занятости, поддержки нормального функционирования фирм и корпораций, имеющих стратегическое значение для экономики страны. В развитых странах целевые программы являются также важным инструментом, с помощью которого осуществляется структурная политика государства. Без целевых программ немыслимо решение задач в таких сферах, как развитие производственной и социальной инфраструктуры, научных исследований, создание систем вооружений и т.д</w:t>
      </w:r>
      <w:r w:rsidRPr="007365BC">
        <w:rPr>
          <w:rStyle w:val="a5"/>
          <w:rFonts w:ascii="Times New Roman" w:hAnsi="Times New Roman" w:cs="Times New Roman"/>
          <w:sz w:val="28"/>
          <w:szCs w:val="28"/>
        </w:rPr>
        <w:footnoteReference w:id="61"/>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Эта роль целевых программ особенно хорошо видна на примере Японии, где они используются как средство стимулирования новых, наукоемких отраслей, таких как электроника, робототехника, информационные системы. Экономические программы в Японии имеют индикативный характер, в связи с чем частным предпринимателям не определяются конкретные показатели производства того или иного товара, что невозможно в условиях постоянно меняющейся конъюнктуры, а государственные органы, осуществляющие управление программой, занимаются только общей координацией, не вмешиваясь в конкретные производственные процессы.</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Все экономические программы и планы в Японии исходят из того, что японская экономика является преимущественно рыночной экономикой. Поэтому, указывая главные направления экономической и социальной политики государства, программы и планы рассматриваются как базовые ориентиры для частного предпринимательства и национального развития в целом.</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Анализ показывает, что экономическое программирование оказывает позитивное влияние на хозяйственную жизнь страны. Воздействие индикативных планов на экономическую динамику трудно выразить количественно, однако можно утверждать, что высокие темпы экономического роста и сравнительно небольшая амплитуда циклических колебаний в Японии в значительной степени определяются влиянием государственного программирования. Задачи индикативного планирования заключаются в формировании представления об эволюции экономической структуры и об основных направлениях развития, с тем чтобы:</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дать ориентиры частным предпринимателям;</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сформировать базу, позволяющую правительству осуществлять контроль над экономикой;</w:t>
      </w:r>
    </w:p>
    <w:p w:rsidR="00B92C93" w:rsidRPr="007365BC" w:rsidRDefault="00B92C93" w:rsidP="00924E30">
      <w:pPr>
        <w:tabs>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w:t>
      </w:r>
      <w:r w:rsidRPr="007365BC">
        <w:rPr>
          <w:rFonts w:ascii="Times New Roman" w:hAnsi="Times New Roman" w:cs="Times New Roman"/>
          <w:sz w:val="28"/>
          <w:szCs w:val="28"/>
        </w:rPr>
        <w:tab/>
        <w:t>выделить те аспекты народно-хозяйственной жизни, где вследствие наличия острых проблем необходимо активное вмешательство государственных органов; определить принципы и масштабы такого участия</w:t>
      </w:r>
      <w:r w:rsidRPr="007365BC">
        <w:rPr>
          <w:rStyle w:val="a5"/>
          <w:rFonts w:ascii="Times New Roman" w:hAnsi="Times New Roman" w:cs="Times New Roman"/>
          <w:sz w:val="28"/>
          <w:szCs w:val="28"/>
        </w:rPr>
        <w:footnoteReference w:id="62"/>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странах Западной Европы целевые программы применяются главным образом для развития производств с большим сроком</w:t>
      </w:r>
      <w:r w:rsidR="00924E30" w:rsidRPr="007365BC">
        <w:rPr>
          <w:rFonts w:ascii="Times New Roman" w:hAnsi="Times New Roman" w:cs="Times New Roman"/>
          <w:sz w:val="28"/>
          <w:szCs w:val="28"/>
        </w:rPr>
        <w:t xml:space="preserve"> </w:t>
      </w:r>
      <w:r w:rsidRPr="007365BC">
        <w:rPr>
          <w:rFonts w:ascii="Times New Roman" w:hAnsi="Times New Roman" w:cs="Times New Roman"/>
          <w:sz w:val="28"/>
          <w:szCs w:val="28"/>
        </w:rPr>
        <w:t>окупаемости, не представляющих интереса для частного капитала. Другой формой участия государства в экономической жизни стран Западной Европы служит государственный заказ, который предназначен для поддержания традиционных отраслей промышленности - угольной, судостроительной, металлургической и т.д.</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Особый интерес представляет опыт применения региональных инвестиционных программ в Федеративной Республике Германия. Две трети территории Федеративной Республики Германия охвачены целевыми программами по развитию территорий. В основном законе ФРГ имеется даже специальное понятие «общественная задача», что в современном понимании соответствует целевой программе. Одно из основных направлений, охватываемых данными задачами, - улучшение хозяйственного климата в регионах. В федеральных землях (особенно в новых - на востоке страны) сформированы целевые программы «Улучшение региональной хозяйственной структуры». Указанные программы включают в себя выделение субсидий как из федерального, так и из земельных бюджетов на развитие промышленности и инфраструктуры, что, в свою очередь, создает предпосылки для широкого развертывания инвестиционного процесса.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Следует отметить, что в Федеративной Республике Германия на протяжении ряда лет декларируется принцип минимального вмешательства государства в хозяйственную жизнь. На практике, однако, многие факты говорят об обратном. В Германии существует специфический механизм макроориентации экономики, что в реальности сопряжено с плановыми методами. Общенациональные среднесрочные программы появились в ФРГ в середине 60-х годов.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В Великобритании целевыми региональными программами охвачено 40% территории, в Норвегии - 90%. Важно отметить, что практически во всех европейских странах были созданы специальные ведомства или административные органы, ведающие вопросами регионального развития, а также специальные бюджетные фонды для поддержки развития регионов.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Этим, однако, не исчерпываются специальные государственные органы, предназначенные для реализации государственного воздействия на экономику регионов с помощью программно-целевых методов. Так, например, в отдельных странах существует практика создания в регионах специальных государственных предприятии, вкладывающих средства государственного бюджета, выделенные соответствующим регионам, в развитие инфраструктуры. Наиболее известный пример такого рода - программа поддержки юга Италии, где наблюдается отставание в социально-экономическом развитии. Программа предполагает широкий спектр мер, направленных на развитие промышленного производства в регионе, причем более, половины средств выделены государством</w:t>
      </w:r>
      <w:r w:rsidRPr="007365BC">
        <w:rPr>
          <w:rStyle w:val="a5"/>
          <w:rFonts w:ascii="Times New Roman" w:hAnsi="Times New Roman" w:cs="Times New Roman"/>
          <w:sz w:val="28"/>
          <w:szCs w:val="28"/>
        </w:rPr>
        <w:footnoteReference w:id="63"/>
      </w:r>
      <w:r w:rsidRPr="007365BC">
        <w:rPr>
          <w:rFonts w:ascii="Times New Roman" w:hAnsi="Times New Roman" w:cs="Times New Roman"/>
          <w:sz w:val="28"/>
          <w:szCs w:val="28"/>
        </w:rPr>
        <w:t>.</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Другой важный пример активного участия государства в региональном развитии - север Швеции (провинция Норланд). Программа развития провинции предполагает, что более трети предназначенных для нее средств будет получено из централизованных источников.</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Перейдем к рассмотрению французского опыта экономического программирования. Основной подход здесь состоит в формировании и выполнении среднесрочных (сроком на 4-5 лет) программ экономического и социального развития. Эти программы представляются французским экономистам средством, позволяющим проводить политику поддержания структурного равновесия и развития. На программы возлагается также задача поддержания экономической политики государства в долговременном структурном аспекте.</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r w:rsidRPr="007365BC">
        <w:rPr>
          <w:rFonts w:ascii="Times New Roman" w:hAnsi="Times New Roman" w:cs="Times New Roman"/>
          <w:sz w:val="28"/>
          <w:szCs w:val="28"/>
        </w:rPr>
        <w:t>Помимо среднесрочных программ экономического развития во Франции разрабатывались краткосрочные государственные программы, так называемые экономические бюджеты. Данные бюджеты не представляют собой погодовую детализацию среднесрочных программ, так как составляются отдельно от них. Однако следует отметить, что, являясь инструментом государственной экономической политики, бюджеты должны быть состыкованы со среднесрочными программами, по крайней мере в качественном аспекте. Таким образом, во Франции мы видим систему на первый взгляд подобную системе планирования в СССР - состоящую из годовых и пятилетних планов. Однако эта аналогия поверхностная - по существу эта система предполагает иное, более мягкое регулирование экономических процессов. Как среднесрочные программы (аналог пятилетних планов), так и экономические бюджеты (аналог годовых планов) не являются обязательными для выполнения не только для частных предпринимателей, но даже для государственных органов. Таким образом, программы по существу играют роль перспективных рекомендаций, их роль в процессе экономического регулирования определяется той мерой, в которой они учитываются при принятии конкретных решений. Программы во французском государственном управлении представляют собой комплекс ориентиров, принципов, рекомендаций, но не план, не директивные указания экономическим агентам</w:t>
      </w:r>
      <w:r w:rsidRPr="007365BC">
        <w:rPr>
          <w:rStyle w:val="a5"/>
          <w:rFonts w:ascii="Times New Roman" w:hAnsi="Times New Roman" w:cs="Times New Roman"/>
          <w:sz w:val="28"/>
          <w:szCs w:val="28"/>
        </w:rPr>
        <w:footnoteReference w:id="64"/>
      </w:r>
      <w:r w:rsidRPr="007365BC">
        <w:rPr>
          <w:rFonts w:ascii="Times New Roman" w:hAnsi="Times New Roman" w:cs="Times New Roman"/>
          <w:sz w:val="28"/>
          <w:szCs w:val="28"/>
        </w:rPr>
        <w:t>.</w:t>
      </w:r>
    </w:p>
    <w:p w:rsidR="00B92C93" w:rsidRPr="007365BC" w:rsidRDefault="00924E30" w:rsidP="00924E30">
      <w:pPr>
        <w:spacing w:after="0" w:line="360" w:lineRule="auto"/>
        <w:ind w:firstLine="709"/>
        <w:jc w:val="center"/>
        <w:rPr>
          <w:rFonts w:ascii="Times New Roman" w:hAnsi="Times New Roman" w:cs="Times New Roman"/>
          <w:b/>
          <w:bCs/>
          <w:sz w:val="28"/>
          <w:szCs w:val="28"/>
        </w:rPr>
      </w:pPr>
      <w:r w:rsidRPr="007365BC">
        <w:rPr>
          <w:rFonts w:ascii="Times New Roman" w:hAnsi="Times New Roman" w:cs="Times New Roman"/>
          <w:sz w:val="28"/>
          <w:szCs w:val="28"/>
        </w:rPr>
        <w:br w:type="page"/>
      </w:r>
      <w:r w:rsidRPr="007365BC">
        <w:rPr>
          <w:rFonts w:ascii="Times New Roman" w:hAnsi="Times New Roman" w:cs="Times New Roman"/>
          <w:b/>
          <w:bCs/>
          <w:sz w:val="28"/>
          <w:szCs w:val="28"/>
        </w:rPr>
        <w:t>Используемая литература</w:t>
      </w:r>
    </w:p>
    <w:p w:rsidR="00B92C93" w:rsidRPr="007365BC" w:rsidRDefault="00B92C93" w:rsidP="00924E30">
      <w:pPr>
        <w:autoSpaceDE w:val="0"/>
        <w:autoSpaceDN w:val="0"/>
        <w:adjustRightInd w:val="0"/>
        <w:spacing w:after="0" w:line="360" w:lineRule="auto"/>
        <w:ind w:firstLine="709"/>
        <w:jc w:val="both"/>
        <w:rPr>
          <w:rFonts w:ascii="Times New Roman" w:hAnsi="Times New Roman" w:cs="Times New Roman"/>
          <w:sz w:val="28"/>
          <w:szCs w:val="28"/>
        </w:rPr>
      </w:pPr>
    </w:p>
    <w:p w:rsidR="00B92C93" w:rsidRPr="007365BC" w:rsidRDefault="00B92C93" w:rsidP="00924E30">
      <w:pPr>
        <w:pStyle w:val="a6"/>
        <w:numPr>
          <w:ilvl w:val="0"/>
          <w:numId w:val="2"/>
        </w:numPr>
        <w:tabs>
          <w:tab w:val="clear" w:pos="1429"/>
          <w:tab w:val="num" w:pos="360"/>
        </w:tabs>
        <w:spacing w:line="360" w:lineRule="auto"/>
        <w:ind w:left="0" w:firstLine="0"/>
        <w:jc w:val="left"/>
        <w:rPr>
          <w:rFonts w:ascii="Times New Roman" w:hAnsi="Times New Roman" w:cs="Times New Roman"/>
          <w:sz w:val="28"/>
          <w:szCs w:val="28"/>
        </w:rPr>
      </w:pPr>
      <w:r w:rsidRPr="007365BC">
        <w:rPr>
          <w:rFonts w:ascii="Times New Roman" w:hAnsi="Times New Roman" w:cs="Times New Roman"/>
          <w:sz w:val="28"/>
          <w:szCs w:val="28"/>
        </w:rPr>
        <w:t>Фетисов Г.Г., Орешин В.П. Региональная экономика и управление: Учебник. - М.: ИНФРА-М, 2007.- 416 с. - (Высшее образование).</w:t>
      </w:r>
    </w:p>
    <w:p w:rsidR="00B92C93" w:rsidRPr="007365BC" w:rsidRDefault="00B92C93" w:rsidP="00924E30">
      <w:pPr>
        <w:numPr>
          <w:ilvl w:val="0"/>
          <w:numId w:val="2"/>
        </w:numPr>
        <w:tabs>
          <w:tab w:val="clear" w:pos="1429"/>
          <w:tab w:val="num" w:pos="360"/>
        </w:tabs>
        <w:autoSpaceDE w:val="0"/>
        <w:autoSpaceDN w:val="0"/>
        <w:adjustRightInd w:val="0"/>
        <w:spacing w:after="0" w:line="360" w:lineRule="auto"/>
        <w:ind w:left="0" w:firstLine="0"/>
        <w:rPr>
          <w:rFonts w:ascii="Times New Roman" w:hAnsi="Times New Roman" w:cs="Times New Roman"/>
          <w:sz w:val="28"/>
          <w:szCs w:val="28"/>
        </w:rPr>
      </w:pPr>
      <w:r w:rsidRPr="007365BC">
        <w:rPr>
          <w:rFonts w:ascii="Times New Roman" w:hAnsi="Times New Roman" w:cs="Times New Roman"/>
          <w:sz w:val="28"/>
          <w:szCs w:val="28"/>
        </w:rPr>
        <w:t>Постановление Правительства Российской Федерации от 26 июня 1995 г. № 594.</w:t>
      </w:r>
    </w:p>
    <w:p w:rsidR="00B92C93" w:rsidRPr="007365BC" w:rsidRDefault="00B92C93" w:rsidP="00924E30">
      <w:pPr>
        <w:numPr>
          <w:ilvl w:val="0"/>
          <w:numId w:val="2"/>
        </w:numPr>
        <w:tabs>
          <w:tab w:val="clear" w:pos="1429"/>
          <w:tab w:val="num" w:pos="360"/>
        </w:tabs>
        <w:autoSpaceDE w:val="0"/>
        <w:autoSpaceDN w:val="0"/>
        <w:adjustRightInd w:val="0"/>
        <w:spacing w:after="0" w:line="360" w:lineRule="auto"/>
        <w:ind w:left="0" w:firstLine="0"/>
        <w:rPr>
          <w:rFonts w:ascii="Times New Roman" w:hAnsi="Times New Roman" w:cs="Times New Roman"/>
          <w:sz w:val="28"/>
          <w:szCs w:val="28"/>
        </w:rPr>
      </w:pPr>
      <w:r w:rsidRPr="007365BC">
        <w:rPr>
          <w:rFonts w:ascii="Times New Roman" w:hAnsi="Times New Roman" w:cs="Times New Roman"/>
          <w:sz w:val="28"/>
          <w:szCs w:val="28"/>
        </w:rPr>
        <w:t>Источник: Регионы России 2001. Официальное издание. М.: Госкомстат России, 2001. Т.1. С. 551.</w:t>
      </w:r>
    </w:p>
    <w:p w:rsidR="00B92C93" w:rsidRPr="007365BC" w:rsidRDefault="00B92C93" w:rsidP="00924E30">
      <w:pPr>
        <w:numPr>
          <w:ilvl w:val="0"/>
          <w:numId w:val="2"/>
        </w:numPr>
        <w:tabs>
          <w:tab w:val="clear" w:pos="1429"/>
          <w:tab w:val="num" w:pos="360"/>
        </w:tabs>
        <w:autoSpaceDE w:val="0"/>
        <w:autoSpaceDN w:val="0"/>
        <w:adjustRightInd w:val="0"/>
        <w:spacing w:after="0" w:line="360" w:lineRule="auto"/>
        <w:ind w:left="0" w:firstLine="0"/>
        <w:rPr>
          <w:rFonts w:ascii="Times New Roman" w:hAnsi="Times New Roman" w:cs="Times New Roman"/>
          <w:sz w:val="28"/>
          <w:szCs w:val="28"/>
        </w:rPr>
      </w:pPr>
      <w:r w:rsidRPr="007365BC">
        <w:rPr>
          <w:rFonts w:ascii="Times New Roman" w:hAnsi="Times New Roman" w:cs="Times New Roman"/>
          <w:sz w:val="28"/>
          <w:szCs w:val="28"/>
        </w:rPr>
        <w:t>Источник: Национальные счета России в 1992—1999 гг.: Стат. сб. / Госкомстат России. М., 2000. С. 126. Данные получены с помощью Университетской информационной системы РОССИЯ (http://www.cir.ru).</w:t>
      </w:r>
    </w:p>
    <w:p w:rsidR="00B92C93" w:rsidRPr="007365BC" w:rsidRDefault="00B92C93" w:rsidP="00924E30">
      <w:pPr>
        <w:numPr>
          <w:ilvl w:val="0"/>
          <w:numId w:val="2"/>
        </w:numPr>
        <w:tabs>
          <w:tab w:val="clear" w:pos="1429"/>
          <w:tab w:val="num" w:pos="360"/>
        </w:tabs>
        <w:autoSpaceDE w:val="0"/>
        <w:autoSpaceDN w:val="0"/>
        <w:adjustRightInd w:val="0"/>
        <w:spacing w:after="0" w:line="360" w:lineRule="auto"/>
        <w:ind w:left="0" w:firstLine="0"/>
        <w:rPr>
          <w:rFonts w:ascii="Times New Roman" w:hAnsi="Times New Roman" w:cs="Times New Roman"/>
          <w:sz w:val="28"/>
          <w:szCs w:val="28"/>
        </w:rPr>
      </w:pPr>
      <w:r w:rsidRPr="007365BC">
        <w:rPr>
          <w:rFonts w:ascii="Times New Roman" w:hAnsi="Times New Roman" w:cs="Times New Roman"/>
          <w:sz w:val="28"/>
          <w:szCs w:val="28"/>
        </w:rPr>
        <w:t>Источник: Регионы России 2001. Официальное издание. М.: Госкомстат России, 2001. Т.1.С.17.</w:t>
      </w:r>
    </w:p>
    <w:p w:rsidR="00B92C93" w:rsidRPr="007365BC" w:rsidRDefault="00B92C93" w:rsidP="00924E30">
      <w:pPr>
        <w:numPr>
          <w:ilvl w:val="0"/>
          <w:numId w:val="2"/>
        </w:numPr>
        <w:tabs>
          <w:tab w:val="clear" w:pos="1429"/>
          <w:tab w:val="num" w:pos="360"/>
        </w:tabs>
        <w:autoSpaceDE w:val="0"/>
        <w:autoSpaceDN w:val="0"/>
        <w:adjustRightInd w:val="0"/>
        <w:spacing w:after="0" w:line="360" w:lineRule="auto"/>
        <w:ind w:left="0" w:firstLine="0"/>
        <w:rPr>
          <w:rFonts w:ascii="Times New Roman" w:hAnsi="Times New Roman" w:cs="Times New Roman"/>
          <w:sz w:val="28"/>
          <w:szCs w:val="28"/>
        </w:rPr>
      </w:pPr>
      <w:r w:rsidRPr="007365BC">
        <w:rPr>
          <w:rFonts w:ascii="Times New Roman" w:hAnsi="Times New Roman" w:cs="Times New Roman"/>
          <w:sz w:val="28"/>
          <w:szCs w:val="28"/>
        </w:rPr>
        <w:t>Статьи сборника «Регионы России 2001».</w:t>
      </w:r>
    </w:p>
    <w:p w:rsidR="00B92C93" w:rsidRPr="007365BC" w:rsidRDefault="00B92C93" w:rsidP="00924E30">
      <w:pPr>
        <w:numPr>
          <w:ilvl w:val="0"/>
          <w:numId w:val="2"/>
        </w:numPr>
        <w:tabs>
          <w:tab w:val="clear" w:pos="1429"/>
          <w:tab w:val="num" w:pos="360"/>
        </w:tabs>
        <w:autoSpaceDE w:val="0"/>
        <w:autoSpaceDN w:val="0"/>
        <w:adjustRightInd w:val="0"/>
        <w:spacing w:after="0" w:line="360" w:lineRule="auto"/>
        <w:ind w:left="0" w:firstLine="0"/>
        <w:rPr>
          <w:rFonts w:ascii="Times New Roman" w:hAnsi="Times New Roman" w:cs="Times New Roman"/>
          <w:sz w:val="28"/>
          <w:szCs w:val="28"/>
        </w:rPr>
      </w:pPr>
      <w:r w:rsidRPr="007365BC">
        <w:rPr>
          <w:rFonts w:ascii="Times New Roman" w:hAnsi="Times New Roman" w:cs="Times New Roman"/>
          <w:sz w:val="28"/>
          <w:szCs w:val="28"/>
        </w:rPr>
        <w:t>Федеральная служба государственной статистики</w:t>
      </w:r>
      <w:r w:rsidR="00924E30" w:rsidRPr="007365BC">
        <w:rPr>
          <w:rFonts w:ascii="Times New Roman" w:hAnsi="Times New Roman" w:cs="Times New Roman"/>
          <w:sz w:val="28"/>
          <w:szCs w:val="28"/>
        </w:rPr>
        <w:t xml:space="preserve"> </w:t>
      </w:r>
      <w:r w:rsidRPr="009F700B">
        <w:rPr>
          <w:rFonts w:ascii="Times New Roman" w:hAnsi="Times New Roman" w:cs="Times New Roman"/>
          <w:sz w:val="28"/>
          <w:szCs w:val="28"/>
        </w:rPr>
        <w:t>http://www.gks.ru</w:t>
      </w:r>
    </w:p>
    <w:p w:rsidR="00B92C93" w:rsidRPr="007365BC" w:rsidRDefault="00B92C93" w:rsidP="00924E30">
      <w:pPr>
        <w:numPr>
          <w:ilvl w:val="0"/>
          <w:numId w:val="2"/>
        </w:numPr>
        <w:tabs>
          <w:tab w:val="clear" w:pos="1429"/>
          <w:tab w:val="num" w:pos="360"/>
        </w:tabs>
        <w:autoSpaceDE w:val="0"/>
        <w:autoSpaceDN w:val="0"/>
        <w:adjustRightInd w:val="0"/>
        <w:spacing w:after="0" w:line="360" w:lineRule="auto"/>
        <w:ind w:left="0" w:firstLine="0"/>
        <w:rPr>
          <w:rFonts w:ascii="Times New Roman" w:hAnsi="Times New Roman" w:cs="Times New Roman"/>
          <w:sz w:val="28"/>
          <w:szCs w:val="28"/>
        </w:rPr>
      </w:pPr>
      <w:r w:rsidRPr="007365BC">
        <w:rPr>
          <w:rFonts w:ascii="Times New Roman" w:hAnsi="Times New Roman" w:cs="Times New Roman"/>
          <w:sz w:val="28"/>
          <w:szCs w:val="28"/>
        </w:rPr>
        <w:t>Агентство национальных новостей</w:t>
      </w:r>
      <w:bookmarkStart w:id="0" w:name="_GoBack"/>
      <w:bookmarkEnd w:id="0"/>
    </w:p>
    <w:sectPr w:rsidR="00B92C93" w:rsidRPr="007365BC" w:rsidSect="00924E30">
      <w:headerReference w:type="default" r:id="rId7"/>
      <w:footnotePr>
        <w:numRestart w:val="eachPage"/>
      </w:footnotePr>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E53" w:rsidRDefault="00437E53" w:rsidP="00864387">
      <w:pPr>
        <w:spacing w:after="0" w:line="240" w:lineRule="auto"/>
      </w:pPr>
      <w:r>
        <w:separator/>
      </w:r>
    </w:p>
  </w:endnote>
  <w:endnote w:type="continuationSeparator" w:id="0">
    <w:p w:rsidR="00437E53" w:rsidRDefault="00437E53" w:rsidP="00864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E53" w:rsidRDefault="00437E53" w:rsidP="00864387">
      <w:pPr>
        <w:spacing w:after="0" w:line="240" w:lineRule="auto"/>
      </w:pPr>
      <w:r>
        <w:separator/>
      </w:r>
    </w:p>
  </w:footnote>
  <w:footnote w:type="continuationSeparator" w:id="0">
    <w:p w:rsidR="00437E53" w:rsidRDefault="00437E53" w:rsidP="00864387">
      <w:pPr>
        <w:spacing w:after="0" w:line="240" w:lineRule="auto"/>
      </w:pPr>
      <w:r>
        <w:continuationSeparator/>
      </w:r>
    </w:p>
  </w:footnote>
  <w:footnote w:id="1">
    <w:p w:rsidR="00437E53" w:rsidRDefault="00B92C93">
      <w:pPr>
        <w:pStyle w:val="a3"/>
      </w:pPr>
      <w:r>
        <w:rPr>
          <w:rStyle w:val="a5"/>
        </w:rPr>
        <w:footnoteRef/>
      </w:r>
      <w:r>
        <w:t xml:space="preserve"> </w:t>
      </w:r>
      <w:r w:rsidRPr="00C44733">
        <w:rPr>
          <w:rFonts w:ascii="Times New Roman" w:hAnsi="Times New Roman" w:cs="Times New Roman"/>
        </w:rPr>
        <w:t>Фетисов Г.Г., Орешин В.П. Региональная экономика и управление: Учебник. - М.: ИНФРА-М, 2007.- 416 с. - (Высшее образование).</w:t>
      </w:r>
      <w:r>
        <w:rPr>
          <w:rFonts w:ascii="Times New Roman" w:hAnsi="Times New Roman" w:cs="Times New Roman"/>
        </w:rPr>
        <w:t xml:space="preserve"> Стр.38</w:t>
      </w:r>
    </w:p>
  </w:footnote>
  <w:footnote w:id="2">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стр.39</w:t>
      </w:r>
    </w:p>
  </w:footnote>
  <w:footnote w:id="3">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стр.40</w:t>
      </w:r>
    </w:p>
  </w:footnote>
  <w:footnote w:id="4">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стр.41</w:t>
      </w:r>
    </w:p>
  </w:footnote>
  <w:footnote w:id="5">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стр.42</w:t>
      </w:r>
    </w:p>
  </w:footnote>
  <w:footnote w:id="6">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стр.43</w:t>
      </w:r>
    </w:p>
  </w:footnote>
  <w:footnote w:id="7">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стр.44</w:t>
      </w:r>
    </w:p>
  </w:footnote>
  <w:footnote w:id="8">
    <w:p w:rsidR="00437E53" w:rsidRDefault="00B92C93" w:rsidP="00B62C7B">
      <w:pPr>
        <w:pStyle w:val="a3"/>
      </w:pPr>
      <w:r>
        <w:rPr>
          <w:rStyle w:val="a5"/>
        </w:rPr>
        <w:footnoteRef/>
      </w:r>
      <w:r>
        <w:t xml:space="preserve"> </w:t>
      </w:r>
      <w:r>
        <w:rPr>
          <w:i/>
          <w:iCs/>
        </w:rPr>
        <w:t xml:space="preserve">Федеральная служба государственной статистики </w:t>
      </w:r>
      <w:r w:rsidRPr="00614F05">
        <w:rPr>
          <w:rFonts w:ascii="Times New Roman" w:hAnsi="Times New Roman" w:cs="Times New Roman"/>
          <w:lang w:val="en-US"/>
        </w:rPr>
        <w:t>http</w:t>
      </w:r>
      <w:r w:rsidRPr="00B62C7B">
        <w:rPr>
          <w:rFonts w:ascii="Times New Roman" w:hAnsi="Times New Roman" w:cs="Times New Roman"/>
        </w:rPr>
        <w:t>://</w:t>
      </w:r>
      <w:r w:rsidRPr="00614F05">
        <w:rPr>
          <w:rFonts w:ascii="Times New Roman" w:hAnsi="Times New Roman" w:cs="Times New Roman"/>
          <w:lang w:val="en-US"/>
        </w:rPr>
        <w:t>www</w:t>
      </w:r>
      <w:r w:rsidRPr="00B62C7B">
        <w:rPr>
          <w:rFonts w:ascii="Times New Roman" w:hAnsi="Times New Roman" w:cs="Times New Roman"/>
        </w:rPr>
        <w:t>.</w:t>
      </w:r>
      <w:r w:rsidRPr="00614F05">
        <w:rPr>
          <w:rFonts w:ascii="Times New Roman" w:hAnsi="Times New Roman" w:cs="Times New Roman"/>
          <w:lang w:val="en-US"/>
        </w:rPr>
        <w:t>gks</w:t>
      </w:r>
      <w:r w:rsidRPr="00B62C7B">
        <w:rPr>
          <w:rFonts w:ascii="Times New Roman" w:hAnsi="Times New Roman" w:cs="Times New Roman"/>
        </w:rPr>
        <w:t>.</w:t>
      </w:r>
      <w:r w:rsidRPr="00614F05">
        <w:rPr>
          <w:rFonts w:ascii="Times New Roman" w:hAnsi="Times New Roman" w:cs="Times New Roman"/>
          <w:lang w:val="en-US"/>
        </w:rPr>
        <w:t>ru</w:t>
      </w:r>
      <w:r w:rsidRPr="00B62C7B">
        <w:rPr>
          <w:rFonts w:ascii="Times New Roman" w:hAnsi="Times New Roman" w:cs="Times New Roman"/>
        </w:rPr>
        <w:t>/</w:t>
      </w:r>
      <w:r w:rsidRPr="00614F05">
        <w:rPr>
          <w:rFonts w:ascii="Times New Roman" w:hAnsi="Times New Roman" w:cs="Times New Roman"/>
          <w:lang w:val="en-US"/>
        </w:rPr>
        <w:t>bgd</w:t>
      </w:r>
      <w:r w:rsidRPr="00B62C7B">
        <w:rPr>
          <w:rFonts w:ascii="Times New Roman" w:hAnsi="Times New Roman" w:cs="Times New Roman"/>
        </w:rPr>
        <w:t>/</w:t>
      </w:r>
      <w:r w:rsidRPr="00614F05">
        <w:rPr>
          <w:rFonts w:ascii="Times New Roman" w:hAnsi="Times New Roman" w:cs="Times New Roman"/>
          <w:lang w:val="en-US"/>
        </w:rPr>
        <w:t>free</w:t>
      </w:r>
      <w:r w:rsidRPr="00B62C7B">
        <w:rPr>
          <w:rFonts w:ascii="Times New Roman" w:hAnsi="Times New Roman" w:cs="Times New Roman"/>
        </w:rPr>
        <w:t>/</w:t>
      </w:r>
      <w:r w:rsidRPr="00614F05">
        <w:rPr>
          <w:rFonts w:ascii="Times New Roman" w:hAnsi="Times New Roman" w:cs="Times New Roman"/>
          <w:lang w:val="en-US"/>
        </w:rPr>
        <w:t>b</w:t>
      </w:r>
      <w:r w:rsidRPr="00B62C7B">
        <w:rPr>
          <w:rFonts w:ascii="Times New Roman" w:hAnsi="Times New Roman" w:cs="Times New Roman"/>
        </w:rPr>
        <w:t>01_19/</w:t>
      </w:r>
      <w:r w:rsidRPr="00614F05">
        <w:rPr>
          <w:rFonts w:ascii="Times New Roman" w:hAnsi="Times New Roman" w:cs="Times New Roman"/>
          <w:lang w:val="en-US"/>
        </w:rPr>
        <w:t>IssWWW</w:t>
      </w:r>
      <w:r w:rsidRPr="00B62C7B">
        <w:rPr>
          <w:rFonts w:ascii="Times New Roman" w:hAnsi="Times New Roman" w:cs="Times New Roman"/>
        </w:rPr>
        <w:t>.</w:t>
      </w:r>
      <w:r w:rsidRPr="00614F05">
        <w:rPr>
          <w:rFonts w:ascii="Times New Roman" w:hAnsi="Times New Roman" w:cs="Times New Roman"/>
          <w:lang w:val="en-US"/>
        </w:rPr>
        <w:t>exe</w:t>
      </w:r>
      <w:r w:rsidRPr="00B62C7B">
        <w:rPr>
          <w:rFonts w:ascii="Times New Roman" w:hAnsi="Times New Roman" w:cs="Times New Roman"/>
        </w:rPr>
        <w:t>/</w:t>
      </w:r>
      <w:r w:rsidRPr="00614F05">
        <w:rPr>
          <w:rFonts w:ascii="Times New Roman" w:hAnsi="Times New Roman" w:cs="Times New Roman"/>
          <w:lang w:val="en-US"/>
        </w:rPr>
        <w:t>Stg</w:t>
      </w:r>
      <w:r w:rsidRPr="00B62C7B">
        <w:rPr>
          <w:rFonts w:ascii="Times New Roman" w:hAnsi="Times New Roman" w:cs="Times New Roman"/>
        </w:rPr>
        <w:t>/</w:t>
      </w:r>
      <w:r w:rsidRPr="00614F05">
        <w:rPr>
          <w:rFonts w:ascii="Times New Roman" w:hAnsi="Times New Roman" w:cs="Times New Roman"/>
          <w:lang w:val="en-US"/>
        </w:rPr>
        <w:t>d</w:t>
      </w:r>
      <w:r w:rsidRPr="00B62C7B">
        <w:rPr>
          <w:rFonts w:ascii="Times New Roman" w:hAnsi="Times New Roman" w:cs="Times New Roman"/>
        </w:rPr>
        <w:t>000/</w:t>
      </w:r>
      <w:r w:rsidRPr="00614F05">
        <w:rPr>
          <w:rFonts w:ascii="Times New Roman" w:hAnsi="Times New Roman" w:cs="Times New Roman"/>
          <w:lang w:val="en-US"/>
        </w:rPr>
        <w:t>i</w:t>
      </w:r>
      <w:r w:rsidRPr="00B62C7B">
        <w:rPr>
          <w:rFonts w:ascii="Times New Roman" w:hAnsi="Times New Roman" w:cs="Times New Roman"/>
        </w:rPr>
        <w:t>-</w:t>
      </w:r>
      <w:r w:rsidRPr="00614F05">
        <w:rPr>
          <w:rFonts w:ascii="Times New Roman" w:hAnsi="Times New Roman" w:cs="Times New Roman"/>
          <w:lang w:val="en-US"/>
        </w:rPr>
        <w:t>vrp</w:t>
      </w:r>
      <w:r w:rsidRPr="00B62C7B">
        <w:rPr>
          <w:rFonts w:ascii="Times New Roman" w:hAnsi="Times New Roman" w:cs="Times New Roman"/>
        </w:rPr>
        <w:t>.</w:t>
      </w:r>
      <w:r w:rsidRPr="00614F05">
        <w:rPr>
          <w:rFonts w:ascii="Times New Roman" w:hAnsi="Times New Roman" w:cs="Times New Roman"/>
          <w:lang w:val="en-US"/>
        </w:rPr>
        <w:t>htm</w:t>
      </w:r>
    </w:p>
  </w:footnote>
  <w:footnote w:id="9">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стр.45</w:t>
      </w:r>
    </w:p>
  </w:footnote>
  <w:footnote w:id="10">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стр.46-47</w:t>
      </w:r>
    </w:p>
  </w:footnote>
  <w:footnote w:id="11">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стр.48</w:t>
      </w:r>
    </w:p>
  </w:footnote>
  <w:footnote w:id="12">
    <w:p w:rsidR="00437E53" w:rsidRDefault="00B92C93" w:rsidP="00147311">
      <w:pPr>
        <w:autoSpaceDE w:val="0"/>
        <w:autoSpaceDN w:val="0"/>
        <w:adjustRightInd w:val="0"/>
        <w:spacing w:after="0" w:line="360" w:lineRule="auto"/>
        <w:jc w:val="both"/>
      </w:pPr>
      <w:r>
        <w:rPr>
          <w:rStyle w:val="a5"/>
        </w:rPr>
        <w:footnoteRef/>
      </w:r>
      <w:r>
        <w:t xml:space="preserve"> </w:t>
      </w:r>
      <w:r w:rsidRPr="001F46EE">
        <w:rPr>
          <w:rFonts w:ascii="Times New Roman" w:hAnsi="Times New Roman" w:cs="Times New Roman"/>
          <w:sz w:val="20"/>
          <w:szCs w:val="20"/>
        </w:rPr>
        <w:t>Источник: Регионы России 2001. Официальное издание. М.: Гос</w:t>
      </w:r>
      <w:r>
        <w:rPr>
          <w:rFonts w:ascii="Times New Roman" w:hAnsi="Times New Roman" w:cs="Times New Roman"/>
          <w:sz w:val="20"/>
          <w:szCs w:val="20"/>
        </w:rPr>
        <w:t>комстат России, 2001. Т.1.С.17.</w:t>
      </w:r>
    </w:p>
  </w:footnote>
  <w:footnote w:id="13">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стр.50</w:t>
      </w:r>
    </w:p>
  </w:footnote>
  <w:footnote w:id="14">
    <w:p w:rsidR="00437E53" w:rsidRDefault="00B92C93" w:rsidP="008A5A39">
      <w:pPr>
        <w:autoSpaceDE w:val="0"/>
        <w:autoSpaceDN w:val="0"/>
        <w:adjustRightInd w:val="0"/>
        <w:spacing w:after="0" w:line="240" w:lineRule="auto"/>
        <w:jc w:val="both"/>
      </w:pPr>
      <w:r>
        <w:rPr>
          <w:rStyle w:val="a5"/>
        </w:rPr>
        <w:footnoteRef/>
      </w:r>
      <w:r>
        <w:t xml:space="preserve"> </w:t>
      </w:r>
      <w:r>
        <w:rPr>
          <w:rFonts w:ascii="Times New Roman" w:hAnsi="Times New Roman" w:cs="Times New Roman"/>
          <w:sz w:val="20"/>
          <w:szCs w:val="20"/>
        </w:rPr>
        <w:t>Источник: Регионы России 2007</w:t>
      </w:r>
      <w:r w:rsidRPr="001F46EE">
        <w:rPr>
          <w:rFonts w:ascii="Times New Roman" w:hAnsi="Times New Roman" w:cs="Times New Roman"/>
          <w:sz w:val="20"/>
          <w:szCs w:val="20"/>
        </w:rPr>
        <w:t>. Официальное издание. М.: Госком</w:t>
      </w:r>
      <w:r>
        <w:rPr>
          <w:rFonts w:ascii="Times New Roman" w:hAnsi="Times New Roman" w:cs="Times New Roman"/>
          <w:sz w:val="20"/>
          <w:szCs w:val="20"/>
        </w:rPr>
        <w:t>стат России, 2007. Т. 1. С. 18.</w:t>
      </w:r>
    </w:p>
  </w:footnote>
  <w:footnote w:id="15">
    <w:p w:rsidR="00B92C93" w:rsidRDefault="00B92C93" w:rsidP="008A5A39">
      <w:pPr>
        <w:pStyle w:val="a3"/>
        <w:rPr>
          <w:rFonts w:ascii="Times New Roman" w:hAnsi="Times New Roman" w:cs="Times New Roman"/>
        </w:rPr>
      </w:pPr>
      <w:r>
        <w:rPr>
          <w:rStyle w:val="a5"/>
        </w:rPr>
        <w:footnoteRef/>
      </w:r>
      <w:r>
        <w:t xml:space="preserve"> </w:t>
      </w:r>
      <w:r w:rsidRPr="008A5A39">
        <w:rPr>
          <w:rFonts w:ascii="Times New Roman" w:hAnsi="Times New Roman" w:cs="Times New Roman"/>
        </w:rPr>
        <w:t>Федеральная служба государственной статистики</w:t>
      </w:r>
      <w:r>
        <w:rPr>
          <w:rFonts w:ascii="Times New Roman" w:hAnsi="Times New Roman" w:cs="Times New Roman"/>
        </w:rPr>
        <w:t>;</w:t>
      </w:r>
    </w:p>
    <w:p w:rsidR="00437E53" w:rsidRDefault="00B92C93" w:rsidP="008A5A39">
      <w:pPr>
        <w:pStyle w:val="a3"/>
      </w:pPr>
      <w:r w:rsidRPr="00886550">
        <w:rPr>
          <w:rFonts w:ascii="Times New Roman" w:hAnsi="Times New Roman" w:cs="Times New Roman"/>
          <w:color w:val="000000"/>
        </w:rPr>
        <w:t>Агентство национальных новостей</w:t>
      </w:r>
      <w:r>
        <w:rPr>
          <w:rFonts w:ascii="Times New Roman" w:hAnsi="Times New Roman" w:cs="Times New Roman"/>
          <w:color w:val="000000"/>
        </w:rPr>
        <w:t xml:space="preserve"> </w:t>
      </w:r>
      <w:r w:rsidRPr="00886550">
        <w:rPr>
          <w:rFonts w:ascii="Times New Roman" w:hAnsi="Times New Roman" w:cs="Times New Roman"/>
          <w:color w:val="000000"/>
        </w:rPr>
        <w:t>http://www.rostrud.ru/portal/load/doc-cfc849193922834db358c09d49ab6342-1df01d.49ba9981398f334d993bce9bf6a4edfe-1c8db7.htm</w:t>
      </w:r>
    </w:p>
  </w:footnote>
  <w:footnote w:id="16">
    <w:p w:rsidR="00B92C93" w:rsidRDefault="00B92C93">
      <w:pPr>
        <w:pStyle w:val="a3"/>
        <w:rPr>
          <w:rFonts w:ascii="Times New Roman" w:hAnsi="Times New Roman" w:cs="Times New Roman"/>
        </w:rPr>
      </w:pPr>
      <w:r>
        <w:rPr>
          <w:rStyle w:val="a5"/>
        </w:rPr>
        <w:footnoteRef/>
      </w:r>
      <w:r>
        <w:t xml:space="preserve"> </w:t>
      </w:r>
      <w:r w:rsidRPr="00DA26F2">
        <w:rPr>
          <w:rFonts w:ascii="Times New Roman" w:hAnsi="Times New Roman" w:cs="Times New Roman"/>
        </w:rPr>
        <w:t>Федеральная служба государственной статистики</w:t>
      </w:r>
      <w:r>
        <w:rPr>
          <w:rFonts w:ascii="Times New Roman" w:hAnsi="Times New Roman" w:cs="Times New Roman"/>
        </w:rPr>
        <w:t xml:space="preserve">, </w:t>
      </w:r>
      <w:r w:rsidRPr="00DA26F2">
        <w:rPr>
          <w:rFonts w:ascii="Times New Roman" w:hAnsi="Times New Roman" w:cs="Times New Roman"/>
        </w:rPr>
        <w:t>Основные показатели системы национальных счетов</w:t>
      </w:r>
      <w:r>
        <w:rPr>
          <w:rFonts w:ascii="Times New Roman" w:hAnsi="Times New Roman" w:cs="Times New Roman"/>
        </w:rPr>
        <w:t>.</w:t>
      </w:r>
    </w:p>
    <w:p w:rsidR="00437E53" w:rsidRDefault="00B92C93">
      <w:pPr>
        <w:pStyle w:val="a3"/>
      </w:pPr>
      <w:r w:rsidRPr="009F700B">
        <w:rPr>
          <w:rFonts w:ascii="Times New Roman" w:hAnsi="Times New Roman" w:cs="Times New Roman"/>
        </w:rPr>
        <w:t>http://www.gks.ru/bgd/free/b01_19/IssWWW.exe/Stg/d000/vrp98-06.htm</w:t>
      </w:r>
      <w:r w:rsidRPr="007365BC">
        <w:rPr>
          <w:rFonts w:ascii="Times New Roman" w:hAnsi="Times New Roman" w:cs="Times New Roman"/>
        </w:rPr>
        <w:t xml:space="preserve">, </w:t>
      </w:r>
      <w:r w:rsidRPr="009F700B">
        <w:rPr>
          <w:rFonts w:ascii="Times New Roman" w:hAnsi="Times New Roman" w:cs="Times New Roman"/>
        </w:rPr>
        <w:t>http://www.gks.ru/bgd/free/b01_19/IssWWW.exe/Stg/d000/stru06.htm</w:t>
      </w:r>
      <w:r w:rsidRPr="007365BC">
        <w:rPr>
          <w:rFonts w:ascii="Times New Roman" w:hAnsi="Times New Roman" w:cs="Times New Roman"/>
        </w:rPr>
        <w:t xml:space="preserve"> </w:t>
      </w:r>
    </w:p>
  </w:footnote>
  <w:footnote w:id="17">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стр.56</w:t>
      </w:r>
    </w:p>
  </w:footnote>
  <w:footnote w:id="18">
    <w:p w:rsidR="00B92C93" w:rsidRPr="00924E30" w:rsidRDefault="00B92C93" w:rsidP="00DE249D">
      <w:pPr>
        <w:autoSpaceDE w:val="0"/>
        <w:autoSpaceDN w:val="0"/>
        <w:adjustRightInd w:val="0"/>
        <w:spacing w:after="0" w:line="240" w:lineRule="auto"/>
        <w:jc w:val="both"/>
        <w:rPr>
          <w:rFonts w:ascii="Times New Roman" w:hAnsi="Times New Roman" w:cs="Times New Roman"/>
          <w:sz w:val="20"/>
          <w:szCs w:val="20"/>
        </w:rPr>
      </w:pPr>
      <w:r>
        <w:rPr>
          <w:rStyle w:val="a5"/>
        </w:rPr>
        <w:footnoteRef/>
      </w:r>
      <w:r>
        <w:t xml:space="preserve"> </w:t>
      </w:r>
      <w:r>
        <w:rPr>
          <w:rFonts w:ascii="Times New Roman" w:hAnsi="Times New Roman" w:cs="Times New Roman"/>
          <w:sz w:val="20"/>
          <w:szCs w:val="20"/>
        </w:rPr>
        <w:t xml:space="preserve">Источник: Бизнес в ЦФО </w:t>
      </w:r>
      <w:r w:rsidRPr="009F700B">
        <w:rPr>
          <w:rFonts w:ascii="Times New Roman" w:hAnsi="Times New Roman" w:cs="Times New Roman"/>
          <w:sz w:val="20"/>
          <w:szCs w:val="20"/>
        </w:rPr>
        <w:t>http://cfo.allbusiness.ru/RegionStat/RStatShow.asp?RegionID=301</w:t>
      </w:r>
    </w:p>
    <w:p w:rsidR="00B92C93" w:rsidRPr="00DE249D" w:rsidRDefault="00B92C93" w:rsidP="00DE249D">
      <w:pPr>
        <w:autoSpaceDE w:val="0"/>
        <w:autoSpaceDN w:val="0"/>
        <w:adjustRightInd w:val="0"/>
        <w:spacing w:after="0" w:line="240" w:lineRule="auto"/>
        <w:jc w:val="both"/>
        <w:rPr>
          <w:rFonts w:ascii="Times New Roman" w:hAnsi="Times New Roman" w:cs="Times New Roman"/>
          <w:sz w:val="20"/>
          <w:szCs w:val="20"/>
        </w:rPr>
      </w:pPr>
      <w:r w:rsidRPr="009F700B">
        <w:rPr>
          <w:rFonts w:ascii="Times New Roman" w:hAnsi="Times New Roman" w:cs="Times New Roman"/>
          <w:sz w:val="20"/>
          <w:szCs w:val="20"/>
        </w:rPr>
        <w:t>Университетская информационная система РОССИЯ</w:t>
      </w:r>
      <w:r w:rsidR="00924E30">
        <w:rPr>
          <w:rFonts w:ascii="Times New Roman" w:hAnsi="Times New Roman" w:cs="Times New Roman"/>
          <w:sz w:val="20"/>
          <w:szCs w:val="20"/>
        </w:rPr>
        <w:t xml:space="preserve"> </w:t>
      </w:r>
      <w:r w:rsidRPr="00DE249D">
        <w:rPr>
          <w:rFonts w:ascii="Times New Roman" w:hAnsi="Times New Roman" w:cs="Times New Roman"/>
          <w:sz w:val="20"/>
          <w:szCs w:val="20"/>
        </w:rPr>
        <w:t>http://</w:t>
      </w:r>
      <w:r w:rsidRPr="00DE249D">
        <w:rPr>
          <w:rFonts w:ascii="Times New Roman" w:hAnsi="Times New Roman" w:cs="Times New Roman"/>
          <w:sz w:val="20"/>
          <w:szCs w:val="20"/>
          <w:lang w:val="en-US"/>
        </w:rPr>
        <w:t>cir</w:t>
      </w:r>
      <w:r w:rsidRPr="00DE249D">
        <w:rPr>
          <w:rFonts w:ascii="Times New Roman" w:hAnsi="Times New Roman" w:cs="Times New Roman"/>
          <w:sz w:val="20"/>
          <w:szCs w:val="20"/>
        </w:rPr>
        <w:t>.</w:t>
      </w:r>
      <w:r w:rsidRPr="00DE249D">
        <w:rPr>
          <w:rFonts w:ascii="Times New Roman" w:hAnsi="Times New Roman" w:cs="Times New Roman"/>
          <w:sz w:val="20"/>
          <w:szCs w:val="20"/>
          <w:lang w:val="en-US"/>
        </w:rPr>
        <w:t>ru</w:t>
      </w:r>
    </w:p>
    <w:p w:rsidR="00437E53" w:rsidRDefault="00B92C93" w:rsidP="00DE249D">
      <w:pPr>
        <w:autoSpaceDE w:val="0"/>
        <w:autoSpaceDN w:val="0"/>
        <w:adjustRightInd w:val="0"/>
        <w:spacing w:after="0" w:line="240" w:lineRule="auto"/>
        <w:jc w:val="both"/>
      </w:pPr>
      <w:r w:rsidRPr="00DE249D">
        <w:rPr>
          <w:rFonts w:ascii="Times New Roman" w:hAnsi="Times New Roman" w:cs="Times New Roman"/>
          <w:sz w:val="20"/>
          <w:szCs w:val="20"/>
        </w:rPr>
        <w:t>http://www.budgetrf.ru/Publications/Schpalata/2006/ACH200703202352/ACH200703202352_p_011.htm#HL_2</w:t>
      </w:r>
    </w:p>
  </w:footnote>
  <w:footnote w:id="19">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стр.59</w:t>
      </w:r>
    </w:p>
  </w:footnote>
  <w:footnote w:id="20">
    <w:p w:rsidR="00437E53" w:rsidRDefault="00B92C93" w:rsidP="00924E30">
      <w:pPr>
        <w:spacing w:after="0"/>
      </w:pPr>
      <w:r>
        <w:rPr>
          <w:rStyle w:val="a5"/>
        </w:rPr>
        <w:footnoteRef/>
      </w:r>
      <w:r>
        <w:t xml:space="preserve"> </w:t>
      </w:r>
      <w:r w:rsidRPr="00924E30">
        <w:rPr>
          <w:rFonts w:ascii="Times New Roman" w:hAnsi="Times New Roman" w:cs="Times New Roman"/>
          <w:sz w:val="20"/>
          <w:szCs w:val="20"/>
        </w:rPr>
        <w:t>Здесь и далее данные взяты из стат. сборника «Регионы России 2001».</w:t>
      </w:r>
    </w:p>
  </w:footnote>
  <w:footnote w:id="21">
    <w:p w:rsidR="00437E53" w:rsidRDefault="00B92C93" w:rsidP="00924E30">
      <w:pPr>
        <w:spacing w:after="0"/>
      </w:pPr>
      <w:r w:rsidRPr="00924E30">
        <w:rPr>
          <w:rStyle w:val="a5"/>
          <w:rFonts w:ascii="Times New Roman" w:hAnsi="Times New Roman" w:cs="Times New Roman"/>
          <w:sz w:val="20"/>
          <w:szCs w:val="20"/>
        </w:rPr>
        <w:footnoteRef/>
      </w:r>
      <w:r w:rsidRPr="00924E30">
        <w:rPr>
          <w:rFonts w:ascii="Times New Roman" w:hAnsi="Times New Roman" w:cs="Times New Roman"/>
          <w:sz w:val="20"/>
          <w:szCs w:val="20"/>
        </w:rPr>
        <w:t xml:space="preserve"> Фетисов Г.Г., Орешин В.П., то же, стр.60</w:t>
      </w:r>
    </w:p>
  </w:footnote>
  <w:footnote w:id="22">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стр.61</w:t>
      </w:r>
    </w:p>
  </w:footnote>
  <w:footnote w:id="23">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стр.62</w:t>
      </w:r>
    </w:p>
  </w:footnote>
  <w:footnote w:id="24">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стр.63</w:t>
      </w:r>
    </w:p>
  </w:footnote>
  <w:footnote w:id="25">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стр.64</w:t>
      </w:r>
    </w:p>
  </w:footnote>
  <w:footnote w:id="26">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стр.65</w:t>
      </w:r>
    </w:p>
  </w:footnote>
  <w:footnote w:id="27">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стр.6</w:t>
      </w:r>
      <w:r w:rsidRPr="009F2593">
        <w:rPr>
          <w:rFonts w:ascii="Times New Roman" w:hAnsi="Times New Roman" w:cs="Times New Roman"/>
        </w:rPr>
        <w:t>8</w:t>
      </w:r>
    </w:p>
  </w:footnote>
  <w:footnote w:id="28">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стр.6</w:t>
      </w:r>
      <w:r w:rsidRPr="009F2593">
        <w:rPr>
          <w:rFonts w:ascii="Times New Roman" w:hAnsi="Times New Roman" w:cs="Times New Roman"/>
        </w:rPr>
        <w:t>9</w:t>
      </w:r>
    </w:p>
  </w:footnote>
  <w:footnote w:id="29">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стр.70</w:t>
      </w:r>
    </w:p>
  </w:footnote>
  <w:footnote w:id="30">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стр.71</w:t>
      </w:r>
    </w:p>
  </w:footnote>
  <w:footnote w:id="31">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стр.72</w:t>
      </w:r>
    </w:p>
  </w:footnote>
  <w:footnote w:id="32">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стр.75</w:t>
      </w:r>
    </w:p>
  </w:footnote>
  <w:footnote w:id="33">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стр.76</w:t>
      </w:r>
    </w:p>
  </w:footnote>
  <w:footnote w:id="34">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стр.79</w:t>
      </w:r>
    </w:p>
  </w:footnote>
  <w:footnote w:id="35">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стр.80</w:t>
      </w:r>
    </w:p>
  </w:footnote>
  <w:footnote w:id="36">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стр.81</w:t>
      </w:r>
    </w:p>
  </w:footnote>
  <w:footnote w:id="37">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стр.82</w:t>
      </w:r>
    </w:p>
  </w:footnote>
  <w:footnote w:id="38">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стр.83</w:t>
      </w:r>
    </w:p>
  </w:footnote>
  <w:footnote w:id="39">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стр.84</w:t>
      </w:r>
    </w:p>
  </w:footnote>
  <w:footnote w:id="40">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стр.85</w:t>
      </w:r>
    </w:p>
  </w:footnote>
  <w:footnote w:id="41">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стр.86</w:t>
      </w:r>
    </w:p>
  </w:footnote>
  <w:footnote w:id="42">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стр.89</w:t>
      </w:r>
    </w:p>
  </w:footnote>
  <w:footnote w:id="43">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стр.90</w:t>
      </w:r>
    </w:p>
  </w:footnote>
  <w:footnote w:id="44">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стр.94</w:t>
      </w:r>
    </w:p>
  </w:footnote>
  <w:footnote w:id="45">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стр.95</w:t>
      </w:r>
    </w:p>
  </w:footnote>
  <w:footnote w:id="46">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стр.96</w:t>
      </w:r>
    </w:p>
  </w:footnote>
  <w:footnote w:id="47">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стр.97</w:t>
      </w:r>
    </w:p>
  </w:footnote>
  <w:footnote w:id="48">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стр.98</w:t>
      </w:r>
    </w:p>
  </w:footnote>
  <w:footnote w:id="49">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стр.101</w:t>
      </w:r>
    </w:p>
  </w:footnote>
  <w:footnote w:id="50">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стр.102</w:t>
      </w:r>
    </w:p>
  </w:footnote>
  <w:footnote w:id="51">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стр.103</w:t>
      </w:r>
    </w:p>
  </w:footnote>
  <w:footnote w:id="52">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стр.104</w:t>
      </w:r>
    </w:p>
  </w:footnote>
  <w:footnote w:id="53">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стр.274</w:t>
      </w:r>
    </w:p>
  </w:footnote>
  <w:footnote w:id="54">
    <w:p w:rsidR="00437E53" w:rsidRDefault="00B92C93" w:rsidP="00B50268">
      <w:pPr>
        <w:autoSpaceDE w:val="0"/>
        <w:autoSpaceDN w:val="0"/>
        <w:adjustRightInd w:val="0"/>
        <w:spacing w:after="0" w:line="240" w:lineRule="auto"/>
        <w:ind w:firstLine="426"/>
        <w:jc w:val="both"/>
      </w:pPr>
      <w:r>
        <w:rPr>
          <w:rStyle w:val="a5"/>
        </w:rPr>
        <w:footnoteRef/>
      </w:r>
      <w:r>
        <w:t xml:space="preserve"> </w:t>
      </w:r>
      <w:r>
        <w:rPr>
          <w:rFonts w:ascii="Times New Roman" w:hAnsi="Times New Roman" w:cs="Times New Roman"/>
          <w:sz w:val="20"/>
          <w:szCs w:val="20"/>
        </w:rPr>
        <w:t>Порядок разработки и реализации федеральных целевых программ регламентируется Постановлением Правительства Российской Федерации от 26 июня 1995 г. № 594.</w:t>
      </w:r>
    </w:p>
  </w:footnote>
  <w:footnote w:id="55">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стр.275</w:t>
      </w:r>
    </w:p>
  </w:footnote>
  <w:footnote w:id="56">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стр.276</w:t>
      </w:r>
    </w:p>
  </w:footnote>
  <w:footnote w:id="57">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стр.277</w:t>
      </w:r>
    </w:p>
  </w:footnote>
  <w:footnote w:id="58">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стр.278</w:t>
      </w:r>
    </w:p>
  </w:footnote>
  <w:footnote w:id="59">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стр.279</w:t>
      </w:r>
    </w:p>
  </w:footnote>
  <w:footnote w:id="60">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стр.280</w:t>
      </w:r>
    </w:p>
  </w:footnote>
  <w:footnote w:id="61">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стр.281</w:t>
      </w:r>
    </w:p>
  </w:footnote>
  <w:footnote w:id="62">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стр.282</w:t>
      </w:r>
    </w:p>
  </w:footnote>
  <w:footnote w:id="63">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стр.283</w:t>
      </w:r>
    </w:p>
  </w:footnote>
  <w:footnote w:id="64">
    <w:p w:rsidR="00437E53" w:rsidRDefault="00B92C93">
      <w:pPr>
        <w:pStyle w:val="a3"/>
      </w:pPr>
      <w:r>
        <w:rPr>
          <w:rStyle w:val="a5"/>
        </w:rPr>
        <w:footnoteRef/>
      </w:r>
      <w:r>
        <w:t xml:space="preserve"> </w:t>
      </w:r>
      <w:r w:rsidRPr="00C44733">
        <w:rPr>
          <w:rFonts w:ascii="Times New Roman" w:hAnsi="Times New Roman" w:cs="Times New Roman"/>
        </w:rPr>
        <w:t>Фетисов Г.Г., Орешин В.П.</w:t>
      </w:r>
      <w:r>
        <w:rPr>
          <w:rFonts w:ascii="Times New Roman" w:hAnsi="Times New Roman" w:cs="Times New Roman"/>
        </w:rPr>
        <w:t>, то же, стр.284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C93" w:rsidRDefault="009F700B">
    <w:pPr>
      <w:pStyle w:val="a8"/>
      <w:jc w:val="center"/>
    </w:pPr>
    <w:r>
      <w:rPr>
        <w:noProof/>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95D9D"/>
    <w:multiLevelType w:val="multilevel"/>
    <w:tmpl w:val="21F2869C"/>
    <w:lvl w:ilvl="0">
      <w:start w:val="1"/>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72766D58"/>
    <w:multiLevelType w:val="hybridMultilevel"/>
    <w:tmpl w:val="3F2AB6E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224"/>
    <w:rsid w:val="00001F70"/>
    <w:rsid w:val="000170BB"/>
    <w:rsid w:val="00030323"/>
    <w:rsid w:val="00032007"/>
    <w:rsid w:val="00034142"/>
    <w:rsid w:val="0004018F"/>
    <w:rsid w:val="000401C9"/>
    <w:rsid w:val="000403DB"/>
    <w:rsid w:val="00054E87"/>
    <w:rsid w:val="00056F2C"/>
    <w:rsid w:val="000658C1"/>
    <w:rsid w:val="00076744"/>
    <w:rsid w:val="0009665A"/>
    <w:rsid w:val="000A578E"/>
    <w:rsid w:val="000A5B59"/>
    <w:rsid w:val="000D5779"/>
    <w:rsid w:val="000E0BE7"/>
    <w:rsid w:val="00101037"/>
    <w:rsid w:val="001047E6"/>
    <w:rsid w:val="00110384"/>
    <w:rsid w:val="001115C8"/>
    <w:rsid w:val="00126BF2"/>
    <w:rsid w:val="00147311"/>
    <w:rsid w:val="0016232E"/>
    <w:rsid w:val="0017187A"/>
    <w:rsid w:val="001969A1"/>
    <w:rsid w:val="001B2A68"/>
    <w:rsid w:val="001C28C6"/>
    <w:rsid w:val="001C35C5"/>
    <w:rsid w:val="001C4637"/>
    <w:rsid w:val="001E7AFD"/>
    <w:rsid w:val="001F46EE"/>
    <w:rsid w:val="0022633F"/>
    <w:rsid w:val="00236D27"/>
    <w:rsid w:val="00247702"/>
    <w:rsid w:val="002532DB"/>
    <w:rsid w:val="002550C1"/>
    <w:rsid w:val="00257E5C"/>
    <w:rsid w:val="00262BAF"/>
    <w:rsid w:val="002C5224"/>
    <w:rsid w:val="002D2192"/>
    <w:rsid w:val="002E4199"/>
    <w:rsid w:val="002F04D2"/>
    <w:rsid w:val="00315499"/>
    <w:rsid w:val="0032351B"/>
    <w:rsid w:val="0032638D"/>
    <w:rsid w:val="0034776F"/>
    <w:rsid w:val="00352E6D"/>
    <w:rsid w:val="0037097E"/>
    <w:rsid w:val="00381DFF"/>
    <w:rsid w:val="003A45FC"/>
    <w:rsid w:val="003C1D58"/>
    <w:rsid w:val="00420533"/>
    <w:rsid w:val="00433685"/>
    <w:rsid w:val="00433A74"/>
    <w:rsid w:val="00437E53"/>
    <w:rsid w:val="00447579"/>
    <w:rsid w:val="00454732"/>
    <w:rsid w:val="00473123"/>
    <w:rsid w:val="00474364"/>
    <w:rsid w:val="0048275E"/>
    <w:rsid w:val="00483800"/>
    <w:rsid w:val="00485A17"/>
    <w:rsid w:val="004B3E6C"/>
    <w:rsid w:val="004B6062"/>
    <w:rsid w:val="004E488B"/>
    <w:rsid w:val="004F2FC0"/>
    <w:rsid w:val="0050376A"/>
    <w:rsid w:val="00542DCC"/>
    <w:rsid w:val="00572A63"/>
    <w:rsid w:val="00582913"/>
    <w:rsid w:val="00593EC1"/>
    <w:rsid w:val="005B248A"/>
    <w:rsid w:val="005B5FD4"/>
    <w:rsid w:val="005E09DC"/>
    <w:rsid w:val="005E22CE"/>
    <w:rsid w:val="005E2965"/>
    <w:rsid w:val="006024E2"/>
    <w:rsid w:val="00605A09"/>
    <w:rsid w:val="0060730F"/>
    <w:rsid w:val="006139D8"/>
    <w:rsid w:val="00614F05"/>
    <w:rsid w:val="00672EE1"/>
    <w:rsid w:val="006752F9"/>
    <w:rsid w:val="00684367"/>
    <w:rsid w:val="00693CB0"/>
    <w:rsid w:val="006A0758"/>
    <w:rsid w:val="006B42B4"/>
    <w:rsid w:val="006C39B7"/>
    <w:rsid w:val="006D6517"/>
    <w:rsid w:val="00723971"/>
    <w:rsid w:val="00726DCA"/>
    <w:rsid w:val="007365BC"/>
    <w:rsid w:val="00773D88"/>
    <w:rsid w:val="00781846"/>
    <w:rsid w:val="00783363"/>
    <w:rsid w:val="00794A84"/>
    <w:rsid w:val="007B5919"/>
    <w:rsid w:val="007C2A1C"/>
    <w:rsid w:val="007C2C1F"/>
    <w:rsid w:val="007E1602"/>
    <w:rsid w:val="007F2804"/>
    <w:rsid w:val="00806AFF"/>
    <w:rsid w:val="00813422"/>
    <w:rsid w:val="00815A87"/>
    <w:rsid w:val="0082743B"/>
    <w:rsid w:val="00833B15"/>
    <w:rsid w:val="008350C7"/>
    <w:rsid w:val="0085065B"/>
    <w:rsid w:val="00853528"/>
    <w:rsid w:val="008555A3"/>
    <w:rsid w:val="00864387"/>
    <w:rsid w:val="00886550"/>
    <w:rsid w:val="008A5A39"/>
    <w:rsid w:val="008C7819"/>
    <w:rsid w:val="008C78B9"/>
    <w:rsid w:val="00900C2E"/>
    <w:rsid w:val="00924E30"/>
    <w:rsid w:val="00941B47"/>
    <w:rsid w:val="00944863"/>
    <w:rsid w:val="00945ECC"/>
    <w:rsid w:val="00955B5D"/>
    <w:rsid w:val="00987F51"/>
    <w:rsid w:val="00991B24"/>
    <w:rsid w:val="009B7B56"/>
    <w:rsid w:val="009C2487"/>
    <w:rsid w:val="009F2593"/>
    <w:rsid w:val="009F3E0B"/>
    <w:rsid w:val="009F67CF"/>
    <w:rsid w:val="009F700B"/>
    <w:rsid w:val="00A06897"/>
    <w:rsid w:val="00A20D40"/>
    <w:rsid w:val="00A31786"/>
    <w:rsid w:val="00A460FB"/>
    <w:rsid w:val="00A4751D"/>
    <w:rsid w:val="00A61910"/>
    <w:rsid w:val="00A706D4"/>
    <w:rsid w:val="00AA5C83"/>
    <w:rsid w:val="00AD6428"/>
    <w:rsid w:val="00AE4FC1"/>
    <w:rsid w:val="00AF1C68"/>
    <w:rsid w:val="00AF7348"/>
    <w:rsid w:val="00B108F3"/>
    <w:rsid w:val="00B21D47"/>
    <w:rsid w:val="00B2260D"/>
    <w:rsid w:val="00B23E11"/>
    <w:rsid w:val="00B27398"/>
    <w:rsid w:val="00B32212"/>
    <w:rsid w:val="00B3648B"/>
    <w:rsid w:val="00B40631"/>
    <w:rsid w:val="00B45EB6"/>
    <w:rsid w:val="00B4703F"/>
    <w:rsid w:val="00B50268"/>
    <w:rsid w:val="00B62C7B"/>
    <w:rsid w:val="00B85D49"/>
    <w:rsid w:val="00B92C93"/>
    <w:rsid w:val="00B94EE8"/>
    <w:rsid w:val="00BA5685"/>
    <w:rsid w:val="00BC0490"/>
    <w:rsid w:val="00BD24EB"/>
    <w:rsid w:val="00BE7C71"/>
    <w:rsid w:val="00BF7E6F"/>
    <w:rsid w:val="00C15B19"/>
    <w:rsid w:val="00C167AA"/>
    <w:rsid w:val="00C3016A"/>
    <w:rsid w:val="00C40F31"/>
    <w:rsid w:val="00C44733"/>
    <w:rsid w:val="00C67F97"/>
    <w:rsid w:val="00C82B37"/>
    <w:rsid w:val="00C955E2"/>
    <w:rsid w:val="00CF12D4"/>
    <w:rsid w:val="00CF3836"/>
    <w:rsid w:val="00D1770A"/>
    <w:rsid w:val="00D2537E"/>
    <w:rsid w:val="00D37C23"/>
    <w:rsid w:val="00D42A9D"/>
    <w:rsid w:val="00D56C9A"/>
    <w:rsid w:val="00D57E7A"/>
    <w:rsid w:val="00D60384"/>
    <w:rsid w:val="00D8255B"/>
    <w:rsid w:val="00D9330D"/>
    <w:rsid w:val="00DA26F2"/>
    <w:rsid w:val="00DC5894"/>
    <w:rsid w:val="00DD0AD8"/>
    <w:rsid w:val="00DD32AA"/>
    <w:rsid w:val="00DE249D"/>
    <w:rsid w:val="00DE3667"/>
    <w:rsid w:val="00DE3F42"/>
    <w:rsid w:val="00E32DB6"/>
    <w:rsid w:val="00E44B08"/>
    <w:rsid w:val="00E464A3"/>
    <w:rsid w:val="00E46D0D"/>
    <w:rsid w:val="00E628AD"/>
    <w:rsid w:val="00E645B1"/>
    <w:rsid w:val="00E6752C"/>
    <w:rsid w:val="00E735D1"/>
    <w:rsid w:val="00E8257E"/>
    <w:rsid w:val="00E85E8A"/>
    <w:rsid w:val="00E86B85"/>
    <w:rsid w:val="00E901A5"/>
    <w:rsid w:val="00EB7728"/>
    <w:rsid w:val="00EB7D70"/>
    <w:rsid w:val="00EC1D5C"/>
    <w:rsid w:val="00EE5CE8"/>
    <w:rsid w:val="00EF5832"/>
    <w:rsid w:val="00F02382"/>
    <w:rsid w:val="00F15340"/>
    <w:rsid w:val="00F47A3B"/>
    <w:rsid w:val="00F55073"/>
    <w:rsid w:val="00F579E9"/>
    <w:rsid w:val="00F66EDA"/>
    <w:rsid w:val="00F76341"/>
    <w:rsid w:val="00F81CFE"/>
    <w:rsid w:val="00F90DDC"/>
    <w:rsid w:val="00F96D32"/>
    <w:rsid w:val="00F97F37"/>
    <w:rsid w:val="00FA5EA5"/>
    <w:rsid w:val="00FD7A88"/>
    <w:rsid w:val="00FE1541"/>
    <w:rsid w:val="00FF0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D1C4BB-6836-4D5E-BEA3-56C36F4E4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EDA"/>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64387"/>
    <w:pPr>
      <w:spacing w:after="0" w:line="240" w:lineRule="auto"/>
    </w:pPr>
    <w:rPr>
      <w:sz w:val="20"/>
      <w:szCs w:val="20"/>
    </w:rPr>
  </w:style>
  <w:style w:type="character" w:styleId="a5">
    <w:name w:val="footnote reference"/>
    <w:uiPriority w:val="99"/>
    <w:semiHidden/>
    <w:rsid w:val="00864387"/>
    <w:rPr>
      <w:vertAlign w:val="superscript"/>
    </w:rPr>
  </w:style>
  <w:style w:type="character" w:customStyle="1" w:styleId="a4">
    <w:name w:val="Текст виноски Знак"/>
    <w:link w:val="a3"/>
    <w:uiPriority w:val="99"/>
    <w:semiHidden/>
    <w:locked/>
    <w:rsid w:val="00864387"/>
    <w:rPr>
      <w:sz w:val="20"/>
      <w:szCs w:val="20"/>
    </w:rPr>
  </w:style>
  <w:style w:type="paragraph" w:customStyle="1" w:styleId="a6">
    <w:name w:val="карточка"/>
    <w:autoRedefine/>
    <w:uiPriority w:val="99"/>
    <w:rsid w:val="00B50268"/>
    <w:pPr>
      <w:ind w:firstLine="284"/>
      <w:jc w:val="both"/>
    </w:pPr>
    <w:rPr>
      <w:rFonts w:ascii="Arial" w:hAnsi="Arial" w:cs="Arial"/>
      <w:sz w:val="18"/>
      <w:szCs w:val="18"/>
    </w:rPr>
  </w:style>
  <w:style w:type="paragraph" w:styleId="a7">
    <w:name w:val="List Paragraph"/>
    <w:basedOn w:val="a"/>
    <w:uiPriority w:val="99"/>
    <w:qFormat/>
    <w:rsid w:val="00A31786"/>
    <w:pPr>
      <w:ind w:left="720"/>
    </w:pPr>
  </w:style>
  <w:style w:type="paragraph" w:styleId="a8">
    <w:name w:val="header"/>
    <w:basedOn w:val="a"/>
    <w:link w:val="a9"/>
    <w:uiPriority w:val="99"/>
    <w:rsid w:val="00B23E11"/>
    <w:pPr>
      <w:tabs>
        <w:tab w:val="center" w:pos="4677"/>
        <w:tab w:val="right" w:pos="9355"/>
      </w:tabs>
      <w:spacing w:after="0" w:line="240" w:lineRule="auto"/>
    </w:pPr>
  </w:style>
  <w:style w:type="paragraph" w:styleId="aa">
    <w:name w:val="footer"/>
    <w:basedOn w:val="a"/>
    <w:link w:val="ab"/>
    <w:uiPriority w:val="99"/>
    <w:semiHidden/>
    <w:rsid w:val="00B23E11"/>
    <w:pPr>
      <w:tabs>
        <w:tab w:val="center" w:pos="4677"/>
        <w:tab w:val="right" w:pos="9355"/>
      </w:tabs>
      <w:spacing w:after="0" w:line="240" w:lineRule="auto"/>
    </w:pPr>
  </w:style>
  <w:style w:type="character" w:customStyle="1" w:styleId="a9">
    <w:name w:val="Верхній колонтитул Знак"/>
    <w:link w:val="a8"/>
    <w:uiPriority w:val="99"/>
    <w:locked/>
    <w:rsid w:val="00B23E11"/>
  </w:style>
  <w:style w:type="table" w:styleId="ac">
    <w:name w:val="Table Grid"/>
    <w:basedOn w:val="a1"/>
    <w:uiPriority w:val="99"/>
    <w:rsid w:val="00381DF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b">
    <w:name w:val="Нижній колонтитул Знак"/>
    <w:link w:val="aa"/>
    <w:uiPriority w:val="99"/>
    <w:semiHidden/>
    <w:locked/>
    <w:rsid w:val="00B23E11"/>
  </w:style>
  <w:style w:type="character" w:styleId="ad">
    <w:name w:val="Hyperlink"/>
    <w:uiPriority w:val="99"/>
    <w:rsid w:val="00614F05"/>
    <w:rPr>
      <w:color w:val="0000FF"/>
      <w:u w:val="single"/>
    </w:rPr>
  </w:style>
  <w:style w:type="paragraph" w:styleId="ae">
    <w:name w:val="Normal (Web)"/>
    <w:basedOn w:val="a"/>
    <w:uiPriority w:val="99"/>
    <w:rsid w:val="00126BF2"/>
    <w:pPr>
      <w:spacing w:before="100" w:beforeAutospacing="1" w:after="100" w:afterAutospacing="1" w:line="240" w:lineRule="auto"/>
    </w:pPr>
    <w:rPr>
      <w:rFonts w:cs="Times New Roman"/>
      <w:sz w:val="24"/>
      <w:szCs w:val="24"/>
    </w:rPr>
  </w:style>
  <w:style w:type="character" w:customStyle="1" w:styleId="hl21">
    <w:name w:val="hl21"/>
    <w:uiPriority w:val="99"/>
    <w:rsid w:val="00DE249D"/>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350023">
      <w:marLeft w:val="0"/>
      <w:marRight w:val="0"/>
      <w:marTop w:val="0"/>
      <w:marBottom w:val="0"/>
      <w:divBdr>
        <w:top w:val="none" w:sz="0" w:space="0" w:color="auto"/>
        <w:left w:val="none" w:sz="0" w:space="0" w:color="auto"/>
        <w:bottom w:val="none" w:sz="0" w:space="0" w:color="auto"/>
        <w:right w:val="none" w:sz="0" w:space="0" w:color="auto"/>
      </w:divBdr>
    </w:div>
    <w:div w:id="1089350026">
      <w:marLeft w:val="0"/>
      <w:marRight w:val="0"/>
      <w:marTop w:val="0"/>
      <w:marBottom w:val="0"/>
      <w:divBdr>
        <w:top w:val="none" w:sz="0" w:space="0" w:color="auto"/>
        <w:left w:val="none" w:sz="0" w:space="0" w:color="auto"/>
        <w:bottom w:val="none" w:sz="0" w:space="0" w:color="auto"/>
        <w:right w:val="none" w:sz="0" w:space="0" w:color="auto"/>
      </w:divBdr>
      <w:divsChild>
        <w:div w:id="1089350027">
          <w:marLeft w:val="0"/>
          <w:marRight w:val="0"/>
          <w:marTop w:val="0"/>
          <w:marBottom w:val="0"/>
          <w:divBdr>
            <w:top w:val="none" w:sz="0" w:space="0" w:color="auto"/>
            <w:left w:val="none" w:sz="0" w:space="0" w:color="auto"/>
            <w:bottom w:val="none" w:sz="0" w:space="0" w:color="auto"/>
            <w:right w:val="none" w:sz="0" w:space="0" w:color="auto"/>
          </w:divBdr>
          <w:divsChild>
            <w:div w:id="1089350025">
              <w:marLeft w:val="0"/>
              <w:marRight w:val="0"/>
              <w:marTop w:val="0"/>
              <w:marBottom w:val="0"/>
              <w:divBdr>
                <w:top w:val="none" w:sz="0" w:space="0" w:color="auto"/>
                <w:left w:val="none" w:sz="0" w:space="0" w:color="auto"/>
                <w:bottom w:val="none" w:sz="0" w:space="0" w:color="auto"/>
                <w:right w:val="none" w:sz="0" w:space="0" w:color="auto"/>
              </w:divBdr>
              <w:divsChild>
                <w:div w:id="1089350022">
                  <w:marLeft w:val="0"/>
                  <w:marRight w:val="0"/>
                  <w:marTop w:val="0"/>
                  <w:marBottom w:val="0"/>
                  <w:divBdr>
                    <w:top w:val="none" w:sz="0" w:space="0" w:color="auto"/>
                    <w:left w:val="none" w:sz="0" w:space="0" w:color="auto"/>
                    <w:bottom w:val="none" w:sz="0" w:space="0" w:color="auto"/>
                    <w:right w:val="none" w:sz="0" w:space="0" w:color="auto"/>
                  </w:divBdr>
                  <w:divsChild>
                    <w:div w:id="1089350024">
                      <w:marLeft w:val="0"/>
                      <w:marRight w:val="0"/>
                      <w:marTop w:val="0"/>
                      <w:marBottom w:val="0"/>
                      <w:divBdr>
                        <w:top w:val="none" w:sz="0" w:space="0" w:color="auto"/>
                        <w:left w:val="none" w:sz="0" w:space="0" w:color="auto"/>
                        <w:bottom w:val="none" w:sz="0" w:space="0" w:color="auto"/>
                        <w:right w:val="none" w:sz="0" w:space="0" w:color="auto"/>
                      </w:divBdr>
                      <w:divsChild>
                        <w:div w:id="1089350029">
                          <w:marLeft w:val="-6574"/>
                          <w:marRight w:val="0"/>
                          <w:marTop w:val="0"/>
                          <w:marBottom w:val="0"/>
                          <w:divBdr>
                            <w:top w:val="none" w:sz="0" w:space="0" w:color="auto"/>
                            <w:left w:val="none" w:sz="0" w:space="0" w:color="auto"/>
                            <w:bottom w:val="none" w:sz="0" w:space="0" w:color="auto"/>
                            <w:right w:val="none" w:sz="0" w:space="0" w:color="auto"/>
                          </w:divBdr>
                          <w:divsChild>
                            <w:div w:id="1089350028">
                              <w:marLeft w:val="6574"/>
                              <w:marRight w:val="7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19032</Words>
  <Characters>108483</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127261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Irina</cp:lastModifiedBy>
  <cp:revision>2</cp:revision>
  <dcterms:created xsi:type="dcterms:W3CDTF">2014-08-10T20:02:00Z</dcterms:created>
  <dcterms:modified xsi:type="dcterms:W3CDTF">2014-08-10T20:02:00Z</dcterms:modified>
</cp:coreProperties>
</file>