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733" w:rsidRPr="007D28FB" w:rsidRDefault="00294733" w:rsidP="007D28FB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7D28FB">
        <w:rPr>
          <w:b/>
          <w:sz w:val="28"/>
          <w:szCs w:val="28"/>
        </w:rPr>
        <w:t>Задание</w:t>
      </w:r>
    </w:p>
    <w:p w:rsidR="00294733" w:rsidRPr="007D28FB" w:rsidRDefault="00294733" w:rsidP="007D28FB">
      <w:pPr>
        <w:spacing w:line="360" w:lineRule="auto"/>
        <w:ind w:firstLine="720"/>
        <w:rPr>
          <w:sz w:val="28"/>
          <w:szCs w:val="28"/>
        </w:rPr>
      </w:pPr>
    </w:p>
    <w:p w:rsidR="000450AD" w:rsidRPr="007D28FB" w:rsidRDefault="000450AD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По данным бухгалтерского баланса:</w:t>
      </w:r>
    </w:p>
    <w:p w:rsidR="004C0841" w:rsidRPr="007D28FB" w:rsidRDefault="000450AD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1. Рассчитать коэффициенты ликвидности на начало и конец года, сравнить их с нормативными, и сделать выводы о платежеспособности предприятия.</w:t>
      </w:r>
    </w:p>
    <w:p w:rsidR="000450AD" w:rsidRPr="007D28FB" w:rsidRDefault="000450AD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2. Рассчитать показатели финансовой устойчивости на начало и конец года и сделать выводы об их изменении.</w:t>
      </w:r>
    </w:p>
    <w:p w:rsidR="000450AD" w:rsidRPr="007D28FB" w:rsidRDefault="000450AD" w:rsidP="007D28FB">
      <w:pPr>
        <w:spacing w:line="360" w:lineRule="auto"/>
        <w:ind w:firstLine="720"/>
        <w:rPr>
          <w:sz w:val="28"/>
          <w:szCs w:val="28"/>
        </w:rPr>
      </w:pPr>
    </w:p>
    <w:p w:rsidR="000450AD" w:rsidRPr="007D28FB" w:rsidRDefault="000450AD" w:rsidP="007D28FB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7D28FB">
        <w:rPr>
          <w:b/>
          <w:sz w:val="28"/>
          <w:szCs w:val="28"/>
        </w:rPr>
        <w:t>Решение</w:t>
      </w:r>
    </w:p>
    <w:p w:rsidR="00CA222B" w:rsidRPr="007D28FB" w:rsidRDefault="00CA222B" w:rsidP="007D28FB">
      <w:pPr>
        <w:spacing w:line="360" w:lineRule="auto"/>
        <w:ind w:firstLine="720"/>
        <w:rPr>
          <w:sz w:val="28"/>
          <w:szCs w:val="28"/>
        </w:rPr>
      </w:pPr>
    </w:p>
    <w:p w:rsidR="009579E1" w:rsidRPr="007D28FB" w:rsidRDefault="00524CAB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1. </w:t>
      </w:r>
      <w:r w:rsidR="009579E1" w:rsidRPr="007D28FB">
        <w:rPr>
          <w:sz w:val="28"/>
          <w:szCs w:val="28"/>
        </w:rPr>
        <w:t xml:space="preserve">Для анализа </w:t>
      </w:r>
      <w:r w:rsidRPr="007D28FB">
        <w:rPr>
          <w:sz w:val="28"/>
          <w:szCs w:val="28"/>
        </w:rPr>
        <w:t xml:space="preserve">ликвидности и </w:t>
      </w:r>
      <w:r w:rsidR="009579E1" w:rsidRPr="007D28FB">
        <w:rPr>
          <w:sz w:val="28"/>
          <w:szCs w:val="28"/>
        </w:rPr>
        <w:t xml:space="preserve">платежеспособности </w:t>
      </w:r>
      <w:r w:rsidRPr="007D28FB">
        <w:rPr>
          <w:sz w:val="28"/>
          <w:szCs w:val="28"/>
        </w:rPr>
        <w:t>ЧУП «Квадратный метр плюс»</w:t>
      </w:r>
      <w:r w:rsidR="009579E1" w:rsidRPr="007D28FB">
        <w:rPr>
          <w:sz w:val="28"/>
          <w:szCs w:val="28"/>
        </w:rPr>
        <w:t xml:space="preserve"> по методике Минфина (данные Инструкции по анализу и контролю за финансовым состоянием и платежеспособностью субъектов предпринимательской деятельности) рассчитаем следующие коэффициенты (таблица </w:t>
      </w:r>
      <w:r w:rsidRPr="007D28FB">
        <w:rPr>
          <w:sz w:val="28"/>
          <w:szCs w:val="28"/>
        </w:rPr>
        <w:t>1</w:t>
      </w:r>
      <w:r w:rsidR="009579E1" w:rsidRPr="007D28FB">
        <w:rPr>
          <w:sz w:val="28"/>
          <w:szCs w:val="28"/>
        </w:rPr>
        <w:t>).</w:t>
      </w:r>
    </w:p>
    <w:p w:rsidR="009579E1" w:rsidRPr="007D28FB" w:rsidRDefault="009579E1" w:rsidP="007D28FB">
      <w:pPr>
        <w:spacing w:line="360" w:lineRule="auto"/>
        <w:ind w:firstLine="720"/>
        <w:rPr>
          <w:sz w:val="28"/>
          <w:szCs w:val="28"/>
        </w:rPr>
      </w:pPr>
    </w:p>
    <w:p w:rsidR="009579E1" w:rsidRPr="007D28FB" w:rsidRDefault="00524CAB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Таблица 1.</w:t>
      </w:r>
      <w:r w:rsidR="009579E1" w:rsidRPr="007D28FB">
        <w:rPr>
          <w:sz w:val="28"/>
          <w:szCs w:val="28"/>
        </w:rPr>
        <w:t xml:space="preserve"> Коэффициенты платежеспособности </w:t>
      </w:r>
      <w:r w:rsidRPr="007D28FB">
        <w:rPr>
          <w:sz w:val="28"/>
          <w:szCs w:val="28"/>
        </w:rPr>
        <w:t>ЧУП «Квадратный метр плюс»</w:t>
      </w:r>
    </w:p>
    <w:tbl>
      <w:tblPr>
        <w:tblW w:w="474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2"/>
        <w:gridCol w:w="1145"/>
        <w:gridCol w:w="1123"/>
        <w:gridCol w:w="1276"/>
        <w:gridCol w:w="1276"/>
      </w:tblGrid>
      <w:tr w:rsidR="007D28FB" w:rsidRPr="007D28FB" w:rsidTr="00566E55">
        <w:tc>
          <w:tcPr>
            <w:tcW w:w="2344" w:type="pct"/>
            <w:shd w:val="clear" w:color="auto" w:fill="auto"/>
          </w:tcPr>
          <w:p w:rsidR="009579E1" w:rsidRPr="007D28FB" w:rsidRDefault="009579E1" w:rsidP="00566E55">
            <w:pPr>
              <w:widowControl/>
              <w:spacing w:line="360" w:lineRule="auto"/>
              <w:ind w:firstLine="0"/>
            </w:pPr>
            <w:r w:rsidRPr="007D28FB">
              <w:t>Наименование показателя</w:t>
            </w:r>
          </w:p>
        </w:tc>
        <w:tc>
          <w:tcPr>
            <w:tcW w:w="631" w:type="pct"/>
            <w:shd w:val="clear" w:color="auto" w:fill="auto"/>
          </w:tcPr>
          <w:p w:rsidR="009579E1" w:rsidRPr="007D28FB" w:rsidRDefault="009579E1" w:rsidP="00566E55">
            <w:pPr>
              <w:widowControl/>
              <w:spacing w:line="360" w:lineRule="auto"/>
              <w:ind w:firstLine="0"/>
            </w:pPr>
            <w:r w:rsidRPr="007D28FB">
              <w:t xml:space="preserve">На </w:t>
            </w:r>
            <w:r w:rsidR="0077081D" w:rsidRPr="007D28FB">
              <w:t>начало года</w:t>
            </w:r>
          </w:p>
        </w:tc>
        <w:tc>
          <w:tcPr>
            <w:tcW w:w="619" w:type="pct"/>
            <w:shd w:val="clear" w:color="auto" w:fill="auto"/>
          </w:tcPr>
          <w:p w:rsidR="009579E1" w:rsidRPr="007D28FB" w:rsidRDefault="009579E1" w:rsidP="00566E55">
            <w:pPr>
              <w:widowControl/>
              <w:spacing w:line="360" w:lineRule="auto"/>
              <w:ind w:firstLine="0"/>
            </w:pPr>
            <w:r w:rsidRPr="007D28FB">
              <w:t xml:space="preserve">На </w:t>
            </w:r>
            <w:r w:rsidR="0077081D" w:rsidRPr="007D28FB">
              <w:t>конец года</w:t>
            </w:r>
          </w:p>
        </w:tc>
        <w:tc>
          <w:tcPr>
            <w:tcW w:w="703" w:type="pct"/>
            <w:shd w:val="clear" w:color="auto" w:fill="auto"/>
          </w:tcPr>
          <w:p w:rsidR="009579E1" w:rsidRPr="007D28FB" w:rsidRDefault="009579E1" w:rsidP="00566E55">
            <w:pPr>
              <w:widowControl/>
              <w:spacing w:line="360" w:lineRule="auto"/>
              <w:ind w:firstLine="0"/>
            </w:pPr>
            <w:r w:rsidRPr="007D28FB">
              <w:t>Отклонение (+/-)</w:t>
            </w:r>
          </w:p>
        </w:tc>
        <w:tc>
          <w:tcPr>
            <w:tcW w:w="703" w:type="pct"/>
            <w:shd w:val="clear" w:color="auto" w:fill="auto"/>
          </w:tcPr>
          <w:p w:rsidR="009579E1" w:rsidRPr="007D28FB" w:rsidRDefault="009579E1" w:rsidP="00566E55">
            <w:pPr>
              <w:widowControl/>
              <w:spacing w:line="360" w:lineRule="auto"/>
              <w:ind w:firstLine="0"/>
            </w:pPr>
            <w:r w:rsidRPr="007D28FB">
              <w:t>Норматив</w:t>
            </w:r>
          </w:p>
        </w:tc>
      </w:tr>
      <w:tr w:rsidR="007D28FB" w:rsidRPr="007D28FB" w:rsidTr="00566E55">
        <w:tc>
          <w:tcPr>
            <w:tcW w:w="2344" w:type="pct"/>
            <w:shd w:val="clear" w:color="auto" w:fill="auto"/>
          </w:tcPr>
          <w:p w:rsidR="009579E1" w:rsidRPr="007D28FB" w:rsidRDefault="009579E1" w:rsidP="00566E55">
            <w:pPr>
              <w:widowControl/>
              <w:spacing w:line="360" w:lineRule="auto"/>
              <w:ind w:firstLine="0"/>
            </w:pPr>
            <w:r w:rsidRPr="007D28FB">
              <w:t>Коэффициент текущей ликвидности</w:t>
            </w:r>
          </w:p>
          <w:p w:rsidR="009579E1" w:rsidRPr="007D28FB" w:rsidRDefault="009579E1" w:rsidP="00566E55">
            <w:pPr>
              <w:widowControl/>
              <w:spacing w:line="360" w:lineRule="auto"/>
              <w:ind w:firstLine="0"/>
            </w:pPr>
            <w:r w:rsidRPr="007D28FB">
              <w:t>К</w:t>
            </w:r>
            <w:r w:rsidRPr="00566E55">
              <w:rPr>
                <w:vertAlign w:val="subscript"/>
              </w:rPr>
              <w:t>1</w:t>
            </w:r>
            <w:r w:rsidRPr="007D28FB">
              <w:t xml:space="preserve"> = стр.290 / (стр.590 - стр.510 - стр.550)</w:t>
            </w:r>
          </w:p>
        </w:tc>
        <w:tc>
          <w:tcPr>
            <w:tcW w:w="631" w:type="pct"/>
            <w:shd w:val="clear" w:color="auto" w:fill="auto"/>
          </w:tcPr>
          <w:p w:rsidR="009579E1" w:rsidRPr="007D28FB" w:rsidRDefault="00F66C8F" w:rsidP="00566E55">
            <w:pPr>
              <w:widowControl/>
              <w:spacing w:line="360" w:lineRule="auto"/>
              <w:ind w:firstLine="0"/>
            </w:pPr>
            <w:r w:rsidRPr="007D28FB">
              <w:t>1,75</w:t>
            </w:r>
          </w:p>
        </w:tc>
        <w:tc>
          <w:tcPr>
            <w:tcW w:w="619" w:type="pct"/>
            <w:shd w:val="clear" w:color="auto" w:fill="auto"/>
          </w:tcPr>
          <w:p w:rsidR="009579E1" w:rsidRPr="007D28FB" w:rsidRDefault="00F66C8F" w:rsidP="00566E55">
            <w:pPr>
              <w:widowControl/>
              <w:spacing w:line="360" w:lineRule="auto"/>
              <w:ind w:firstLine="0"/>
            </w:pPr>
            <w:r w:rsidRPr="007D28FB">
              <w:t>0,563</w:t>
            </w:r>
          </w:p>
        </w:tc>
        <w:tc>
          <w:tcPr>
            <w:tcW w:w="703" w:type="pct"/>
            <w:shd w:val="clear" w:color="auto" w:fill="auto"/>
          </w:tcPr>
          <w:p w:rsidR="009579E1" w:rsidRPr="007D28FB" w:rsidRDefault="00F66C8F" w:rsidP="00566E55">
            <w:pPr>
              <w:widowControl/>
              <w:spacing w:line="360" w:lineRule="auto"/>
              <w:ind w:firstLine="0"/>
            </w:pPr>
            <w:r w:rsidRPr="007D28FB">
              <w:t>-1,187</w:t>
            </w:r>
          </w:p>
        </w:tc>
        <w:tc>
          <w:tcPr>
            <w:tcW w:w="703" w:type="pct"/>
            <w:shd w:val="clear" w:color="auto" w:fill="auto"/>
          </w:tcPr>
          <w:p w:rsidR="009579E1" w:rsidRPr="007D28FB" w:rsidRDefault="009579E1" w:rsidP="00566E55">
            <w:pPr>
              <w:widowControl/>
              <w:spacing w:line="360" w:lineRule="auto"/>
              <w:ind w:firstLine="0"/>
            </w:pPr>
            <w:r w:rsidRPr="007D28FB">
              <w:t>К</w:t>
            </w:r>
            <w:r w:rsidRPr="00566E55">
              <w:rPr>
                <w:vertAlign w:val="subscript"/>
              </w:rPr>
              <w:t>1</w:t>
            </w:r>
            <w:r w:rsidRPr="00566E55">
              <w:sym w:font="Symbol" w:char="F0B3"/>
            </w:r>
            <w:r w:rsidR="00304075" w:rsidRPr="007D28FB">
              <w:t>1,0</w:t>
            </w:r>
          </w:p>
        </w:tc>
      </w:tr>
      <w:tr w:rsidR="007D28FB" w:rsidRPr="007D28FB" w:rsidTr="00566E55">
        <w:tc>
          <w:tcPr>
            <w:tcW w:w="2344" w:type="pct"/>
            <w:shd w:val="clear" w:color="auto" w:fill="auto"/>
          </w:tcPr>
          <w:p w:rsidR="009579E1" w:rsidRPr="007D28FB" w:rsidRDefault="009579E1" w:rsidP="00566E55">
            <w:pPr>
              <w:widowControl/>
              <w:spacing w:line="360" w:lineRule="auto"/>
              <w:ind w:firstLine="0"/>
            </w:pPr>
            <w:r w:rsidRPr="007D28FB">
              <w:t>Коэффициент абсолютной ликвидности</w:t>
            </w:r>
          </w:p>
          <w:p w:rsidR="009579E1" w:rsidRPr="007D28FB" w:rsidRDefault="009579E1" w:rsidP="00566E55">
            <w:pPr>
              <w:widowControl/>
              <w:spacing w:line="360" w:lineRule="auto"/>
              <w:ind w:firstLine="0"/>
            </w:pPr>
            <w:r w:rsidRPr="007D28FB">
              <w:t>К</w:t>
            </w:r>
            <w:r w:rsidRPr="00566E55">
              <w:rPr>
                <w:vertAlign w:val="subscript"/>
              </w:rPr>
              <w:t>абс</w:t>
            </w:r>
            <w:r w:rsidRPr="007D28FB">
              <w:t xml:space="preserve"> = (стр.250 + стр.260) / (стр.590 - </w:t>
            </w:r>
            <w:r w:rsidRPr="007D28FB">
              <w:br/>
              <w:t>- стр.510 - стр.550)</w:t>
            </w:r>
          </w:p>
        </w:tc>
        <w:tc>
          <w:tcPr>
            <w:tcW w:w="631" w:type="pct"/>
            <w:shd w:val="clear" w:color="auto" w:fill="auto"/>
          </w:tcPr>
          <w:p w:rsidR="009579E1" w:rsidRPr="007D28FB" w:rsidRDefault="00DD63A1" w:rsidP="00566E55">
            <w:pPr>
              <w:widowControl/>
              <w:spacing w:line="360" w:lineRule="auto"/>
              <w:ind w:firstLine="0"/>
            </w:pPr>
            <w:r w:rsidRPr="007D28FB">
              <w:t>0</w:t>
            </w:r>
          </w:p>
        </w:tc>
        <w:tc>
          <w:tcPr>
            <w:tcW w:w="619" w:type="pct"/>
            <w:shd w:val="clear" w:color="auto" w:fill="auto"/>
          </w:tcPr>
          <w:p w:rsidR="009579E1" w:rsidRPr="007D28FB" w:rsidRDefault="00DD63A1" w:rsidP="00566E55">
            <w:pPr>
              <w:widowControl/>
              <w:spacing w:line="360" w:lineRule="auto"/>
              <w:ind w:firstLine="0"/>
            </w:pPr>
            <w:r w:rsidRPr="007D28FB">
              <w:t>0</w:t>
            </w:r>
          </w:p>
        </w:tc>
        <w:tc>
          <w:tcPr>
            <w:tcW w:w="703" w:type="pct"/>
            <w:shd w:val="clear" w:color="auto" w:fill="auto"/>
          </w:tcPr>
          <w:p w:rsidR="009579E1" w:rsidRPr="007D28FB" w:rsidRDefault="00DD63A1" w:rsidP="00566E55">
            <w:pPr>
              <w:widowControl/>
              <w:spacing w:line="360" w:lineRule="auto"/>
              <w:ind w:firstLine="0"/>
            </w:pPr>
            <w:r w:rsidRPr="007D28FB">
              <w:t>-</w:t>
            </w:r>
          </w:p>
        </w:tc>
        <w:tc>
          <w:tcPr>
            <w:tcW w:w="703" w:type="pct"/>
            <w:shd w:val="clear" w:color="auto" w:fill="auto"/>
          </w:tcPr>
          <w:p w:rsidR="009579E1" w:rsidRPr="007D28FB" w:rsidRDefault="009579E1" w:rsidP="00566E55">
            <w:pPr>
              <w:widowControl/>
              <w:spacing w:line="360" w:lineRule="auto"/>
              <w:ind w:firstLine="0"/>
            </w:pPr>
            <w:r w:rsidRPr="007D28FB">
              <w:t>К</w:t>
            </w:r>
            <w:r w:rsidRPr="00566E55">
              <w:rPr>
                <w:vertAlign w:val="subscript"/>
              </w:rPr>
              <w:t>абс</w:t>
            </w:r>
            <w:r w:rsidRPr="00566E55">
              <w:sym w:font="Symbol" w:char="F0B3"/>
            </w:r>
            <w:r w:rsidR="00304075" w:rsidRPr="007D28FB">
              <w:t>0,</w:t>
            </w:r>
            <w:r w:rsidR="00667C61" w:rsidRPr="007D28FB">
              <w:t>2</w:t>
            </w:r>
          </w:p>
        </w:tc>
      </w:tr>
      <w:tr w:rsidR="007D28FB" w:rsidRPr="007D28FB" w:rsidTr="00566E55">
        <w:tc>
          <w:tcPr>
            <w:tcW w:w="2344" w:type="pct"/>
            <w:shd w:val="clear" w:color="auto" w:fill="auto"/>
          </w:tcPr>
          <w:p w:rsidR="009579E1" w:rsidRPr="007D28FB" w:rsidRDefault="009579E1" w:rsidP="00566E55">
            <w:pPr>
              <w:widowControl/>
              <w:spacing w:line="360" w:lineRule="auto"/>
              <w:ind w:firstLine="0"/>
            </w:pPr>
            <w:r w:rsidRPr="007D28FB">
              <w:t>Коэффициент обеспеченности собственными оборотными средствами</w:t>
            </w:r>
            <w:r w:rsidRPr="007D28FB">
              <w:br/>
              <w:t>К</w:t>
            </w:r>
            <w:r w:rsidRPr="00566E55">
              <w:rPr>
                <w:vertAlign w:val="subscript"/>
              </w:rPr>
              <w:t>2</w:t>
            </w:r>
            <w:r w:rsidRPr="007D28FB">
              <w:t xml:space="preserve"> = (стр.490 + стр.550 - стр.190) / стр.290</w:t>
            </w:r>
          </w:p>
        </w:tc>
        <w:tc>
          <w:tcPr>
            <w:tcW w:w="631" w:type="pct"/>
            <w:shd w:val="clear" w:color="auto" w:fill="auto"/>
          </w:tcPr>
          <w:p w:rsidR="009579E1" w:rsidRPr="007D28FB" w:rsidRDefault="00274B48" w:rsidP="00566E55">
            <w:pPr>
              <w:widowControl/>
              <w:spacing w:line="360" w:lineRule="auto"/>
              <w:ind w:firstLine="0"/>
            </w:pPr>
            <w:r w:rsidRPr="007D28FB">
              <w:t>-1,071</w:t>
            </w:r>
          </w:p>
        </w:tc>
        <w:tc>
          <w:tcPr>
            <w:tcW w:w="619" w:type="pct"/>
            <w:shd w:val="clear" w:color="auto" w:fill="auto"/>
          </w:tcPr>
          <w:p w:rsidR="009579E1" w:rsidRPr="007D28FB" w:rsidRDefault="00274B48" w:rsidP="00566E55">
            <w:pPr>
              <w:widowControl/>
              <w:spacing w:line="360" w:lineRule="auto"/>
              <w:ind w:firstLine="0"/>
            </w:pPr>
            <w:r w:rsidRPr="007D28FB">
              <w:t>-1,111</w:t>
            </w:r>
          </w:p>
        </w:tc>
        <w:tc>
          <w:tcPr>
            <w:tcW w:w="703" w:type="pct"/>
            <w:shd w:val="clear" w:color="auto" w:fill="auto"/>
          </w:tcPr>
          <w:p w:rsidR="009579E1" w:rsidRPr="007D28FB" w:rsidRDefault="00274B48" w:rsidP="00566E55">
            <w:pPr>
              <w:widowControl/>
              <w:spacing w:line="360" w:lineRule="auto"/>
              <w:ind w:firstLine="0"/>
            </w:pPr>
            <w:r w:rsidRPr="007D28FB">
              <w:t>-0,04</w:t>
            </w:r>
          </w:p>
        </w:tc>
        <w:tc>
          <w:tcPr>
            <w:tcW w:w="703" w:type="pct"/>
            <w:shd w:val="clear" w:color="auto" w:fill="auto"/>
          </w:tcPr>
          <w:p w:rsidR="009579E1" w:rsidRPr="007D28FB" w:rsidRDefault="009579E1" w:rsidP="00566E55">
            <w:pPr>
              <w:widowControl/>
              <w:spacing w:line="360" w:lineRule="auto"/>
              <w:ind w:firstLine="0"/>
            </w:pPr>
            <w:r w:rsidRPr="007D28FB">
              <w:t>К</w:t>
            </w:r>
            <w:r w:rsidRPr="00566E55">
              <w:rPr>
                <w:vertAlign w:val="subscript"/>
              </w:rPr>
              <w:t>2</w:t>
            </w:r>
            <w:r w:rsidRPr="00566E55">
              <w:sym w:font="Symbol" w:char="F0B3"/>
            </w:r>
            <w:r w:rsidR="00667C61" w:rsidRPr="007D28FB">
              <w:t>0,1</w:t>
            </w:r>
          </w:p>
        </w:tc>
      </w:tr>
    </w:tbl>
    <w:p w:rsidR="009579E1" w:rsidRPr="007D28FB" w:rsidRDefault="009579E1" w:rsidP="007D28FB">
      <w:pPr>
        <w:spacing w:line="360" w:lineRule="auto"/>
        <w:ind w:firstLine="720"/>
        <w:rPr>
          <w:sz w:val="28"/>
          <w:szCs w:val="28"/>
        </w:rPr>
      </w:pPr>
    </w:p>
    <w:p w:rsidR="009579E1" w:rsidRPr="007D28FB" w:rsidRDefault="009579E1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 xml:space="preserve">Соотношение фактических и нормативных значений рассчитанных коэффициентов приведено на рисунках </w:t>
      </w:r>
      <w:r w:rsidR="00212EDA" w:rsidRPr="007D28FB">
        <w:rPr>
          <w:sz w:val="28"/>
          <w:szCs w:val="28"/>
        </w:rPr>
        <w:t>1</w:t>
      </w:r>
      <w:r w:rsidRPr="007D28FB">
        <w:rPr>
          <w:sz w:val="28"/>
          <w:szCs w:val="28"/>
        </w:rPr>
        <w:t xml:space="preserve"> - </w:t>
      </w:r>
      <w:r w:rsidR="00212EDA" w:rsidRPr="007D28FB">
        <w:rPr>
          <w:sz w:val="28"/>
          <w:szCs w:val="28"/>
        </w:rPr>
        <w:t>3</w:t>
      </w:r>
      <w:r w:rsidRPr="007D28FB">
        <w:rPr>
          <w:sz w:val="28"/>
          <w:szCs w:val="28"/>
        </w:rPr>
        <w:t>.</w:t>
      </w:r>
    </w:p>
    <w:p w:rsidR="009579E1" w:rsidRPr="007D28FB" w:rsidRDefault="009579E1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Коэффициент текущей ликвидности:</w:t>
      </w:r>
    </w:p>
    <w:p w:rsidR="009579E1" w:rsidRPr="007D28FB" w:rsidRDefault="009579E1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На</w:t>
      </w:r>
      <w:r w:rsidR="00594399" w:rsidRPr="007D28FB">
        <w:rPr>
          <w:sz w:val="28"/>
          <w:szCs w:val="28"/>
        </w:rPr>
        <w:t xml:space="preserve"> начало года</w:t>
      </w:r>
      <w:r w:rsidRPr="007D28FB">
        <w:rPr>
          <w:sz w:val="28"/>
          <w:szCs w:val="28"/>
        </w:rPr>
        <w:t>:</w:t>
      </w:r>
    </w:p>
    <w:p w:rsidR="009579E1" w:rsidRPr="007D28FB" w:rsidRDefault="003E1443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14 / (29 - 21) = 1,75</w:t>
      </w:r>
    </w:p>
    <w:p w:rsidR="009579E1" w:rsidRPr="007D28FB" w:rsidRDefault="009579E1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 xml:space="preserve">На </w:t>
      </w:r>
      <w:r w:rsidR="00594399" w:rsidRPr="007D28FB">
        <w:rPr>
          <w:sz w:val="28"/>
          <w:szCs w:val="28"/>
        </w:rPr>
        <w:t>конец года</w:t>
      </w:r>
      <w:r w:rsidRPr="007D28FB">
        <w:rPr>
          <w:sz w:val="28"/>
          <w:szCs w:val="28"/>
        </w:rPr>
        <w:t>:</w:t>
      </w:r>
    </w:p>
    <w:p w:rsidR="009579E1" w:rsidRDefault="003E1443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18 / (38 - 6) = 0,563</w:t>
      </w:r>
    </w:p>
    <w:p w:rsidR="007D28FB" w:rsidRPr="007D28FB" w:rsidRDefault="007D28FB" w:rsidP="007D28FB">
      <w:pPr>
        <w:spacing w:line="360" w:lineRule="auto"/>
        <w:ind w:firstLine="720"/>
        <w:rPr>
          <w:sz w:val="28"/>
          <w:szCs w:val="28"/>
        </w:rPr>
      </w:pPr>
    </w:p>
    <w:p w:rsidR="009579E1" w:rsidRPr="007D28FB" w:rsidRDefault="007511C9" w:rsidP="007D28FB">
      <w:pPr>
        <w:pStyle w:val="31"/>
        <w:widowControl w:val="0"/>
        <w:spacing w:after="0"/>
        <w:ind w:left="0" w:firstLine="720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pt;height:174.75pt">
            <v:imagedata r:id="rId7" o:title=""/>
          </v:shape>
        </w:pict>
      </w:r>
    </w:p>
    <w:p w:rsidR="009579E1" w:rsidRPr="007D28FB" w:rsidRDefault="009579E1" w:rsidP="007D28FB">
      <w:pPr>
        <w:pStyle w:val="31"/>
        <w:widowControl w:val="0"/>
        <w:spacing w:after="0"/>
        <w:ind w:left="0" w:firstLine="720"/>
        <w:rPr>
          <w:sz w:val="28"/>
          <w:szCs w:val="28"/>
        </w:rPr>
      </w:pPr>
      <w:r w:rsidRPr="007D28FB">
        <w:rPr>
          <w:sz w:val="28"/>
          <w:szCs w:val="28"/>
        </w:rPr>
        <w:t xml:space="preserve">Рисунок </w:t>
      </w:r>
      <w:r w:rsidR="00594399" w:rsidRPr="007D28FB">
        <w:rPr>
          <w:sz w:val="28"/>
          <w:szCs w:val="28"/>
        </w:rPr>
        <w:t>1</w:t>
      </w:r>
      <w:r w:rsidRPr="007D28FB">
        <w:rPr>
          <w:sz w:val="28"/>
          <w:szCs w:val="28"/>
        </w:rPr>
        <w:t>. Коэффициент текущей ликвидности, К</w:t>
      </w:r>
      <w:r w:rsidRPr="007D28FB">
        <w:rPr>
          <w:sz w:val="28"/>
          <w:szCs w:val="28"/>
          <w:vertAlign w:val="subscript"/>
        </w:rPr>
        <w:t>1</w:t>
      </w:r>
    </w:p>
    <w:p w:rsidR="009579E1" w:rsidRPr="007D28FB" w:rsidRDefault="009579E1" w:rsidP="007D28FB">
      <w:pPr>
        <w:spacing w:line="360" w:lineRule="auto"/>
        <w:ind w:firstLine="720"/>
        <w:rPr>
          <w:sz w:val="28"/>
          <w:szCs w:val="28"/>
        </w:rPr>
      </w:pPr>
    </w:p>
    <w:p w:rsidR="00F37840" w:rsidRPr="007D28FB" w:rsidRDefault="00F37840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 xml:space="preserve">На начало года </w:t>
      </w:r>
      <w:r w:rsidR="00D93CBD" w:rsidRPr="007D28FB">
        <w:rPr>
          <w:sz w:val="28"/>
          <w:szCs w:val="28"/>
        </w:rPr>
        <w:t>значение коэффициента текущей ликвидности выше нормативного, а</w:t>
      </w:r>
      <w:r w:rsidRPr="007D28FB">
        <w:rPr>
          <w:sz w:val="28"/>
          <w:szCs w:val="28"/>
        </w:rPr>
        <w:t xml:space="preserve"> на конец года </w:t>
      </w:r>
      <w:r w:rsidR="00D93CBD" w:rsidRPr="007D28FB">
        <w:rPr>
          <w:sz w:val="28"/>
          <w:szCs w:val="28"/>
        </w:rPr>
        <w:t>- ниже</w:t>
      </w:r>
      <w:r w:rsidRPr="007D28FB">
        <w:rPr>
          <w:sz w:val="28"/>
          <w:szCs w:val="28"/>
        </w:rPr>
        <w:t xml:space="preserve"> нормативного. Нижняя граница рекомендуемого значения обусловлена тем, что у предприятия должно быть по меньшей мере достаточно оборотных средств для погашения краткосрочных обязательств, иначе предприятие окажется под угрозой банкротства. Приведенные выше расчеты свидетельствуют о том, что </w:t>
      </w:r>
      <w:r w:rsidR="00D93CBD" w:rsidRPr="007D28FB">
        <w:rPr>
          <w:sz w:val="28"/>
          <w:szCs w:val="28"/>
        </w:rPr>
        <w:t xml:space="preserve">на конец года </w:t>
      </w:r>
      <w:r w:rsidRPr="007D28FB">
        <w:rPr>
          <w:sz w:val="28"/>
          <w:szCs w:val="28"/>
        </w:rPr>
        <w:t xml:space="preserve">ЧУП «Квадратный метр плюс» </w:t>
      </w:r>
      <w:r w:rsidR="00D93CBD" w:rsidRPr="007D28FB">
        <w:rPr>
          <w:sz w:val="28"/>
          <w:szCs w:val="28"/>
        </w:rPr>
        <w:t xml:space="preserve">не </w:t>
      </w:r>
      <w:r w:rsidRPr="007D28FB">
        <w:rPr>
          <w:sz w:val="28"/>
          <w:szCs w:val="28"/>
        </w:rPr>
        <w:t>обеспечено собственными оборотными средствами для ведения хозяйственной деятельности и своевременного погашения срочных обязательств.</w:t>
      </w:r>
    </w:p>
    <w:p w:rsidR="009579E1" w:rsidRPr="007D28FB" w:rsidRDefault="009579E1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Коэффициент абсолютной ликвидности:</w:t>
      </w:r>
    </w:p>
    <w:p w:rsidR="00E565BF" w:rsidRPr="007D28FB" w:rsidRDefault="00E565BF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На начало года:</w:t>
      </w:r>
    </w:p>
    <w:p w:rsidR="00E565BF" w:rsidRPr="007D28FB" w:rsidRDefault="00E565BF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0 / (29 - 21</w:t>
      </w:r>
      <w:r w:rsidR="00DD63A1" w:rsidRPr="007D28FB">
        <w:rPr>
          <w:sz w:val="28"/>
          <w:szCs w:val="28"/>
        </w:rPr>
        <w:t>) = 0</w:t>
      </w:r>
    </w:p>
    <w:p w:rsidR="00E565BF" w:rsidRPr="007D28FB" w:rsidRDefault="00E565BF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На конец года:</w:t>
      </w:r>
    </w:p>
    <w:p w:rsidR="009579E1" w:rsidRPr="007D28FB" w:rsidRDefault="00E565BF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 xml:space="preserve">0 / (38 - 6) = </w:t>
      </w:r>
      <w:r w:rsidR="00DD63A1" w:rsidRPr="007D28FB">
        <w:rPr>
          <w:sz w:val="28"/>
          <w:szCs w:val="28"/>
        </w:rPr>
        <w:t>0</w:t>
      </w:r>
    </w:p>
    <w:p w:rsidR="00A908BF" w:rsidRDefault="00A908BF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Значения коэффициента абсолютной ликвидности на начало и конец отчетного периодов ниже норматива (у ЧУП «Квадратный метр плюс» денежные средства и финансовые вложения на начало и конец периода равны нулю). Коэффициент абсолютной ликвидности - это норма денежных резервов. Приведенные выше расчеты свидетельствуют о том, что на конец года у ЧУП «Квадратный метр плюс» нет гарантии погашения долгов.</w:t>
      </w:r>
    </w:p>
    <w:p w:rsidR="007D28FB" w:rsidRPr="007D28FB" w:rsidRDefault="007D28FB" w:rsidP="007D28FB">
      <w:pPr>
        <w:spacing w:line="360" w:lineRule="auto"/>
        <w:ind w:firstLine="720"/>
        <w:rPr>
          <w:sz w:val="28"/>
          <w:szCs w:val="28"/>
        </w:rPr>
      </w:pPr>
    </w:p>
    <w:p w:rsidR="009579E1" w:rsidRPr="007D28FB" w:rsidRDefault="007511C9" w:rsidP="007D28FB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88.75pt;height:186.75pt">
            <v:imagedata r:id="rId8" o:title=""/>
          </v:shape>
        </w:pict>
      </w:r>
    </w:p>
    <w:p w:rsidR="009579E1" w:rsidRPr="007D28FB" w:rsidRDefault="00594399" w:rsidP="007D28FB">
      <w:pPr>
        <w:pStyle w:val="31"/>
        <w:widowControl w:val="0"/>
        <w:spacing w:after="0"/>
        <w:ind w:left="0" w:firstLine="720"/>
        <w:rPr>
          <w:sz w:val="28"/>
          <w:szCs w:val="28"/>
        </w:rPr>
      </w:pPr>
      <w:r w:rsidRPr="007D28FB">
        <w:rPr>
          <w:sz w:val="28"/>
          <w:szCs w:val="28"/>
        </w:rPr>
        <w:t>Рисунок 2</w:t>
      </w:r>
      <w:r w:rsidR="009579E1" w:rsidRPr="007D28FB">
        <w:rPr>
          <w:sz w:val="28"/>
          <w:szCs w:val="28"/>
        </w:rPr>
        <w:t>. Коэффициент абсолютной ликвидности, К</w:t>
      </w:r>
      <w:r w:rsidR="009579E1" w:rsidRPr="007D28FB">
        <w:rPr>
          <w:sz w:val="28"/>
          <w:szCs w:val="28"/>
          <w:vertAlign w:val="subscript"/>
        </w:rPr>
        <w:t>абс.</w:t>
      </w:r>
    </w:p>
    <w:p w:rsidR="009579E1" w:rsidRPr="007D28FB" w:rsidRDefault="009579E1" w:rsidP="007D28FB">
      <w:pPr>
        <w:spacing w:line="360" w:lineRule="auto"/>
        <w:ind w:firstLine="720"/>
        <w:rPr>
          <w:sz w:val="28"/>
          <w:szCs w:val="28"/>
        </w:rPr>
      </w:pPr>
    </w:p>
    <w:p w:rsidR="009579E1" w:rsidRPr="007D28FB" w:rsidRDefault="009579E1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Коэффициент обеспеченности собственными оборотными средствами:</w:t>
      </w:r>
    </w:p>
    <w:p w:rsidR="00594399" w:rsidRPr="007D28FB" w:rsidRDefault="00594399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На начало года:</w:t>
      </w:r>
    </w:p>
    <w:p w:rsidR="009579E1" w:rsidRPr="007D28FB" w:rsidRDefault="00274B48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(-9 - 6) / 14 = -1,071</w:t>
      </w:r>
    </w:p>
    <w:p w:rsidR="00594399" w:rsidRPr="007D28FB" w:rsidRDefault="00594399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На конец года:</w:t>
      </w:r>
    </w:p>
    <w:p w:rsidR="009579E1" w:rsidRDefault="00274B48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(-15 - 5) / 18 = -1,111</w:t>
      </w:r>
    </w:p>
    <w:p w:rsidR="007D28FB" w:rsidRPr="007D28FB" w:rsidRDefault="007D28FB" w:rsidP="007D28FB">
      <w:pPr>
        <w:spacing w:line="360" w:lineRule="auto"/>
        <w:ind w:firstLine="720"/>
        <w:rPr>
          <w:sz w:val="28"/>
          <w:szCs w:val="28"/>
        </w:rPr>
      </w:pPr>
    </w:p>
    <w:p w:rsidR="007D28FB" w:rsidRDefault="007511C9" w:rsidP="007D28FB">
      <w:pPr>
        <w:pStyle w:val="31"/>
        <w:widowControl w:val="0"/>
        <w:spacing w:after="0"/>
        <w:ind w:left="0" w:firstLine="720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96.5pt;height:126pt">
            <v:imagedata r:id="rId9" o:title=""/>
          </v:shape>
        </w:pict>
      </w:r>
    </w:p>
    <w:p w:rsidR="009579E1" w:rsidRDefault="009579E1" w:rsidP="007D28FB">
      <w:pPr>
        <w:pStyle w:val="31"/>
        <w:widowControl w:val="0"/>
        <w:spacing w:after="0"/>
        <w:ind w:left="0" w:firstLine="720"/>
        <w:rPr>
          <w:sz w:val="28"/>
          <w:szCs w:val="28"/>
          <w:vertAlign w:val="subscript"/>
        </w:rPr>
      </w:pPr>
      <w:r w:rsidRPr="007D28FB">
        <w:rPr>
          <w:sz w:val="28"/>
          <w:szCs w:val="28"/>
        </w:rPr>
        <w:t>Рисуно</w:t>
      </w:r>
      <w:r w:rsidR="00594399" w:rsidRPr="007D28FB">
        <w:rPr>
          <w:sz w:val="28"/>
          <w:szCs w:val="28"/>
        </w:rPr>
        <w:t>к 3</w:t>
      </w:r>
      <w:r w:rsidRPr="007D28FB">
        <w:rPr>
          <w:sz w:val="28"/>
          <w:szCs w:val="28"/>
        </w:rPr>
        <w:t>. Коэффициент обеспеченности финансовых обязательств активами, К</w:t>
      </w:r>
      <w:r w:rsidRPr="007D28FB">
        <w:rPr>
          <w:sz w:val="28"/>
          <w:szCs w:val="28"/>
          <w:vertAlign w:val="subscript"/>
        </w:rPr>
        <w:t>3</w:t>
      </w:r>
    </w:p>
    <w:p w:rsidR="009579E1" w:rsidRPr="007D28FB" w:rsidRDefault="007D28FB" w:rsidP="007D28FB">
      <w:pPr>
        <w:pStyle w:val="31"/>
        <w:widowControl w:val="0"/>
        <w:spacing w:after="0"/>
        <w:ind w:left="0" w:firstLine="720"/>
        <w:rPr>
          <w:sz w:val="28"/>
          <w:szCs w:val="28"/>
        </w:rPr>
      </w:pPr>
      <w:r>
        <w:rPr>
          <w:sz w:val="28"/>
          <w:szCs w:val="28"/>
          <w:vertAlign w:val="subscript"/>
        </w:rPr>
        <w:br w:type="page"/>
      </w:r>
      <w:r w:rsidR="009579E1" w:rsidRPr="007D28FB">
        <w:rPr>
          <w:sz w:val="28"/>
          <w:szCs w:val="28"/>
        </w:rPr>
        <w:t xml:space="preserve">Коэффициент обеспеченности собственными оборотными средствами на </w:t>
      </w:r>
      <w:r w:rsidR="0079347F" w:rsidRPr="007D28FB">
        <w:rPr>
          <w:sz w:val="28"/>
          <w:szCs w:val="28"/>
        </w:rPr>
        <w:t>начало года</w:t>
      </w:r>
      <w:r w:rsidR="009579E1" w:rsidRPr="007D28FB">
        <w:rPr>
          <w:sz w:val="28"/>
          <w:szCs w:val="28"/>
        </w:rPr>
        <w:t xml:space="preserve"> и на </w:t>
      </w:r>
      <w:r w:rsidR="0079347F" w:rsidRPr="007D28FB">
        <w:rPr>
          <w:sz w:val="28"/>
          <w:szCs w:val="28"/>
        </w:rPr>
        <w:t>конец года</w:t>
      </w:r>
      <w:r w:rsidR="009579E1" w:rsidRPr="007D28FB">
        <w:rPr>
          <w:sz w:val="28"/>
          <w:szCs w:val="28"/>
        </w:rPr>
        <w:t xml:space="preserve"> не соответствует нормативу, это свидетельствует о том, что у </w:t>
      </w:r>
      <w:r w:rsidR="00524CAB" w:rsidRPr="007D28FB">
        <w:rPr>
          <w:sz w:val="28"/>
          <w:szCs w:val="28"/>
        </w:rPr>
        <w:t>ЧУП «Квадратный метр плюс»</w:t>
      </w:r>
      <w:r w:rsidR="009579E1" w:rsidRPr="007D28FB">
        <w:rPr>
          <w:sz w:val="28"/>
          <w:szCs w:val="28"/>
        </w:rPr>
        <w:t xml:space="preserve"> не достаточно собственных оборотных средств для ведения хозяйственной деятельности и обеспечения финансовой устойчивости.</w:t>
      </w:r>
    </w:p>
    <w:p w:rsidR="009579E1" w:rsidRPr="007D28FB" w:rsidRDefault="009579E1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 xml:space="preserve">Таким образом, на </w:t>
      </w:r>
      <w:r w:rsidR="0079347F" w:rsidRPr="007D28FB">
        <w:rPr>
          <w:sz w:val="28"/>
          <w:szCs w:val="28"/>
        </w:rPr>
        <w:t>конец года</w:t>
      </w:r>
      <w:r w:rsidRPr="007D28FB">
        <w:rPr>
          <w:sz w:val="28"/>
          <w:szCs w:val="28"/>
        </w:rPr>
        <w:t xml:space="preserve"> можно сделать вывод, что предприятие является неплатежеспособным и имеет неудовлетворительную структуру баланса. </w:t>
      </w:r>
      <w:r w:rsidR="00274B48" w:rsidRPr="007D28FB">
        <w:rPr>
          <w:sz w:val="28"/>
          <w:szCs w:val="28"/>
        </w:rPr>
        <w:t xml:space="preserve">Отрицательным </w:t>
      </w:r>
      <w:r w:rsidRPr="007D28FB">
        <w:rPr>
          <w:sz w:val="28"/>
          <w:szCs w:val="28"/>
        </w:rPr>
        <w:t xml:space="preserve">моментом является и тот факт, что </w:t>
      </w:r>
      <w:r w:rsidR="00524CAB" w:rsidRPr="007D28FB">
        <w:rPr>
          <w:sz w:val="28"/>
          <w:szCs w:val="28"/>
        </w:rPr>
        <w:t>ЧУП «Квадратный метр плюс»</w:t>
      </w:r>
      <w:r w:rsidRPr="007D28FB">
        <w:rPr>
          <w:sz w:val="28"/>
          <w:szCs w:val="28"/>
        </w:rPr>
        <w:t xml:space="preserve"> </w:t>
      </w:r>
      <w:r w:rsidR="00274B48" w:rsidRPr="007D28FB">
        <w:rPr>
          <w:sz w:val="28"/>
          <w:szCs w:val="28"/>
        </w:rPr>
        <w:t xml:space="preserve">не </w:t>
      </w:r>
      <w:r w:rsidRPr="007D28FB">
        <w:rPr>
          <w:sz w:val="28"/>
          <w:szCs w:val="28"/>
        </w:rPr>
        <w:t>обеспечено собственными оборотными средствами для ведения хозяйственной деятельности и своевременного погашения срочных обязательств. Как свидетельствует динамика изменения на протяжении года коэффициентов платежеспособности, в частности К</w:t>
      </w:r>
      <w:r w:rsidR="00DF6AB6" w:rsidRPr="007D28FB">
        <w:rPr>
          <w:sz w:val="28"/>
          <w:szCs w:val="28"/>
          <w:vertAlign w:val="subscript"/>
        </w:rPr>
        <w:t>1</w:t>
      </w:r>
      <w:r w:rsidR="00DF6AB6" w:rsidRPr="007D28FB">
        <w:rPr>
          <w:sz w:val="28"/>
          <w:szCs w:val="28"/>
        </w:rPr>
        <w:t xml:space="preserve"> и К</w:t>
      </w:r>
      <w:r w:rsidR="00DF6AB6" w:rsidRPr="007D28FB">
        <w:rPr>
          <w:sz w:val="28"/>
          <w:szCs w:val="28"/>
          <w:vertAlign w:val="subscript"/>
        </w:rPr>
        <w:t>2</w:t>
      </w:r>
      <w:r w:rsidRPr="007D28FB">
        <w:rPr>
          <w:sz w:val="28"/>
          <w:szCs w:val="28"/>
        </w:rPr>
        <w:t xml:space="preserve">, их значения ухудшаются в сторону отдаления от норматива, что свидетельствует об ухудшении финансового положения </w:t>
      </w:r>
      <w:r w:rsidR="00524CAB" w:rsidRPr="007D28FB">
        <w:rPr>
          <w:sz w:val="28"/>
          <w:szCs w:val="28"/>
        </w:rPr>
        <w:t>ЧУП «Квадратный метр плюс»</w:t>
      </w:r>
      <w:r w:rsidRPr="007D28FB">
        <w:rPr>
          <w:sz w:val="28"/>
          <w:szCs w:val="28"/>
        </w:rPr>
        <w:t>.</w:t>
      </w:r>
    </w:p>
    <w:p w:rsidR="000B09BF" w:rsidRPr="007D28FB" w:rsidRDefault="00DF6AB6" w:rsidP="007D28FB">
      <w:pPr>
        <w:pStyle w:val="23"/>
        <w:widowControl w:val="0"/>
        <w:autoSpaceDE w:val="0"/>
        <w:autoSpaceDN w:val="0"/>
        <w:adjustRightInd w:val="0"/>
        <w:spacing w:after="0" w:line="360" w:lineRule="auto"/>
        <w:ind w:left="0" w:firstLine="720"/>
        <w:rPr>
          <w:sz w:val="28"/>
          <w:szCs w:val="28"/>
        </w:rPr>
      </w:pPr>
      <w:r w:rsidRPr="007D28FB">
        <w:rPr>
          <w:sz w:val="28"/>
          <w:szCs w:val="28"/>
        </w:rPr>
        <w:t>2. </w:t>
      </w:r>
      <w:r w:rsidR="000B09BF" w:rsidRPr="007D28FB">
        <w:rPr>
          <w:sz w:val="28"/>
          <w:szCs w:val="28"/>
        </w:rPr>
        <w:t>Для анализа финансовой устойчивости ЧУП «Квадратный метр плюс» рассчитаем и проанализируем</w:t>
      </w:r>
      <w:r w:rsidR="0077081D" w:rsidRPr="007D28FB">
        <w:rPr>
          <w:sz w:val="28"/>
          <w:szCs w:val="28"/>
        </w:rPr>
        <w:t xml:space="preserve"> следующие показатели (таблица 2</w:t>
      </w:r>
      <w:r w:rsidR="000B09BF" w:rsidRPr="007D28FB">
        <w:rPr>
          <w:sz w:val="28"/>
          <w:szCs w:val="28"/>
        </w:rPr>
        <w:t>).</w:t>
      </w:r>
    </w:p>
    <w:p w:rsidR="000B09BF" w:rsidRPr="007D28FB" w:rsidRDefault="000B09BF" w:rsidP="007D28FB">
      <w:pPr>
        <w:pStyle w:val="23"/>
        <w:widowControl w:val="0"/>
        <w:autoSpaceDE w:val="0"/>
        <w:autoSpaceDN w:val="0"/>
        <w:adjustRightInd w:val="0"/>
        <w:spacing w:after="0" w:line="360" w:lineRule="auto"/>
        <w:ind w:left="0" w:firstLine="720"/>
        <w:rPr>
          <w:sz w:val="28"/>
          <w:szCs w:val="28"/>
        </w:rPr>
      </w:pPr>
    </w:p>
    <w:p w:rsidR="000B09BF" w:rsidRPr="007D28FB" w:rsidRDefault="000B09BF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Таблица </w:t>
      </w:r>
      <w:r w:rsidR="0077081D" w:rsidRPr="007D28FB">
        <w:rPr>
          <w:sz w:val="28"/>
          <w:szCs w:val="28"/>
        </w:rPr>
        <w:t>2</w:t>
      </w:r>
      <w:r w:rsidRPr="007D28FB">
        <w:rPr>
          <w:sz w:val="28"/>
          <w:szCs w:val="28"/>
        </w:rPr>
        <w:t>. Показатели финансовой устойчивости предприятия</w:t>
      </w:r>
    </w:p>
    <w:tbl>
      <w:tblPr>
        <w:tblW w:w="474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1256"/>
        <w:gridCol w:w="1700"/>
        <w:gridCol w:w="1700"/>
      </w:tblGrid>
      <w:tr w:rsidR="000B09BF" w:rsidRPr="007D28FB" w:rsidTr="00566E55">
        <w:tc>
          <w:tcPr>
            <w:tcW w:w="2434" w:type="pct"/>
            <w:shd w:val="clear" w:color="auto" w:fill="auto"/>
          </w:tcPr>
          <w:p w:rsidR="000B09BF" w:rsidRPr="007D28FB" w:rsidRDefault="000B09BF" w:rsidP="00566E55">
            <w:pPr>
              <w:widowControl/>
              <w:spacing w:line="360" w:lineRule="auto"/>
              <w:ind w:firstLine="0"/>
            </w:pPr>
            <w:r w:rsidRPr="007D28FB">
              <w:t>Наименование показателя</w:t>
            </w:r>
          </w:p>
        </w:tc>
        <w:tc>
          <w:tcPr>
            <w:tcW w:w="692" w:type="pct"/>
            <w:shd w:val="clear" w:color="auto" w:fill="auto"/>
          </w:tcPr>
          <w:p w:rsidR="000B09BF" w:rsidRPr="007D28FB" w:rsidRDefault="000B09BF" w:rsidP="00566E55">
            <w:pPr>
              <w:widowControl/>
              <w:spacing w:line="360" w:lineRule="auto"/>
              <w:ind w:firstLine="0"/>
            </w:pPr>
            <w:r w:rsidRPr="007D28FB">
              <w:t xml:space="preserve">На </w:t>
            </w:r>
            <w:r w:rsidR="0077081D" w:rsidRPr="007D28FB">
              <w:t>начало года</w:t>
            </w:r>
          </w:p>
        </w:tc>
        <w:tc>
          <w:tcPr>
            <w:tcW w:w="937" w:type="pct"/>
            <w:shd w:val="clear" w:color="auto" w:fill="auto"/>
          </w:tcPr>
          <w:p w:rsidR="000B09BF" w:rsidRPr="007D28FB" w:rsidRDefault="000B09BF" w:rsidP="00566E55">
            <w:pPr>
              <w:widowControl/>
              <w:spacing w:line="360" w:lineRule="auto"/>
              <w:ind w:firstLine="0"/>
            </w:pPr>
            <w:r w:rsidRPr="007D28FB">
              <w:t xml:space="preserve">На </w:t>
            </w:r>
            <w:r w:rsidR="0077081D" w:rsidRPr="007D28FB">
              <w:t>конец года</w:t>
            </w:r>
          </w:p>
        </w:tc>
        <w:tc>
          <w:tcPr>
            <w:tcW w:w="937" w:type="pct"/>
            <w:shd w:val="clear" w:color="auto" w:fill="auto"/>
          </w:tcPr>
          <w:p w:rsidR="000B09BF" w:rsidRPr="007D28FB" w:rsidRDefault="000B09BF" w:rsidP="00566E55">
            <w:pPr>
              <w:widowControl/>
              <w:spacing w:line="360" w:lineRule="auto"/>
              <w:ind w:firstLine="0"/>
            </w:pPr>
            <w:r w:rsidRPr="007D28FB">
              <w:t>Отклонение (+</w:t>
            </w:r>
            <w:r w:rsidRPr="00566E55">
              <w:rPr>
                <w:lang w:val="en-US"/>
              </w:rPr>
              <w:t>/</w:t>
            </w:r>
            <w:r w:rsidRPr="007D28FB">
              <w:t>-)</w:t>
            </w:r>
          </w:p>
        </w:tc>
      </w:tr>
      <w:tr w:rsidR="000B09BF" w:rsidRPr="00566E55" w:rsidTr="00566E55">
        <w:tc>
          <w:tcPr>
            <w:tcW w:w="2434" w:type="pct"/>
            <w:shd w:val="clear" w:color="auto" w:fill="auto"/>
          </w:tcPr>
          <w:p w:rsidR="000B09BF" w:rsidRPr="007D28FB" w:rsidRDefault="000B09BF" w:rsidP="00566E55">
            <w:pPr>
              <w:widowControl/>
              <w:spacing w:line="360" w:lineRule="auto"/>
              <w:ind w:firstLine="0"/>
            </w:pPr>
            <w:r w:rsidRPr="007D28FB">
              <w:t>Коэффициент финансовой независимости</w:t>
            </w:r>
          </w:p>
        </w:tc>
        <w:tc>
          <w:tcPr>
            <w:tcW w:w="692" w:type="pct"/>
            <w:shd w:val="clear" w:color="auto" w:fill="auto"/>
          </w:tcPr>
          <w:p w:rsidR="000B09BF" w:rsidRPr="007D28FB" w:rsidRDefault="00940E63" w:rsidP="00566E55">
            <w:pPr>
              <w:widowControl/>
              <w:spacing w:line="360" w:lineRule="auto"/>
              <w:ind w:firstLine="0"/>
            </w:pPr>
            <w:r w:rsidRPr="007D28FB">
              <w:t>-0,45</w:t>
            </w:r>
          </w:p>
        </w:tc>
        <w:tc>
          <w:tcPr>
            <w:tcW w:w="937" w:type="pct"/>
            <w:shd w:val="clear" w:color="auto" w:fill="auto"/>
          </w:tcPr>
          <w:p w:rsidR="000B09BF" w:rsidRPr="007D28FB" w:rsidRDefault="00940E63" w:rsidP="00566E55">
            <w:pPr>
              <w:widowControl/>
              <w:spacing w:line="360" w:lineRule="auto"/>
              <w:ind w:firstLine="0"/>
            </w:pPr>
            <w:r w:rsidRPr="007D28FB">
              <w:t>-0,652</w:t>
            </w:r>
          </w:p>
        </w:tc>
        <w:tc>
          <w:tcPr>
            <w:tcW w:w="937" w:type="pct"/>
            <w:shd w:val="clear" w:color="auto" w:fill="auto"/>
          </w:tcPr>
          <w:p w:rsidR="000B09BF" w:rsidRPr="007D28FB" w:rsidRDefault="00940E63" w:rsidP="00566E55">
            <w:pPr>
              <w:widowControl/>
              <w:spacing w:line="360" w:lineRule="auto"/>
              <w:ind w:firstLine="0"/>
            </w:pPr>
            <w:r w:rsidRPr="007D28FB">
              <w:t>-0,202</w:t>
            </w:r>
          </w:p>
        </w:tc>
      </w:tr>
      <w:tr w:rsidR="000B09BF" w:rsidRPr="00566E55" w:rsidTr="00566E55">
        <w:tc>
          <w:tcPr>
            <w:tcW w:w="2434" w:type="pct"/>
            <w:shd w:val="clear" w:color="auto" w:fill="auto"/>
          </w:tcPr>
          <w:p w:rsidR="000B09BF" w:rsidRPr="007D28FB" w:rsidRDefault="000B09BF" w:rsidP="00566E55">
            <w:pPr>
              <w:widowControl/>
              <w:spacing w:line="360" w:lineRule="auto"/>
              <w:ind w:firstLine="0"/>
            </w:pPr>
            <w:r w:rsidRPr="007D28FB">
              <w:t>Коэффициент финансовой устойчивости</w:t>
            </w:r>
          </w:p>
        </w:tc>
        <w:tc>
          <w:tcPr>
            <w:tcW w:w="692" w:type="pct"/>
            <w:shd w:val="clear" w:color="auto" w:fill="auto"/>
          </w:tcPr>
          <w:p w:rsidR="000B09BF" w:rsidRPr="007D28FB" w:rsidRDefault="00AF30C4" w:rsidP="00566E55">
            <w:pPr>
              <w:widowControl/>
              <w:spacing w:line="360" w:lineRule="auto"/>
              <w:ind w:firstLine="0"/>
            </w:pPr>
            <w:r w:rsidRPr="007D28FB">
              <w:t>0,6</w:t>
            </w:r>
          </w:p>
        </w:tc>
        <w:tc>
          <w:tcPr>
            <w:tcW w:w="937" w:type="pct"/>
            <w:shd w:val="clear" w:color="auto" w:fill="auto"/>
          </w:tcPr>
          <w:p w:rsidR="000B09BF" w:rsidRPr="007D28FB" w:rsidRDefault="00AF30C4" w:rsidP="00566E55">
            <w:pPr>
              <w:widowControl/>
              <w:spacing w:line="360" w:lineRule="auto"/>
              <w:ind w:firstLine="0"/>
            </w:pPr>
            <w:r w:rsidRPr="007D28FB">
              <w:t>-0,391</w:t>
            </w:r>
          </w:p>
        </w:tc>
        <w:tc>
          <w:tcPr>
            <w:tcW w:w="937" w:type="pct"/>
            <w:shd w:val="clear" w:color="auto" w:fill="auto"/>
          </w:tcPr>
          <w:p w:rsidR="000B09BF" w:rsidRPr="007D28FB" w:rsidRDefault="00AF30C4" w:rsidP="00566E55">
            <w:pPr>
              <w:widowControl/>
              <w:spacing w:line="360" w:lineRule="auto"/>
              <w:ind w:firstLine="0"/>
            </w:pPr>
            <w:r w:rsidRPr="007D28FB">
              <w:t>-0,991</w:t>
            </w:r>
          </w:p>
        </w:tc>
      </w:tr>
      <w:tr w:rsidR="000B09BF" w:rsidRPr="00566E55" w:rsidTr="00566E55">
        <w:tc>
          <w:tcPr>
            <w:tcW w:w="2434" w:type="pct"/>
            <w:shd w:val="clear" w:color="auto" w:fill="auto"/>
          </w:tcPr>
          <w:p w:rsidR="000B09BF" w:rsidRPr="007D28FB" w:rsidRDefault="000B09BF" w:rsidP="00566E55">
            <w:pPr>
              <w:widowControl/>
              <w:spacing w:line="360" w:lineRule="auto"/>
              <w:ind w:firstLine="0"/>
            </w:pPr>
            <w:r w:rsidRPr="007D28FB">
              <w:t>Коэффициент привлечения средств</w:t>
            </w:r>
          </w:p>
        </w:tc>
        <w:tc>
          <w:tcPr>
            <w:tcW w:w="692" w:type="pct"/>
            <w:shd w:val="clear" w:color="auto" w:fill="auto"/>
          </w:tcPr>
          <w:p w:rsidR="000B09BF" w:rsidRPr="007D28FB" w:rsidRDefault="00615AAC" w:rsidP="00566E55">
            <w:pPr>
              <w:widowControl/>
              <w:spacing w:line="360" w:lineRule="auto"/>
              <w:ind w:firstLine="0"/>
            </w:pPr>
            <w:r w:rsidRPr="007D28FB">
              <w:t>2,071</w:t>
            </w:r>
          </w:p>
        </w:tc>
        <w:tc>
          <w:tcPr>
            <w:tcW w:w="937" w:type="pct"/>
            <w:shd w:val="clear" w:color="auto" w:fill="auto"/>
          </w:tcPr>
          <w:p w:rsidR="000B09BF" w:rsidRPr="007D28FB" w:rsidRDefault="00615AAC" w:rsidP="00566E55">
            <w:pPr>
              <w:widowControl/>
              <w:spacing w:line="360" w:lineRule="auto"/>
              <w:ind w:firstLine="0"/>
            </w:pPr>
            <w:r w:rsidRPr="007D28FB">
              <w:t>2,111</w:t>
            </w:r>
          </w:p>
        </w:tc>
        <w:tc>
          <w:tcPr>
            <w:tcW w:w="937" w:type="pct"/>
            <w:shd w:val="clear" w:color="auto" w:fill="auto"/>
          </w:tcPr>
          <w:p w:rsidR="000B09BF" w:rsidRPr="007D28FB" w:rsidRDefault="00615AAC" w:rsidP="00566E55">
            <w:pPr>
              <w:widowControl/>
              <w:spacing w:line="360" w:lineRule="auto"/>
              <w:ind w:firstLine="0"/>
            </w:pPr>
            <w:r w:rsidRPr="007D28FB">
              <w:t>+0,04</w:t>
            </w:r>
          </w:p>
        </w:tc>
      </w:tr>
      <w:tr w:rsidR="000B09BF" w:rsidRPr="007D28FB" w:rsidTr="00566E55">
        <w:tc>
          <w:tcPr>
            <w:tcW w:w="2434" w:type="pct"/>
            <w:shd w:val="clear" w:color="auto" w:fill="auto"/>
          </w:tcPr>
          <w:p w:rsidR="000B09BF" w:rsidRPr="007D28FB" w:rsidRDefault="000B09BF" w:rsidP="00566E55">
            <w:pPr>
              <w:widowControl/>
              <w:spacing w:line="360" w:lineRule="auto"/>
              <w:ind w:firstLine="0"/>
            </w:pPr>
            <w:r w:rsidRPr="007D28FB">
              <w:t>Коэффициент банкротства (обеспеченности финансовых обязательств активами)</w:t>
            </w:r>
          </w:p>
        </w:tc>
        <w:tc>
          <w:tcPr>
            <w:tcW w:w="692" w:type="pct"/>
            <w:shd w:val="clear" w:color="auto" w:fill="auto"/>
          </w:tcPr>
          <w:p w:rsidR="000B09BF" w:rsidRPr="007D28FB" w:rsidRDefault="00F0652C" w:rsidP="00566E55">
            <w:pPr>
              <w:widowControl/>
              <w:spacing w:line="360" w:lineRule="auto"/>
              <w:ind w:firstLine="0"/>
            </w:pPr>
            <w:r w:rsidRPr="007D28FB">
              <w:t>1,45</w:t>
            </w:r>
          </w:p>
        </w:tc>
        <w:tc>
          <w:tcPr>
            <w:tcW w:w="937" w:type="pct"/>
            <w:shd w:val="clear" w:color="auto" w:fill="auto"/>
          </w:tcPr>
          <w:p w:rsidR="000B09BF" w:rsidRPr="007D28FB" w:rsidRDefault="00F0652C" w:rsidP="00566E55">
            <w:pPr>
              <w:widowControl/>
              <w:spacing w:line="360" w:lineRule="auto"/>
              <w:ind w:firstLine="0"/>
            </w:pPr>
            <w:r w:rsidRPr="007D28FB">
              <w:t>1,652</w:t>
            </w:r>
          </w:p>
        </w:tc>
        <w:tc>
          <w:tcPr>
            <w:tcW w:w="937" w:type="pct"/>
            <w:shd w:val="clear" w:color="auto" w:fill="auto"/>
          </w:tcPr>
          <w:p w:rsidR="000B09BF" w:rsidRPr="007D28FB" w:rsidRDefault="00F0652C" w:rsidP="00566E55">
            <w:pPr>
              <w:widowControl/>
              <w:spacing w:line="360" w:lineRule="auto"/>
              <w:ind w:firstLine="0"/>
            </w:pPr>
            <w:r w:rsidRPr="007D28FB">
              <w:t>+0,202</w:t>
            </w:r>
          </w:p>
        </w:tc>
      </w:tr>
    </w:tbl>
    <w:p w:rsidR="000B09BF" w:rsidRPr="007D28FB" w:rsidRDefault="000B09BF" w:rsidP="007D28FB">
      <w:pPr>
        <w:spacing w:line="360" w:lineRule="auto"/>
        <w:ind w:firstLine="720"/>
        <w:rPr>
          <w:sz w:val="28"/>
          <w:szCs w:val="28"/>
        </w:rPr>
      </w:pPr>
    </w:p>
    <w:p w:rsidR="000B09BF" w:rsidRPr="007D28FB" w:rsidRDefault="000B09BF" w:rsidP="007D28FB">
      <w:pPr>
        <w:pStyle w:val="a6"/>
        <w:widowControl w:val="0"/>
        <w:ind w:firstLine="720"/>
        <w:jc w:val="both"/>
        <w:rPr>
          <w:b w:val="0"/>
          <w:szCs w:val="28"/>
        </w:rPr>
      </w:pPr>
      <w:r w:rsidRPr="007D28FB">
        <w:rPr>
          <w:b w:val="0"/>
          <w:szCs w:val="28"/>
        </w:rPr>
        <w:t>Коэффициент финансовой независимости (коэффициент автономности, К</w:t>
      </w:r>
      <w:r w:rsidRPr="007D28FB">
        <w:rPr>
          <w:b w:val="0"/>
          <w:szCs w:val="28"/>
          <w:vertAlign w:val="subscript"/>
        </w:rPr>
        <w:t>фн</w:t>
      </w:r>
      <w:r w:rsidRPr="007D28FB">
        <w:rPr>
          <w:b w:val="0"/>
          <w:szCs w:val="28"/>
        </w:rPr>
        <w:t>)</w:t>
      </w:r>
      <w:r w:rsidR="0098643B" w:rsidRPr="007D28FB">
        <w:rPr>
          <w:b w:val="0"/>
          <w:szCs w:val="28"/>
        </w:rPr>
        <w:t>, представляет собой отношение суммы собственных средств предприятия к валюте баланса</w:t>
      </w:r>
      <w:r w:rsidRPr="007D28FB">
        <w:rPr>
          <w:b w:val="0"/>
          <w:szCs w:val="28"/>
        </w:rPr>
        <w:t>:</w:t>
      </w:r>
    </w:p>
    <w:p w:rsidR="000B09BF" w:rsidRPr="007D28FB" w:rsidRDefault="000B09BF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На начало года:</w:t>
      </w:r>
    </w:p>
    <w:p w:rsidR="000B09BF" w:rsidRPr="007D28FB" w:rsidRDefault="00940E63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-9 / 20 = -0,45</w:t>
      </w:r>
    </w:p>
    <w:p w:rsidR="000B09BF" w:rsidRPr="007D28FB" w:rsidRDefault="000B09BF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На конец года:</w:t>
      </w:r>
    </w:p>
    <w:p w:rsidR="000B09BF" w:rsidRPr="007D28FB" w:rsidRDefault="00940E63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-15 / 23 = -0,652</w:t>
      </w:r>
    </w:p>
    <w:p w:rsidR="000B09BF" w:rsidRPr="007D28FB" w:rsidRDefault="000B09BF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 xml:space="preserve">Данный коэффициент характеризует долю средств, вложенных собственником в общую стоимость имущества. Чем выше значение этого коэффициента, тем более устойчиво финансовое положение предприятия. В нашем случае наблюдается тенденция </w:t>
      </w:r>
      <w:r w:rsidR="00AF30C4" w:rsidRPr="007D28FB">
        <w:rPr>
          <w:sz w:val="28"/>
          <w:szCs w:val="28"/>
        </w:rPr>
        <w:t>снижения</w:t>
      </w:r>
      <w:r w:rsidRPr="007D28FB">
        <w:rPr>
          <w:sz w:val="28"/>
          <w:szCs w:val="28"/>
        </w:rPr>
        <w:t xml:space="preserve"> показателя (за отчетный период на </w:t>
      </w:r>
      <w:r w:rsidR="00AF30C4" w:rsidRPr="007D28FB">
        <w:rPr>
          <w:sz w:val="28"/>
          <w:szCs w:val="28"/>
        </w:rPr>
        <w:t>0,202), что является отрицатель</w:t>
      </w:r>
      <w:r w:rsidRPr="007D28FB">
        <w:rPr>
          <w:sz w:val="28"/>
          <w:szCs w:val="28"/>
        </w:rPr>
        <w:t>ным фактором.</w:t>
      </w:r>
    </w:p>
    <w:p w:rsidR="000B09BF" w:rsidRPr="007D28FB" w:rsidRDefault="000B09BF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Коэффициент финансовой устойчивости (К</w:t>
      </w:r>
      <w:r w:rsidRPr="007D28FB">
        <w:rPr>
          <w:sz w:val="28"/>
          <w:szCs w:val="28"/>
          <w:vertAlign w:val="subscript"/>
        </w:rPr>
        <w:t>фу</w:t>
      </w:r>
      <w:r w:rsidRPr="007D28FB">
        <w:rPr>
          <w:sz w:val="28"/>
          <w:szCs w:val="28"/>
        </w:rPr>
        <w:t>) характеризует долю постоянного (перманентного) капитала в общей сумме баланса. Он отражает удельный вес тех средств, которые предприятие может использовать в своей деятельности длительное время, и рассчитывается как отношение суммы собственных средств и долгосрочных обязательств к общей стоимости имущества предприятия:</w:t>
      </w:r>
    </w:p>
    <w:p w:rsidR="00AF30C4" w:rsidRPr="007D28FB" w:rsidRDefault="00AF30C4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На начало года:</w:t>
      </w:r>
    </w:p>
    <w:p w:rsidR="00AF30C4" w:rsidRPr="007D28FB" w:rsidRDefault="00AF30C4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(-9 + 21) / 20 = 0,6</w:t>
      </w:r>
    </w:p>
    <w:p w:rsidR="00AF30C4" w:rsidRPr="007D28FB" w:rsidRDefault="00AF30C4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На конец года:</w:t>
      </w:r>
    </w:p>
    <w:p w:rsidR="00AF30C4" w:rsidRPr="007D28FB" w:rsidRDefault="00AF30C4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(-15 + 6) / 23 = -0,391</w:t>
      </w:r>
    </w:p>
    <w:p w:rsidR="000B09BF" w:rsidRPr="007D28FB" w:rsidRDefault="000B09BF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 xml:space="preserve">Коэффициент финансовой устойчивости </w:t>
      </w:r>
      <w:r w:rsidR="00AF30C4" w:rsidRPr="007D28FB">
        <w:rPr>
          <w:sz w:val="28"/>
          <w:szCs w:val="28"/>
        </w:rPr>
        <w:t>снизился в динамике на 0,991 и на конец периода принял отрицательное значение</w:t>
      </w:r>
      <w:r w:rsidRPr="007D28FB">
        <w:rPr>
          <w:sz w:val="28"/>
          <w:szCs w:val="28"/>
        </w:rPr>
        <w:t xml:space="preserve">, что также является </w:t>
      </w:r>
      <w:r w:rsidR="00AF30C4" w:rsidRPr="007D28FB">
        <w:rPr>
          <w:sz w:val="28"/>
          <w:szCs w:val="28"/>
        </w:rPr>
        <w:t>негативным моментом в деятельности анализируемого предприятия</w:t>
      </w:r>
      <w:r w:rsidRPr="007D28FB">
        <w:rPr>
          <w:sz w:val="28"/>
          <w:szCs w:val="28"/>
        </w:rPr>
        <w:t>.</w:t>
      </w:r>
    </w:p>
    <w:p w:rsidR="000B09BF" w:rsidRPr="007D28FB" w:rsidRDefault="000B09BF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Коэффициент привлечения средств (К</w:t>
      </w:r>
      <w:r w:rsidRPr="007D28FB">
        <w:rPr>
          <w:sz w:val="28"/>
          <w:szCs w:val="28"/>
          <w:vertAlign w:val="subscript"/>
        </w:rPr>
        <w:t>пс</w:t>
      </w:r>
      <w:r w:rsidRPr="007D28FB">
        <w:rPr>
          <w:sz w:val="28"/>
          <w:szCs w:val="28"/>
        </w:rPr>
        <w:t>) показывает, в каких объемах предприятие привлекает со стороны средства для финансирования текущей деятельности. Он рассчитывается как отношение общей суммы задолженности предприятия к сумме оборотных активов:</w:t>
      </w:r>
    </w:p>
    <w:p w:rsidR="000B09BF" w:rsidRPr="007D28FB" w:rsidRDefault="000B09BF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На начало года:</w:t>
      </w:r>
    </w:p>
    <w:p w:rsidR="000B09BF" w:rsidRPr="007D28FB" w:rsidRDefault="00E173A4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29</w:t>
      </w:r>
      <w:r w:rsidR="000B09BF" w:rsidRPr="007D28FB">
        <w:rPr>
          <w:sz w:val="28"/>
          <w:szCs w:val="28"/>
        </w:rPr>
        <w:t xml:space="preserve"> / </w:t>
      </w:r>
      <w:r w:rsidRPr="007D28FB">
        <w:rPr>
          <w:sz w:val="28"/>
          <w:szCs w:val="28"/>
        </w:rPr>
        <w:t>14</w:t>
      </w:r>
      <w:r w:rsidR="000B09BF" w:rsidRPr="007D28FB">
        <w:rPr>
          <w:sz w:val="28"/>
          <w:szCs w:val="28"/>
        </w:rPr>
        <w:t xml:space="preserve"> = </w:t>
      </w:r>
      <w:r w:rsidRPr="007D28FB">
        <w:rPr>
          <w:sz w:val="28"/>
          <w:szCs w:val="28"/>
        </w:rPr>
        <w:t>2,071</w:t>
      </w:r>
    </w:p>
    <w:p w:rsidR="000B09BF" w:rsidRPr="007D28FB" w:rsidRDefault="000B09BF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На конец года:</w:t>
      </w:r>
    </w:p>
    <w:p w:rsidR="000B09BF" w:rsidRPr="007D28FB" w:rsidRDefault="00E173A4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38</w:t>
      </w:r>
      <w:r w:rsidR="000B09BF" w:rsidRPr="007D28FB">
        <w:rPr>
          <w:sz w:val="28"/>
          <w:szCs w:val="28"/>
        </w:rPr>
        <w:t xml:space="preserve"> / </w:t>
      </w:r>
      <w:r w:rsidRPr="007D28FB">
        <w:rPr>
          <w:sz w:val="28"/>
          <w:szCs w:val="28"/>
        </w:rPr>
        <w:t>1</w:t>
      </w:r>
      <w:r w:rsidR="000B09BF" w:rsidRPr="007D28FB">
        <w:rPr>
          <w:sz w:val="28"/>
          <w:szCs w:val="28"/>
        </w:rPr>
        <w:t xml:space="preserve">8 = </w:t>
      </w:r>
      <w:r w:rsidRPr="007D28FB">
        <w:rPr>
          <w:sz w:val="28"/>
          <w:szCs w:val="28"/>
        </w:rPr>
        <w:t>2,111</w:t>
      </w:r>
    </w:p>
    <w:p w:rsidR="000B09BF" w:rsidRPr="007D28FB" w:rsidRDefault="000B09BF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Коэффициент привлечения средств за анализируемы</w:t>
      </w:r>
      <w:r w:rsidR="00615AAC" w:rsidRPr="007D28FB">
        <w:rPr>
          <w:sz w:val="28"/>
          <w:szCs w:val="28"/>
        </w:rPr>
        <w:t>й</w:t>
      </w:r>
      <w:r w:rsidRPr="007D28FB">
        <w:rPr>
          <w:sz w:val="28"/>
          <w:szCs w:val="28"/>
        </w:rPr>
        <w:t xml:space="preserve"> период </w:t>
      </w:r>
      <w:r w:rsidR="00615AAC" w:rsidRPr="007D28FB">
        <w:rPr>
          <w:sz w:val="28"/>
          <w:szCs w:val="28"/>
        </w:rPr>
        <w:t>вырос на 0,04</w:t>
      </w:r>
      <w:r w:rsidRPr="007D28FB">
        <w:rPr>
          <w:sz w:val="28"/>
          <w:szCs w:val="28"/>
        </w:rPr>
        <w:t xml:space="preserve">, что также является </w:t>
      </w:r>
      <w:r w:rsidR="00615AAC" w:rsidRPr="007D28FB">
        <w:rPr>
          <w:sz w:val="28"/>
          <w:szCs w:val="28"/>
        </w:rPr>
        <w:t>отрица</w:t>
      </w:r>
      <w:r w:rsidRPr="007D28FB">
        <w:rPr>
          <w:sz w:val="28"/>
          <w:szCs w:val="28"/>
        </w:rPr>
        <w:t>тельным фактором</w:t>
      </w:r>
      <w:r w:rsidR="00615AAC" w:rsidRPr="007D28FB">
        <w:rPr>
          <w:sz w:val="28"/>
          <w:szCs w:val="28"/>
        </w:rPr>
        <w:t xml:space="preserve"> и свидетельствует об увеличении средств, привлекаемых ЧУП «Квадратный метр плюс» со стороны средства для финансирования текущей деятельности</w:t>
      </w:r>
      <w:r w:rsidRPr="007D28FB">
        <w:rPr>
          <w:sz w:val="28"/>
          <w:szCs w:val="28"/>
        </w:rPr>
        <w:t>.</w:t>
      </w:r>
    </w:p>
    <w:p w:rsidR="000B09BF" w:rsidRPr="007D28FB" w:rsidRDefault="000B09BF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Коэффициент банкротства (обеспеченности финансовых обязательств активами) (К</w:t>
      </w:r>
      <w:r w:rsidRPr="007D28FB">
        <w:rPr>
          <w:sz w:val="28"/>
          <w:szCs w:val="28"/>
          <w:vertAlign w:val="subscript"/>
        </w:rPr>
        <w:t>б</w:t>
      </w:r>
      <w:r w:rsidRPr="007D28FB">
        <w:rPr>
          <w:sz w:val="28"/>
          <w:szCs w:val="28"/>
        </w:rPr>
        <w:t>) показывает долю привлеченных средств в общей сумме имущества и характеризует способность предприятия рассчитаться по своим финансовым обязательствам после реализации активов. Он рассчитывается как отношение всех (долгосрочных и краткосрочных) обязательств предприятия к общей стоимости имущества (валюте баланса).</w:t>
      </w:r>
    </w:p>
    <w:p w:rsidR="006F4481" w:rsidRPr="007D28FB" w:rsidRDefault="006F4481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На начало года:</w:t>
      </w:r>
    </w:p>
    <w:p w:rsidR="006F4481" w:rsidRPr="007D28FB" w:rsidRDefault="006F4481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 xml:space="preserve">29 / 20 = </w:t>
      </w:r>
      <w:r w:rsidR="00F0652C" w:rsidRPr="007D28FB">
        <w:rPr>
          <w:sz w:val="28"/>
          <w:szCs w:val="28"/>
        </w:rPr>
        <w:t>1,45</w:t>
      </w:r>
    </w:p>
    <w:p w:rsidR="006F4481" w:rsidRPr="007D28FB" w:rsidRDefault="006F4481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>На конец года:</w:t>
      </w:r>
    </w:p>
    <w:p w:rsidR="006F4481" w:rsidRPr="007D28FB" w:rsidRDefault="006F4481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 xml:space="preserve">38 / 23 = </w:t>
      </w:r>
      <w:r w:rsidR="00F0652C" w:rsidRPr="007D28FB">
        <w:rPr>
          <w:sz w:val="28"/>
          <w:szCs w:val="28"/>
        </w:rPr>
        <w:t>1,652</w:t>
      </w:r>
    </w:p>
    <w:p w:rsidR="000B09BF" w:rsidRPr="007D28FB" w:rsidRDefault="000B09BF" w:rsidP="007D28FB">
      <w:pPr>
        <w:spacing w:line="360" w:lineRule="auto"/>
        <w:ind w:firstLine="720"/>
        <w:rPr>
          <w:sz w:val="28"/>
          <w:szCs w:val="28"/>
        </w:rPr>
      </w:pPr>
      <w:r w:rsidRPr="007D28FB">
        <w:rPr>
          <w:sz w:val="28"/>
          <w:szCs w:val="28"/>
        </w:rPr>
        <w:t xml:space="preserve">Если этот показатель превышает 0,5, то организация находится на грани банкротства. Для ЧУП «Квадратный метр плюс» </w:t>
      </w:r>
      <w:r w:rsidR="00B8686E" w:rsidRPr="007D28FB">
        <w:rPr>
          <w:sz w:val="28"/>
          <w:szCs w:val="28"/>
        </w:rPr>
        <w:t>следует отметить тенденцию его увеличения на 0,202</w:t>
      </w:r>
      <w:r w:rsidRPr="007D28FB">
        <w:rPr>
          <w:sz w:val="28"/>
          <w:szCs w:val="28"/>
        </w:rPr>
        <w:t xml:space="preserve">, что </w:t>
      </w:r>
      <w:r w:rsidR="00B8686E" w:rsidRPr="007D28FB">
        <w:rPr>
          <w:sz w:val="28"/>
          <w:szCs w:val="28"/>
        </w:rPr>
        <w:t>не</w:t>
      </w:r>
      <w:r w:rsidRPr="007D28FB">
        <w:rPr>
          <w:sz w:val="28"/>
          <w:szCs w:val="28"/>
        </w:rPr>
        <w:t>приемлемо для организации, поскольку превышает нормативное значение.</w:t>
      </w:r>
    </w:p>
    <w:p w:rsidR="00C71F39" w:rsidRPr="007D28FB" w:rsidRDefault="00C71F39" w:rsidP="007D28FB">
      <w:pPr>
        <w:spacing w:line="360" w:lineRule="auto"/>
        <w:ind w:firstLine="720"/>
        <w:rPr>
          <w:sz w:val="28"/>
          <w:szCs w:val="28"/>
        </w:rPr>
      </w:pPr>
    </w:p>
    <w:p w:rsidR="004C0841" w:rsidRPr="007D28FB" w:rsidRDefault="00C71F39" w:rsidP="007D28FB">
      <w:pPr>
        <w:spacing w:line="360" w:lineRule="auto"/>
        <w:ind w:firstLine="720"/>
        <w:jc w:val="center"/>
        <w:rPr>
          <w:sz w:val="28"/>
          <w:szCs w:val="28"/>
        </w:rPr>
      </w:pPr>
      <w:r w:rsidRPr="007D28FB">
        <w:rPr>
          <w:sz w:val="28"/>
          <w:szCs w:val="28"/>
        </w:rPr>
        <w:br w:type="page"/>
      </w:r>
      <w:r w:rsidR="00C66DBF" w:rsidRPr="007D28FB">
        <w:rPr>
          <w:b/>
          <w:sz w:val="28"/>
          <w:szCs w:val="28"/>
        </w:rPr>
        <w:t>Список использованных источников</w:t>
      </w:r>
    </w:p>
    <w:p w:rsidR="000E5A95" w:rsidRPr="007D28FB" w:rsidRDefault="000E5A95" w:rsidP="007D28FB">
      <w:pPr>
        <w:spacing w:line="360" w:lineRule="auto"/>
        <w:ind w:firstLine="720"/>
        <w:rPr>
          <w:sz w:val="28"/>
          <w:szCs w:val="28"/>
        </w:rPr>
      </w:pPr>
    </w:p>
    <w:p w:rsidR="004C0841" w:rsidRPr="007D28FB" w:rsidRDefault="001B34BE" w:rsidP="007D28FB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0"/>
        <w:rPr>
          <w:sz w:val="28"/>
          <w:szCs w:val="28"/>
        </w:rPr>
      </w:pPr>
      <w:r w:rsidRPr="007D28FB">
        <w:rPr>
          <w:sz w:val="28"/>
          <w:szCs w:val="28"/>
        </w:rPr>
        <w:t>Анализ хозяйственной деятельности предприятия: Учеб. пособие/ Под общ. ред. Л. Л. Ермолович. - Мн.: Интерпрессервис; Экоперспектива, 2001. - 576 с.</w:t>
      </w:r>
    </w:p>
    <w:p w:rsidR="001B34BE" w:rsidRPr="007D28FB" w:rsidRDefault="001B34BE" w:rsidP="007D28FB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0"/>
        <w:rPr>
          <w:sz w:val="28"/>
          <w:szCs w:val="28"/>
        </w:rPr>
      </w:pPr>
      <w:r w:rsidRPr="007D28FB">
        <w:rPr>
          <w:sz w:val="28"/>
          <w:szCs w:val="28"/>
        </w:rPr>
        <w:t>Савицкая Г. В. Анализ хозяйственной деятельности предприятия, 7-е изд., испр. - Мн.: Новое знание, 2002. - 704 с.</w:t>
      </w:r>
    </w:p>
    <w:p w:rsidR="005E4C0C" w:rsidRPr="007D28FB" w:rsidRDefault="005E4C0C" w:rsidP="007D28FB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0"/>
        <w:rPr>
          <w:sz w:val="28"/>
          <w:szCs w:val="28"/>
        </w:rPr>
      </w:pPr>
      <w:r w:rsidRPr="007D28FB">
        <w:rPr>
          <w:sz w:val="28"/>
          <w:szCs w:val="28"/>
        </w:rPr>
        <w:t xml:space="preserve">Савицкая Г. В. </w:t>
      </w:r>
      <w:r w:rsidRPr="00B24F72">
        <w:rPr>
          <w:sz w:val="28"/>
          <w:szCs w:val="28"/>
        </w:rPr>
        <w:t>Теория анализа хозяйственной деятельности</w:t>
      </w:r>
      <w:r w:rsidRPr="007D28FB">
        <w:rPr>
          <w:sz w:val="28"/>
          <w:szCs w:val="28"/>
        </w:rPr>
        <w:t xml:space="preserve">. - М.: </w:t>
      </w:r>
      <w:r w:rsidRPr="007D28FB">
        <w:rPr>
          <w:bCs/>
          <w:sz w:val="28"/>
          <w:szCs w:val="28"/>
        </w:rPr>
        <w:t>Инфра-М</w:t>
      </w:r>
      <w:r w:rsidRPr="007D28FB">
        <w:rPr>
          <w:sz w:val="28"/>
          <w:szCs w:val="28"/>
        </w:rPr>
        <w:t>, 2007.</w:t>
      </w:r>
    </w:p>
    <w:p w:rsidR="001B34BE" w:rsidRPr="007D28FB" w:rsidRDefault="001B34BE" w:rsidP="007D28FB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0"/>
        <w:rPr>
          <w:sz w:val="28"/>
          <w:szCs w:val="28"/>
        </w:rPr>
      </w:pPr>
      <w:r w:rsidRPr="007D28FB">
        <w:rPr>
          <w:sz w:val="28"/>
          <w:szCs w:val="28"/>
        </w:rPr>
        <w:t>Савицкая Г. В. Экономический анализ: Учеб. - 10-е изд., испр. - М.: Новое знание, 2004. - 640 с.</w:t>
      </w:r>
    </w:p>
    <w:p w:rsidR="000450AD" w:rsidRPr="007D28FB" w:rsidRDefault="000450AD" w:rsidP="007D28FB">
      <w:pPr>
        <w:numPr>
          <w:ilvl w:val="0"/>
          <w:numId w:val="1"/>
        </w:numPr>
        <w:tabs>
          <w:tab w:val="clear" w:pos="360"/>
        </w:tabs>
        <w:spacing w:line="360" w:lineRule="auto"/>
        <w:ind w:left="0" w:firstLine="0"/>
        <w:rPr>
          <w:sz w:val="28"/>
          <w:szCs w:val="28"/>
        </w:rPr>
      </w:pPr>
      <w:r w:rsidRPr="007D28FB">
        <w:rPr>
          <w:sz w:val="28"/>
          <w:szCs w:val="28"/>
        </w:rPr>
        <w:t>Инструкция по анализу и контролю за финансовым состоянием и платежеспособностью субъектов предпринимательской деятельности (в ред. постановления Минфина, Минэкономики, Минстата от 27.04.2007 г. № 69/76/52).</w:t>
      </w:r>
      <w:bookmarkStart w:id="0" w:name="_GoBack"/>
      <w:bookmarkEnd w:id="0"/>
    </w:p>
    <w:sectPr w:rsidR="000450AD" w:rsidRPr="007D28FB" w:rsidSect="007D28FB">
      <w:headerReference w:type="even" r:id="rId10"/>
      <w:footerReference w:type="even" r:id="rId11"/>
      <w:pgSz w:w="11906" w:h="16838" w:code="9"/>
      <w:pgMar w:top="1134" w:right="851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E55" w:rsidRDefault="00566E55">
      <w:pPr>
        <w:widowControl/>
        <w:spacing w:line="360" w:lineRule="auto"/>
        <w:ind w:firstLine="0"/>
      </w:pPr>
      <w:r>
        <w:separator/>
      </w:r>
    </w:p>
  </w:endnote>
  <w:endnote w:type="continuationSeparator" w:id="0">
    <w:p w:rsidR="00566E55" w:rsidRDefault="00566E55">
      <w:pPr>
        <w:widowControl/>
        <w:spacing w:line="360" w:lineRule="auto"/>
        <w:ind w:firstLin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 Cond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8B" w:rsidRDefault="00B64A8B" w:rsidP="00D756BB">
    <w:pPr>
      <w:pStyle w:val="a8"/>
      <w:framePr w:wrap="around" w:vAnchor="text" w:hAnchor="margin" w:xAlign="center" w:y="1"/>
      <w:rPr>
        <w:rStyle w:val="a5"/>
      </w:rPr>
    </w:pPr>
  </w:p>
  <w:p w:rsidR="00B64A8B" w:rsidRDefault="00B64A8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E55" w:rsidRDefault="00566E55">
      <w:pPr>
        <w:widowControl/>
        <w:spacing w:line="360" w:lineRule="auto"/>
        <w:ind w:firstLine="0"/>
      </w:pPr>
      <w:r>
        <w:separator/>
      </w:r>
    </w:p>
  </w:footnote>
  <w:footnote w:type="continuationSeparator" w:id="0">
    <w:p w:rsidR="00566E55" w:rsidRDefault="00566E55">
      <w:pPr>
        <w:widowControl/>
        <w:spacing w:line="360" w:lineRule="auto"/>
        <w:ind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A8B" w:rsidRDefault="00B64A8B">
    <w:pPr>
      <w:pStyle w:val="a3"/>
      <w:framePr w:wrap="around" w:vAnchor="text" w:hAnchor="margin" w:xAlign="right" w:y="1"/>
      <w:rPr>
        <w:rStyle w:val="a5"/>
      </w:rPr>
    </w:pPr>
  </w:p>
  <w:p w:rsidR="00B64A8B" w:rsidRDefault="00B64A8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61A226C"/>
    <w:lvl w:ilvl="0">
      <w:numFmt w:val="bullet"/>
      <w:lvlText w:val="*"/>
      <w:lvlJc w:val="left"/>
    </w:lvl>
  </w:abstractNum>
  <w:abstractNum w:abstractNumId="1">
    <w:nsid w:val="02B74BA5"/>
    <w:multiLevelType w:val="hybridMultilevel"/>
    <w:tmpl w:val="DE54D45A"/>
    <w:lvl w:ilvl="0" w:tplc="B764F496">
      <w:start w:val="1"/>
      <w:numFmt w:val="decimal"/>
      <w:lvlText w:val="%1."/>
      <w:lvlJc w:val="left"/>
      <w:pPr>
        <w:tabs>
          <w:tab w:val="num" w:pos="1234"/>
        </w:tabs>
        <w:ind w:left="123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4"/>
        </w:tabs>
        <w:ind w:left="19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74"/>
        </w:tabs>
        <w:ind w:left="26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94"/>
        </w:tabs>
        <w:ind w:left="33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14"/>
        </w:tabs>
        <w:ind w:left="41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34"/>
        </w:tabs>
        <w:ind w:left="48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54"/>
        </w:tabs>
        <w:ind w:left="55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74"/>
        </w:tabs>
        <w:ind w:left="62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94"/>
        </w:tabs>
        <w:ind w:left="6994" w:hanging="180"/>
      </w:pPr>
      <w:rPr>
        <w:rFonts w:cs="Times New Roman"/>
      </w:rPr>
    </w:lvl>
  </w:abstractNum>
  <w:abstractNum w:abstractNumId="2">
    <w:nsid w:val="02D8348C"/>
    <w:multiLevelType w:val="singleLevel"/>
    <w:tmpl w:val="2526845A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60"/>
      </w:pPr>
      <w:rPr>
        <w:rFonts w:cs="Times New Roman" w:hint="default"/>
      </w:rPr>
    </w:lvl>
  </w:abstractNum>
  <w:abstractNum w:abstractNumId="3">
    <w:nsid w:val="051F1DAB"/>
    <w:multiLevelType w:val="singleLevel"/>
    <w:tmpl w:val="ABEC1B7E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5B3019E7"/>
    <w:multiLevelType w:val="singleLevel"/>
    <w:tmpl w:val="BB542B20"/>
    <w:lvl w:ilvl="0">
      <w:start w:val="1"/>
      <w:numFmt w:val="bullet"/>
      <w:lvlText w:val="-"/>
      <w:lvlJc w:val="left"/>
      <w:pPr>
        <w:tabs>
          <w:tab w:val="num" w:pos="732"/>
        </w:tabs>
        <w:ind w:left="732" w:hanging="432"/>
      </w:pPr>
      <w:rPr>
        <w:rFonts w:hint="default"/>
      </w:rPr>
    </w:lvl>
  </w:abstractNum>
  <w:abstractNum w:abstractNumId="5">
    <w:nsid w:val="615A07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6">
    <w:abstractNumId w:val="3"/>
  </w:num>
  <w:num w:numId="7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331"/>
    <w:rsid w:val="00005752"/>
    <w:rsid w:val="00021D78"/>
    <w:rsid w:val="000235D4"/>
    <w:rsid w:val="00025277"/>
    <w:rsid w:val="000267C4"/>
    <w:rsid w:val="000318F9"/>
    <w:rsid w:val="00041AC2"/>
    <w:rsid w:val="000450AD"/>
    <w:rsid w:val="0004783A"/>
    <w:rsid w:val="00050467"/>
    <w:rsid w:val="00050876"/>
    <w:rsid w:val="00050945"/>
    <w:rsid w:val="00074541"/>
    <w:rsid w:val="000835F3"/>
    <w:rsid w:val="00083B9C"/>
    <w:rsid w:val="00086D20"/>
    <w:rsid w:val="000951EF"/>
    <w:rsid w:val="00095537"/>
    <w:rsid w:val="000A0F05"/>
    <w:rsid w:val="000A222E"/>
    <w:rsid w:val="000A426D"/>
    <w:rsid w:val="000B09BF"/>
    <w:rsid w:val="000B7602"/>
    <w:rsid w:val="000B7D73"/>
    <w:rsid w:val="000C02E5"/>
    <w:rsid w:val="000C273D"/>
    <w:rsid w:val="000C28AD"/>
    <w:rsid w:val="000C32FF"/>
    <w:rsid w:val="000D2449"/>
    <w:rsid w:val="000D3822"/>
    <w:rsid w:val="000D496B"/>
    <w:rsid w:val="000D7CFB"/>
    <w:rsid w:val="000E3A28"/>
    <w:rsid w:val="000E505F"/>
    <w:rsid w:val="000E5A95"/>
    <w:rsid w:val="000F1C37"/>
    <w:rsid w:val="000F4775"/>
    <w:rsid w:val="00103396"/>
    <w:rsid w:val="00105CF3"/>
    <w:rsid w:val="00105D0B"/>
    <w:rsid w:val="0011174F"/>
    <w:rsid w:val="0011190B"/>
    <w:rsid w:val="00111DFB"/>
    <w:rsid w:val="00111E94"/>
    <w:rsid w:val="00114663"/>
    <w:rsid w:val="00115899"/>
    <w:rsid w:val="00115D80"/>
    <w:rsid w:val="00117768"/>
    <w:rsid w:val="00121344"/>
    <w:rsid w:val="00124322"/>
    <w:rsid w:val="001301CE"/>
    <w:rsid w:val="00141079"/>
    <w:rsid w:val="001422D5"/>
    <w:rsid w:val="0014234E"/>
    <w:rsid w:val="00150201"/>
    <w:rsid w:val="00155E9A"/>
    <w:rsid w:val="001602FE"/>
    <w:rsid w:val="001618A4"/>
    <w:rsid w:val="00165A8C"/>
    <w:rsid w:val="00167563"/>
    <w:rsid w:val="00183594"/>
    <w:rsid w:val="00183A21"/>
    <w:rsid w:val="00195D30"/>
    <w:rsid w:val="00195F25"/>
    <w:rsid w:val="001A34DA"/>
    <w:rsid w:val="001B34BE"/>
    <w:rsid w:val="001C2FA6"/>
    <w:rsid w:val="001D49E8"/>
    <w:rsid w:val="001E28F6"/>
    <w:rsid w:val="001E3373"/>
    <w:rsid w:val="001F5690"/>
    <w:rsid w:val="001F58B8"/>
    <w:rsid w:val="00201A1E"/>
    <w:rsid w:val="00212EDA"/>
    <w:rsid w:val="002157E3"/>
    <w:rsid w:val="002165B3"/>
    <w:rsid w:val="0022049D"/>
    <w:rsid w:val="00246DE0"/>
    <w:rsid w:val="00253393"/>
    <w:rsid w:val="00264355"/>
    <w:rsid w:val="00273921"/>
    <w:rsid w:val="00274B48"/>
    <w:rsid w:val="00277FB8"/>
    <w:rsid w:val="002849AF"/>
    <w:rsid w:val="00286219"/>
    <w:rsid w:val="00291592"/>
    <w:rsid w:val="00294733"/>
    <w:rsid w:val="00295017"/>
    <w:rsid w:val="00295179"/>
    <w:rsid w:val="0029597A"/>
    <w:rsid w:val="002A09F3"/>
    <w:rsid w:val="002A26A8"/>
    <w:rsid w:val="002A40B3"/>
    <w:rsid w:val="002B6328"/>
    <w:rsid w:val="002B7079"/>
    <w:rsid w:val="002C1996"/>
    <w:rsid w:val="002C3A25"/>
    <w:rsid w:val="002C797E"/>
    <w:rsid w:val="002D399A"/>
    <w:rsid w:val="002E0DC1"/>
    <w:rsid w:val="002E19B3"/>
    <w:rsid w:val="002E1A33"/>
    <w:rsid w:val="002F5749"/>
    <w:rsid w:val="002F5D10"/>
    <w:rsid w:val="00304075"/>
    <w:rsid w:val="003066A6"/>
    <w:rsid w:val="003127B1"/>
    <w:rsid w:val="0032403D"/>
    <w:rsid w:val="00324CBC"/>
    <w:rsid w:val="003251AC"/>
    <w:rsid w:val="003251CD"/>
    <w:rsid w:val="00330B23"/>
    <w:rsid w:val="00331FC6"/>
    <w:rsid w:val="00334BCB"/>
    <w:rsid w:val="003361BF"/>
    <w:rsid w:val="00340CF8"/>
    <w:rsid w:val="00345553"/>
    <w:rsid w:val="00354142"/>
    <w:rsid w:val="003606ED"/>
    <w:rsid w:val="00360916"/>
    <w:rsid w:val="003660C0"/>
    <w:rsid w:val="0037232E"/>
    <w:rsid w:val="00381A55"/>
    <w:rsid w:val="0038228C"/>
    <w:rsid w:val="003846C3"/>
    <w:rsid w:val="0038690C"/>
    <w:rsid w:val="003870C7"/>
    <w:rsid w:val="00390953"/>
    <w:rsid w:val="00392F59"/>
    <w:rsid w:val="00394450"/>
    <w:rsid w:val="00394670"/>
    <w:rsid w:val="003A239F"/>
    <w:rsid w:val="003A4CEE"/>
    <w:rsid w:val="003B0EA2"/>
    <w:rsid w:val="003B543C"/>
    <w:rsid w:val="003B5A27"/>
    <w:rsid w:val="003B621F"/>
    <w:rsid w:val="003B72A9"/>
    <w:rsid w:val="003C6538"/>
    <w:rsid w:val="003C66D9"/>
    <w:rsid w:val="003C72DE"/>
    <w:rsid w:val="003D1477"/>
    <w:rsid w:val="003D46BF"/>
    <w:rsid w:val="003D4A92"/>
    <w:rsid w:val="003D7B88"/>
    <w:rsid w:val="003E056D"/>
    <w:rsid w:val="003E1443"/>
    <w:rsid w:val="003E2948"/>
    <w:rsid w:val="003F0D56"/>
    <w:rsid w:val="003F19B2"/>
    <w:rsid w:val="003F4648"/>
    <w:rsid w:val="0040470C"/>
    <w:rsid w:val="004066CC"/>
    <w:rsid w:val="00410049"/>
    <w:rsid w:val="00412FEE"/>
    <w:rsid w:val="0041474F"/>
    <w:rsid w:val="0042432A"/>
    <w:rsid w:val="00425269"/>
    <w:rsid w:val="004336B9"/>
    <w:rsid w:val="00440739"/>
    <w:rsid w:val="00447887"/>
    <w:rsid w:val="004548B9"/>
    <w:rsid w:val="00456331"/>
    <w:rsid w:val="00456BC2"/>
    <w:rsid w:val="00464874"/>
    <w:rsid w:val="00474662"/>
    <w:rsid w:val="004808B6"/>
    <w:rsid w:val="0049133F"/>
    <w:rsid w:val="00495FAD"/>
    <w:rsid w:val="00497424"/>
    <w:rsid w:val="004A1A17"/>
    <w:rsid w:val="004A2187"/>
    <w:rsid w:val="004A6D81"/>
    <w:rsid w:val="004B2070"/>
    <w:rsid w:val="004B4D46"/>
    <w:rsid w:val="004B5CE6"/>
    <w:rsid w:val="004C0841"/>
    <w:rsid w:val="004C3DD5"/>
    <w:rsid w:val="004C4136"/>
    <w:rsid w:val="004C6CC5"/>
    <w:rsid w:val="004D0959"/>
    <w:rsid w:val="004D124B"/>
    <w:rsid w:val="004D1EBC"/>
    <w:rsid w:val="004E04CC"/>
    <w:rsid w:val="004E0598"/>
    <w:rsid w:val="004E1789"/>
    <w:rsid w:val="004E3D3E"/>
    <w:rsid w:val="004E5A34"/>
    <w:rsid w:val="004F27D0"/>
    <w:rsid w:val="004F2D45"/>
    <w:rsid w:val="0050327E"/>
    <w:rsid w:val="0051291D"/>
    <w:rsid w:val="005135DF"/>
    <w:rsid w:val="00513819"/>
    <w:rsid w:val="00514154"/>
    <w:rsid w:val="00516E96"/>
    <w:rsid w:val="0051788F"/>
    <w:rsid w:val="005207EE"/>
    <w:rsid w:val="00521F6D"/>
    <w:rsid w:val="00524CAB"/>
    <w:rsid w:val="00532B3F"/>
    <w:rsid w:val="0053796B"/>
    <w:rsid w:val="00543734"/>
    <w:rsid w:val="0054474E"/>
    <w:rsid w:val="00550D70"/>
    <w:rsid w:val="00556745"/>
    <w:rsid w:val="00560596"/>
    <w:rsid w:val="00566E55"/>
    <w:rsid w:val="00570AC1"/>
    <w:rsid w:val="0057116B"/>
    <w:rsid w:val="00571670"/>
    <w:rsid w:val="005724AD"/>
    <w:rsid w:val="005727DB"/>
    <w:rsid w:val="00575A15"/>
    <w:rsid w:val="00583C6E"/>
    <w:rsid w:val="00594399"/>
    <w:rsid w:val="005B1E9E"/>
    <w:rsid w:val="005B4DF9"/>
    <w:rsid w:val="005B54DB"/>
    <w:rsid w:val="005B72E9"/>
    <w:rsid w:val="005B7DF2"/>
    <w:rsid w:val="005C2938"/>
    <w:rsid w:val="005D67CF"/>
    <w:rsid w:val="005E2B3A"/>
    <w:rsid w:val="005E4C0C"/>
    <w:rsid w:val="005E607F"/>
    <w:rsid w:val="005F47BD"/>
    <w:rsid w:val="005F4D9C"/>
    <w:rsid w:val="005F5ED6"/>
    <w:rsid w:val="005F70A9"/>
    <w:rsid w:val="006039FB"/>
    <w:rsid w:val="0060738D"/>
    <w:rsid w:val="00610616"/>
    <w:rsid w:val="00615AAC"/>
    <w:rsid w:val="00620D45"/>
    <w:rsid w:val="006258A2"/>
    <w:rsid w:val="006263C1"/>
    <w:rsid w:val="00626E90"/>
    <w:rsid w:val="00627B05"/>
    <w:rsid w:val="00630867"/>
    <w:rsid w:val="00632DFB"/>
    <w:rsid w:val="00633732"/>
    <w:rsid w:val="00635C5D"/>
    <w:rsid w:val="00647785"/>
    <w:rsid w:val="00651109"/>
    <w:rsid w:val="0065439B"/>
    <w:rsid w:val="00656F94"/>
    <w:rsid w:val="00667C61"/>
    <w:rsid w:val="006711B3"/>
    <w:rsid w:val="00672D2A"/>
    <w:rsid w:val="00673CC4"/>
    <w:rsid w:val="0067450E"/>
    <w:rsid w:val="00674942"/>
    <w:rsid w:val="00677C38"/>
    <w:rsid w:val="00685565"/>
    <w:rsid w:val="00687E4A"/>
    <w:rsid w:val="00691383"/>
    <w:rsid w:val="00696064"/>
    <w:rsid w:val="00696827"/>
    <w:rsid w:val="00697EA9"/>
    <w:rsid w:val="006A6961"/>
    <w:rsid w:val="006B7887"/>
    <w:rsid w:val="006C0819"/>
    <w:rsid w:val="006C58A0"/>
    <w:rsid w:val="006D24DC"/>
    <w:rsid w:val="006D7FED"/>
    <w:rsid w:val="006E4401"/>
    <w:rsid w:val="006F12FA"/>
    <w:rsid w:val="006F35BC"/>
    <w:rsid w:val="006F4481"/>
    <w:rsid w:val="006F4A5A"/>
    <w:rsid w:val="006F715A"/>
    <w:rsid w:val="00710669"/>
    <w:rsid w:val="007109FB"/>
    <w:rsid w:val="007120DA"/>
    <w:rsid w:val="00712123"/>
    <w:rsid w:val="00714F89"/>
    <w:rsid w:val="00723F6C"/>
    <w:rsid w:val="0072452E"/>
    <w:rsid w:val="00726C93"/>
    <w:rsid w:val="007316EA"/>
    <w:rsid w:val="00731DB7"/>
    <w:rsid w:val="007416E7"/>
    <w:rsid w:val="007427BA"/>
    <w:rsid w:val="00745237"/>
    <w:rsid w:val="00750E70"/>
    <w:rsid w:val="007511C9"/>
    <w:rsid w:val="0075587E"/>
    <w:rsid w:val="00761E83"/>
    <w:rsid w:val="00765361"/>
    <w:rsid w:val="00766799"/>
    <w:rsid w:val="0077081D"/>
    <w:rsid w:val="007762B7"/>
    <w:rsid w:val="00777F83"/>
    <w:rsid w:val="00790B2B"/>
    <w:rsid w:val="0079347F"/>
    <w:rsid w:val="007947AF"/>
    <w:rsid w:val="00796748"/>
    <w:rsid w:val="007A37B0"/>
    <w:rsid w:val="007A4CE3"/>
    <w:rsid w:val="007A5B0F"/>
    <w:rsid w:val="007B087B"/>
    <w:rsid w:val="007B4FF6"/>
    <w:rsid w:val="007B5CFE"/>
    <w:rsid w:val="007C3DEF"/>
    <w:rsid w:val="007C4118"/>
    <w:rsid w:val="007C7378"/>
    <w:rsid w:val="007D109C"/>
    <w:rsid w:val="007D28FB"/>
    <w:rsid w:val="007D470B"/>
    <w:rsid w:val="007D4894"/>
    <w:rsid w:val="007D5070"/>
    <w:rsid w:val="007E69B7"/>
    <w:rsid w:val="007E7ABD"/>
    <w:rsid w:val="007F28A6"/>
    <w:rsid w:val="007F3F79"/>
    <w:rsid w:val="007F4E11"/>
    <w:rsid w:val="00806143"/>
    <w:rsid w:val="0080687B"/>
    <w:rsid w:val="00806EE5"/>
    <w:rsid w:val="00811D45"/>
    <w:rsid w:val="0082283A"/>
    <w:rsid w:val="0082309B"/>
    <w:rsid w:val="008231D8"/>
    <w:rsid w:val="00824079"/>
    <w:rsid w:val="00827B63"/>
    <w:rsid w:val="00833F9C"/>
    <w:rsid w:val="00834FA7"/>
    <w:rsid w:val="00842181"/>
    <w:rsid w:val="0084341B"/>
    <w:rsid w:val="0084540C"/>
    <w:rsid w:val="00851316"/>
    <w:rsid w:val="0086103A"/>
    <w:rsid w:val="008613EC"/>
    <w:rsid w:val="00865860"/>
    <w:rsid w:val="00872F97"/>
    <w:rsid w:val="00875A76"/>
    <w:rsid w:val="008806F4"/>
    <w:rsid w:val="00886586"/>
    <w:rsid w:val="00887B6B"/>
    <w:rsid w:val="00891399"/>
    <w:rsid w:val="0089359D"/>
    <w:rsid w:val="00894A33"/>
    <w:rsid w:val="008A1E16"/>
    <w:rsid w:val="008A2066"/>
    <w:rsid w:val="008B17A1"/>
    <w:rsid w:val="008B1A69"/>
    <w:rsid w:val="008B26F5"/>
    <w:rsid w:val="008B7893"/>
    <w:rsid w:val="008C125C"/>
    <w:rsid w:val="008D6A40"/>
    <w:rsid w:val="008D6DD8"/>
    <w:rsid w:val="008D6F17"/>
    <w:rsid w:val="008E068A"/>
    <w:rsid w:val="008F6370"/>
    <w:rsid w:val="008F736C"/>
    <w:rsid w:val="008F763F"/>
    <w:rsid w:val="00900224"/>
    <w:rsid w:val="00907B4E"/>
    <w:rsid w:val="0091271A"/>
    <w:rsid w:val="00921BBD"/>
    <w:rsid w:val="00923375"/>
    <w:rsid w:val="00934DE6"/>
    <w:rsid w:val="00936064"/>
    <w:rsid w:val="00940E63"/>
    <w:rsid w:val="0095007B"/>
    <w:rsid w:val="009579E1"/>
    <w:rsid w:val="009607C3"/>
    <w:rsid w:val="00962C41"/>
    <w:rsid w:val="00962D78"/>
    <w:rsid w:val="009644B4"/>
    <w:rsid w:val="00967BC8"/>
    <w:rsid w:val="00971191"/>
    <w:rsid w:val="00976684"/>
    <w:rsid w:val="009812C7"/>
    <w:rsid w:val="00984DCF"/>
    <w:rsid w:val="0098643B"/>
    <w:rsid w:val="009916C2"/>
    <w:rsid w:val="00991FD8"/>
    <w:rsid w:val="0099327B"/>
    <w:rsid w:val="009958C3"/>
    <w:rsid w:val="009B0782"/>
    <w:rsid w:val="009B1123"/>
    <w:rsid w:val="009B42B0"/>
    <w:rsid w:val="009B61B7"/>
    <w:rsid w:val="009B73D3"/>
    <w:rsid w:val="009C76CB"/>
    <w:rsid w:val="009D1E56"/>
    <w:rsid w:val="009D28E6"/>
    <w:rsid w:val="009E139A"/>
    <w:rsid w:val="009E5840"/>
    <w:rsid w:val="009E7467"/>
    <w:rsid w:val="00A00C53"/>
    <w:rsid w:val="00A05730"/>
    <w:rsid w:val="00A139F8"/>
    <w:rsid w:val="00A13E9A"/>
    <w:rsid w:val="00A24618"/>
    <w:rsid w:val="00A3644E"/>
    <w:rsid w:val="00A4039A"/>
    <w:rsid w:val="00A53800"/>
    <w:rsid w:val="00A605FC"/>
    <w:rsid w:val="00A722B0"/>
    <w:rsid w:val="00A747FD"/>
    <w:rsid w:val="00A74EA1"/>
    <w:rsid w:val="00A76D84"/>
    <w:rsid w:val="00A8288B"/>
    <w:rsid w:val="00A82BC7"/>
    <w:rsid w:val="00A8548E"/>
    <w:rsid w:val="00A908BF"/>
    <w:rsid w:val="00A914B2"/>
    <w:rsid w:val="00A93556"/>
    <w:rsid w:val="00A97123"/>
    <w:rsid w:val="00AA6598"/>
    <w:rsid w:val="00AA7808"/>
    <w:rsid w:val="00AB708B"/>
    <w:rsid w:val="00AC3993"/>
    <w:rsid w:val="00AC54AE"/>
    <w:rsid w:val="00AC7DF5"/>
    <w:rsid w:val="00AD1458"/>
    <w:rsid w:val="00AE0753"/>
    <w:rsid w:val="00AE1DB3"/>
    <w:rsid w:val="00AE2C0E"/>
    <w:rsid w:val="00AE4605"/>
    <w:rsid w:val="00AE7D1A"/>
    <w:rsid w:val="00AF11FA"/>
    <w:rsid w:val="00AF30C4"/>
    <w:rsid w:val="00AF4CCE"/>
    <w:rsid w:val="00AF5B6B"/>
    <w:rsid w:val="00AF7AC0"/>
    <w:rsid w:val="00AF7B4B"/>
    <w:rsid w:val="00B033BF"/>
    <w:rsid w:val="00B05DE2"/>
    <w:rsid w:val="00B10B4E"/>
    <w:rsid w:val="00B13369"/>
    <w:rsid w:val="00B15420"/>
    <w:rsid w:val="00B157E6"/>
    <w:rsid w:val="00B15F5E"/>
    <w:rsid w:val="00B24F72"/>
    <w:rsid w:val="00B27C0A"/>
    <w:rsid w:val="00B3041F"/>
    <w:rsid w:val="00B31068"/>
    <w:rsid w:val="00B31391"/>
    <w:rsid w:val="00B327D3"/>
    <w:rsid w:val="00B37ADF"/>
    <w:rsid w:val="00B410DC"/>
    <w:rsid w:val="00B43215"/>
    <w:rsid w:val="00B514A7"/>
    <w:rsid w:val="00B542C1"/>
    <w:rsid w:val="00B60F97"/>
    <w:rsid w:val="00B629CB"/>
    <w:rsid w:val="00B63F96"/>
    <w:rsid w:val="00B6408C"/>
    <w:rsid w:val="00B64A8B"/>
    <w:rsid w:val="00B65413"/>
    <w:rsid w:val="00B6745A"/>
    <w:rsid w:val="00B72E6A"/>
    <w:rsid w:val="00B75A84"/>
    <w:rsid w:val="00B773CA"/>
    <w:rsid w:val="00B84E8D"/>
    <w:rsid w:val="00B8686E"/>
    <w:rsid w:val="00B90850"/>
    <w:rsid w:val="00B9211D"/>
    <w:rsid w:val="00B96907"/>
    <w:rsid w:val="00BA45CB"/>
    <w:rsid w:val="00BA45F5"/>
    <w:rsid w:val="00BA69D0"/>
    <w:rsid w:val="00BB0631"/>
    <w:rsid w:val="00BB5C97"/>
    <w:rsid w:val="00BC096B"/>
    <w:rsid w:val="00BC70A9"/>
    <w:rsid w:val="00BD6583"/>
    <w:rsid w:val="00BE0842"/>
    <w:rsid w:val="00BE16D6"/>
    <w:rsid w:val="00BE2DA8"/>
    <w:rsid w:val="00BE37F5"/>
    <w:rsid w:val="00BF644E"/>
    <w:rsid w:val="00C03319"/>
    <w:rsid w:val="00C12206"/>
    <w:rsid w:val="00C24E54"/>
    <w:rsid w:val="00C26E69"/>
    <w:rsid w:val="00C31AF1"/>
    <w:rsid w:val="00C36E37"/>
    <w:rsid w:val="00C5132F"/>
    <w:rsid w:val="00C51385"/>
    <w:rsid w:val="00C53659"/>
    <w:rsid w:val="00C537C9"/>
    <w:rsid w:val="00C56175"/>
    <w:rsid w:val="00C645C4"/>
    <w:rsid w:val="00C65E18"/>
    <w:rsid w:val="00C66D27"/>
    <w:rsid w:val="00C66DBF"/>
    <w:rsid w:val="00C71F39"/>
    <w:rsid w:val="00C727D9"/>
    <w:rsid w:val="00C73CA0"/>
    <w:rsid w:val="00C742BF"/>
    <w:rsid w:val="00C76257"/>
    <w:rsid w:val="00C81135"/>
    <w:rsid w:val="00C86271"/>
    <w:rsid w:val="00C9027E"/>
    <w:rsid w:val="00C9095E"/>
    <w:rsid w:val="00C91BBF"/>
    <w:rsid w:val="00C945F5"/>
    <w:rsid w:val="00CA222B"/>
    <w:rsid w:val="00CA28F9"/>
    <w:rsid w:val="00CB3FB4"/>
    <w:rsid w:val="00CB6232"/>
    <w:rsid w:val="00CB6344"/>
    <w:rsid w:val="00CB6982"/>
    <w:rsid w:val="00CB7AA3"/>
    <w:rsid w:val="00CC36D3"/>
    <w:rsid w:val="00CC4FE8"/>
    <w:rsid w:val="00CC61E1"/>
    <w:rsid w:val="00CD177F"/>
    <w:rsid w:val="00CD2BCB"/>
    <w:rsid w:val="00CE09C3"/>
    <w:rsid w:val="00CE486B"/>
    <w:rsid w:val="00CE70CB"/>
    <w:rsid w:val="00D00A61"/>
    <w:rsid w:val="00D06A09"/>
    <w:rsid w:val="00D13F2A"/>
    <w:rsid w:val="00D164A2"/>
    <w:rsid w:val="00D17289"/>
    <w:rsid w:val="00D26A6F"/>
    <w:rsid w:val="00D26AF3"/>
    <w:rsid w:val="00D31684"/>
    <w:rsid w:val="00D3438B"/>
    <w:rsid w:val="00D43A39"/>
    <w:rsid w:val="00D46869"/>
    <w:rsid w:val="00D57F21"/>
    <w:rsid w:val="00D63A90"/>
    <w:rsid w:val="00D756BB"/>
    <w:rsid w:val="00D81FB7"/>
    <w:rsid w:val="00D85148"/>
    <w:rsid w:val="00D93709"/>
    <w:rsid w:val="00D93CBD"/>
    <w:rsid w:val="00D95E8E"/>
    <w:rsid w:val="00DA2494"/>
    <w:rsid w:val="00DA67AD"/>
    <w:rsid w:val="00DB3D3A"/>
    <w:rsid w:val="00DB73F6"/>
    <w:rsid w:val="00DC1D60"/>
    <w:rsid w:val="00DC50FB"/>
    <w:rsid w:val="00DC76E1"/>
    <w:rsid w:val="00DD36F6"/>
    <w:rsid w:val="00DD63A1"/>
    <w:rsid w:val="00DD6D53"/>
    <w:rsid w:val="00DE111C"/>
    <w:rsid w:val="00DE6F2C"/>
    <w:rsid w:val="00DF6AB6"/>
    <w:rsid w:val="00E0206C"/>
    <w:rsid w:val="00E14974"/>
    <w:rsid w:val="00E173A4"/>
    <w:rsid w:val="00E2290A"/>
    <w:rsid w:val="00E22D9B"/>
    <w:rsid w:val="00E25BA5"/>
    <w:rsid w:val="00E26471"/>
    <w:rsid w:val="00E26C90"/>
    <w:rsid w:val="00E26F1A"/>
    <w:rsid w:val="00E436AC"/>
    <w:rsid w:val="00E501BD"/>
    <w:rsid w:val="00E565BF"/>
    <w:rsid w:val="00E60AFA"/>
    <w:rsid w:val="00E60D67"/>
    <w:rsid w:val="00E62724"/>
    <w:rsid w:val="00E62AE3"/>
    <w:rsid w:val="00E70E51"/>
    <w:rsid w:val="00E765EA"/>
    <w:rsid w:val="00E83F9D"/>
    <w:rsid w:val="00E84C14"/>
    <w:rsid w:val="00E90F66"/>
    <w:rsid w:val="00E94167"/>
    <w:rsid w:val="00E958DE"/>
    <w:rsid w:val="00EB1436"/>
    <w:rsid w:val="00EB3D74"/>
    <w:rsid w:val="00EB60D4"/>
    <w:rsid w:val="00ED5ECA"/>
    <w:rsid w:val="00EE2C7B"/>
    <w:rsid w:val="00EE5484"/>
    <w:rsid w:val="00EE673F"/>
    <w:rsid w:val="00EE724C"/>
    <w:rsid w:val="00EF49DD"/>
    <w:rsid w:val="00EF697F"/>
    <w:rsid w:val="00EF70E8"/>
    <w:rsid w:val="00F00964"/>
    <w:rsid w:val="00F0652C"/>
    <w:rsid w:val="00F1151D"/>
    <w:rsid w:val="00F132D3"/>
    <w:rsid w:val="00F210BC"/>
    <w:rsid w:val="00F254AD"/>
    <w:rsid w:val="00F363E4"/>
    <w:rsid w:val="00F36C96"/>
    <w:rsid w:val="00F37840"/>
    <w:rsid w:val="00F40DEE"/>
    <w:rsid w:val="00F4215C"/>
    <w:rsid w:val="00F4390D"/>
    <w:rsid w:val="00F5362A"/>
    <w:rsid w:val="00F550D3"/>
    <w:rsid w:val="00F61713"/>
    <w:rsid w:val="00F662CC"/>
    <w:rsid w:val="00F66C8F"/>
    <w:rsid w:val="00F711AD"/>
    <w:rsid w:val="00F77B9C"/>
    <w:rsid w:val="00F80A0A"/>
    <w:rsid w:val="00F81C2D"/>
    <w:rsid w:val="00F9451C"/>
    <w:rsid w:val="00F95256"/>
    <w:rsid w:val="00F95AB9"/>
    <w:rsid w:val="00FA0748"/>
    <w:rsid w:val="00FB0F5D"/>
    <w:rsid w:val="00FB381B"/>
    <w:rsid w:val="00FB6C50"/>
    <w:rsid w:val="00FC00F0"/>
    <w:rsid w:val="00FC5EDE"/>
    <w:rsid w:val="00FC7AF4"/>
    <w:rsid w:val="00FD0DD5"/>
    <w:rsid w:val="00FD3E97"/>
    <w:rsid w:val="00FD428F"/>
    <w:rsid w:val="00FD551C"/>
    <w:rsid w:val="00FD732B"/>
    <w:rsid w:val="00FE204C"/>
    <w:rsid w:val="00FE425A"/>
    <w:rsid w:val="00FE461F"/>
    <w:rsid w:val="00FE5B54"/>
    <w:rsid w:val="00FF1A27"/>
    <w:rsid w:val="00FF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F361D1C8-87D5-4BF5-A457-97CC74507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F5ED6"/>
    <w:pPr>
      <w:widowControl w:val="0"/>
      <w:ind w:firstLine="30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line="360" w:lineRule="auto"/>
      <w:ind w:firstLine="0"/>
      <w:outlineLvl w:val="0"/>
    </w:pPr>
    <w:rPr>
      <w:sz w:val="28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spacing w:line="360" w:lineRule="auto"/>
      <w:ind w:right="282" w:firstLine="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widowControl/>
      <w:tabs>
        <w:tab w:val="center" w:pos="4153"/>
        <w:tab w:val="right" w:pos="8306"/>
      </w:tabs>
      <w:spacing w:line="360" w:lineRule="auto"/>
      <w:ind w:firstLine="0"/>
    </w:pPr>
  </w:style>
  <w:style w:type="character" w:customStyle="1" w:styleId="a4">
    <w:name w:val="Верхній колонтитул Знак"/>
    <w:link w:val="a3"/>
    <w:uiPriority w:val="99"/>
    <w:semiHidden/>
  </w:style>
  <w:style w:type="character" w:styleId="a5">
    <w:name w:val="page number"/>
    <w:uiPriority w:val="99"/>
    <w:rPr>
      <w:rFonts w:cs="Times New Roman"/>
    </w:rPr>
  </w:style>
  <w:style w:type="paragraph" w:styleId="a6">
    <w:name w:val="Body Text"/>
    <w:basedOn w:val="a"/>
    <w:link w:val="a7"/>
    <w:uiPriority w:val="99"/>
    <w:pPr>
      <w:widowControl/>
      <w:spacing w:line="360" w:lineRule="auto"/>
      <w:ind w:firstLine="0"/>
      <w:jc w:val="center"/>
    </w:pPr>
    <w:rPr>
      <w:b/>
      <w:sz w:val="28"/>
    </w:rPr>
  </w:style>
  <w:style w:type="character" w:customStyle="1" w:styleId="a7">
    <w:name w:val="Основний текст Знак"/>
    <w:link w:val="a6"/>
    <w:uiPriority w:val="99"/>
    <w:semiHidden/>
  </w:style>
  <w:style w:type="paragraph" w:styleId="21">
    <w:name w:val="Body Text 2"/>
    <w:basedOn w:val="a"/>
    <w:link w:val="22"/>
    <w:uiPriority w:val="99"/>
    <w:pPr>
      <w:widowControl/>
      <w:spacing w:line="360" w:lineRule="auto"/>
      <w:ind w:firstLine="0"/>
    </w:pPr>
    <w:rPr>
      <w:sz w:val="28"/>
    </w:rPr>
  </w:style>
  <w:style w:type="character" w:customStyle="1" w:styleId="22">
    <w:name w:val="Основний текст 2 Знак"/>
    <w:link w:val="21"/>
    <w:uiPriority w:val="99"/>
    <w:semiHidden/>
  </w:style>
  <w:style w:type="paragraph" w:styleId="a8">
    <w:name w:val="footer"/>
    <w:basedOn w:val="a"/>
    <w:link w:val="a9"/>
    <w:uiPriority w:val="99"/>
    <w:pPr>
      <w:widowControl/>
      <w:tabs>
        <w:tab w:val="center" w:pos="4677"/>
        <w:tab w:val="right" w:pos="9355"/>
      </w:tabs>
      <w:spacing w:line="360" w:lineRule="auto"/>
      <w:ind w:firstLine="0"/>
    </w:pPr>
  </w:style>
  <w:style w:type="character" w:customStyle="1" w:styleId="a9">
    <w:name w:val="Нижній колонтитул Знак"/>
    <w:link w:val="a8"/>
    <w:uiPriority w:val="99"/>
    <w:semiHidden/>
  </w:style>
  <w:style w:type="paragraph" w:styleId="3">
    <w:name w:val="Body Text 3"/>
    <w:basedOn w:val="a"/>
    <w:link w:val="30"/>
    <w:uiPriority w:val="99"/>
    <w:pPr>
      <w:widowControl/>
      <w:spacing w:line="360" w:lineRule="auto"/>
      <w:ind w:right="282" w:firstLine="0"/>
    </w:pPr>
    <w:rPr>
      <w:sz w:val="28"/>
    </w:rPr>
  </w:style>
  <w:style w:type="character" w:customStyle="1" w:styleId="30">
    <w:name w:val="Основний текст 3 Знак"/>
    <w:link w:val="3"/>
    <w:uiPriority w:val="99"/>
    <w:semiHidden/>
    <w:rPr>
      <w:sz w:val="16"/>
      <w:szCs w:val="16"/>
    </w:rPr>
  </w:style>
  <w:style w:type="table" w:styleId="aa">
    <w:name w:val="Table Grid"/>
    <w:basedOn w:val="a1"/>
    <w:uiPriority w:val="59"/>
    <w:rsid w:val="000E5A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rsid w:val="005F5ED6"/>
    <w:pPr>
      <w:widowControl/>
      <w:spacing w:after="120" w:line="360" w:lineRule="auto"/>
      <w:ind w:left="283" w:firstLine="0"/>
    </w:pPr>
  </w:style>
  <w:style w:type="character" w:customStyle="1" w:styleId="ac">
    <w:name w:val="Основний текст з відступом Знак"/>
    <w:link w:val="ab"/>
    <w:uiPriority w:val="99"/>
    <w:semiHidden/>
  </w:style>
  <w:style w:type="paragraph" w:styleId="23">
    <w:name w:val="Body Text Indent 2"/>
    <w:basedOn w:val="a"/>
    <w:link w:val="24"/>
    <w:uiPriority w:val="99"/>
    <w:rsid w:val="005F5ED6"/>
    <w:pPr>
      <w:widowControl/>
      <w:spacing w:after="120" w:line="480" w:lineRule="auto"/>
      <w:ind w:left="283" w:firstLine="0"/>
    </w:pPr>
  </w:style>
  <w:style w:type="character" w:customStyle="1" w:styleId="24">
    <w:name w:val="Основний текст з відступом 2 Знак"/>
    <w:link w:val="23"/>
    <w:uiPriority w:val="99"/>
    <w:semiHidden/>
  </w:style>
  <w:style w:type="paragraph" w:styleId="31">
    <w:name w:val="Body Text Indent 3"/>
    <w:basedOn w:val="a"/>
    <w:link w:val="32"/>
    <w:uiPriority w:val="99"/>
    <w:rsid w:val="005F5ED6"/>
    <w:pPr>
      <w:widowControl/>
      <w:spacing w:after="120" w:line="360" w:lineRule="auto"/>
      <w:ind w:left="283" w:firstLine="0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customStyle="1" w:styleId="Style4">
    <w:name w:val="Style4"/>
    <w:basedOn w:val="a"/>
    <w:rsid w:val="00E90F66"/>
    <w:pPr>
      <w:autoSpaceDE w:val="0"/>
      <w:autoSpaceDN w:val="0"/>
      <w:adjustRightInd w:val="0"/>
      <w:spacing w:line="245" w:lineRule="exact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5">
    <w:name w:val="Style5"/>
    <w:basedOn w:val="a"/>
    <w:rsid w:val="00E90F66"/>
    <w:pPr>
      <w:autoSpaceDE w:val="0"/>
      <w:autoSpaceDN w:val="0"/>
      <w:adjustRightInd w:val="0"/>
      <w:spacing w:line="245" w:lineRule="exact"/>
      <w:ind w:firstLine="336"/>
    </w:pPr>
    <w:rPr>
      <w:rFonts w:ascii="Franklin Gothic Medium Cond" w:hAnsi="Franklin Gothic Medium Cond"/>
      <w:sz w:val="24"/>
      <w:szCs w:val="24"/>
    </w:rPr>
  </w:style>
  <w:style w:type="paragraph" w:customStyle="1" w:styleId="Style6">
    <w:name w:val="Style6"/>
    <w:basedOn w:val="a"/>
    <w:rsid w:val="00E90F66"/>
    <w:pPr>
      <w:autoSpaceDE w:val="0"/>
      <w:autoSpaceDN w:val="0"/>
      <w:adjustRightInd w:val="0"/>
      <w:spacing w:line="360" w:lineRule="auto"/>
      <w:ind w:firstLine="0"/>
    </w:pPr>
    <w:rPr>
      <w:rFonts w:ascii="Franklin Gothic Medium Cond" w:hAnsi="Franklin Gothic Medium Cond"/>
      <w:sz w:val="24"/>
      <w:szCs w:val="24"/>
    </w:rPr>
  </w:style>
  <w:style w:type="paragraph" w:customStyle="1" w:styleId="Style9">
    <w:name w:val="Style9"/>
    <w:basedOn w:val="a"/>
    <w:rsid w:val="00E90F66"/>
    <w:pPr>
      <w:autoSpaceDE w:val="0"/>
      <w:autoSpaceDN w:val="0"/>
      <w:adjustRightInd w:val="0"/>
      <w:spacing w:line="202" w:lineRule="exact"/>
      <w:ind w:firstLine="0"/>
      <w:jc w:val="center"/>
    </w:pPr>
    <w:rPr>
      <w:rFonts w:ascii="Franklin Gothic Medium Cond" w:hAnsi="Franklin Gothic Medium Cond"/>
      <w:sz w:val="24"/>
      <w:szCs w:val="24"/>
    </w:rPr>
  </w:style>
  <w:style w:type="character" w:customStyle="1" w:styleId="FontStyle14">
    <w:name w:val="Font Style14"/>
    <w:rsid w:val="00E90F66"/>
    <w:rPr>
      <w:rFonts w:ascii="Franklin Gothic Medium Cond" w:hAnsi="Franklin Gothic Medium Cond" w:cs="Franklin Gothic Medium Cond"/>
      <w:sz w:val="18"/>
      <w:szCs w:val="18"/>
    </w:rPr>
  </w:style>
  <w:style w:type="character" w:customStyle="1" w:styleId="FontStyle15">
    <w:name w:val="Font Style15"/>
    <w:rsid w:val="00E90F66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6">
    <w:name w:val="Font Style16"/>
    <w:rsid w:val="00E90F66"/>
    <w:rPr>
      <w:rFonts w:ascii="Times New Roman" w:hAnsi="Times New Roman" w:cs="Times New Roman"/>
      <w:sz w:val="20"/>
      <w:szCs w:val="20"/>
    </w:rPr>
  </w:style>
  <w:style w:type="paragraph" w:customStyle="1" w:styleId="ad">
    <w:name w:val="Знак Знак Знак Знак"/>
    <w:basedOn w:val="a"/>
    <w:rsid w:val="00CB6232"/>
    <w:pPr>
      <w:pageBreakBefore/>
      <w:widowControl/>
      <w:spacing w:after="160" w:line="360" w:lineRule="auto"/>
      <w:ind w:firstLine="0"/>
    </w:pPr>
    <w:rPr>
      <w:sz w:val="28"/>
      <w:lang w:val="en-US" w:eastAsia="en-US"/>
    </w:rPr>
  </w:style>
  <w:style w:type="character" w:styleId="ae">
    <w:name w:val="Hyperlink"/>
    <w:uiPriority w:val="99"/>
    <w:rsid w:val="005E4C0C"/>
    <w:rPr>
      <w:rFonts w:cs="Times New Roman"/>
      <w:color w:val="0000FF"/>
      <w:u w:val="single"/>
    </w:rPr>
  </w:style>
  <w:style w:type="character" w:customStyle="1" w:styleId="FontStyle20">
    <w:name w:val="Font Style20"/>
    <w:rsid w:val="00115D80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115D80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C645C4"/>
    <w:pPr>
      <w:autoSpaceDE w:val="0"/>
      <w:autoSpaceDN w:val="0"/>
      <w:adjustRightInd w:val="0"/>
      <w:spacing w:line="281" w:lineRule="exact"/>
      <w:ind w:firstLine="0"/>
    </w:pPr>
    <w:rPr>
      <w:sz w:val="24"/>
      <w:szCs w:val="24"/>
    </w:rPr>
  </w:style>
  <w:style w:type="paragraph" w:customStyle="1" w:styleId="Style10">
    <w:name w:val="Style10"/>
    <w:basedOn w:val="a"/>
    <w:rsid w:val="00550D70"/>
    <w:pPr>
      <w:autoSpaceDE w:val="0"/>
      <w:autoSpaceDN w:val="0"/>
      <w:adjustRightInd w:val="0"/>
      <w:spacing w:line="360" w:lineRule="auto"/>
      <w:ind w:firstLine="0"/>
    </w:pPr>
    <w:rPr>
      <w:sz w:val="24"/>
      <w:szCs w:val="24"/>
    </w:rPr>
  </w:style>
  <w:style w:type="paragraph" w:customStyle="1" w:styleId="Style12">
    <w:name w:val="Style12"/>
    <w:basedOn w:val="a"/>
    <w:rsid w:val="00550D70"/>
    <w:pPr>
      <w:autoSpaceDE w:val="0"/>
      <w:autoSpaceDN w:val="0"/>
      <w:adjustRightInd w:val="0"/>
      <w:spacing w:line="360" w:lineRule="auto"/>
      <w:ind w:firstLine="0"/>
    </w:pPr>
    <w:rPr>
      <w:sz w:val="24"/>
      <w:szCs w:val="24"/>
    </w:rPr>
  </w:style>
  <w:style w:type="paragraph" w:customStyle="1" w:styleId="Style13">
    <w:name w:val="Style13"/>
    <w:basedOn w:val="a"/>
    <w:rsid w:val="00550D70"/>
    <w:pPr>
      <w:autoSpaceDE w:val="0"/>
      <w:autoSpaceDN w:val="0"/>
      <w:adjustRightInd w:val="0"/>
      <w:spacing w:line="292" w:lineRule="exact"/>
      <w:ind w:firstLine="427"/>
    </w:pPr>
    <w:rPr>
      <w:sz w:val="24"/>
      <w:szCs w:val="24"/>
    </w:rPr>
  </w:style>
  <w:style w:type="paragraph" w:customStyle="1" w:styleId="Style14">
    <w:name w:val="Style14"/>
    <w:basedOn w:val="a"/>
    <w:rsid w:val="00550D70"/>
    <w:pPr>
      <w:autoSpaceDE w:val="0"/>
      <w:autoSpaceDN w:val="0"/>
      <w:adjustRightInd w:val="0"/>
      <w:spacing w:line="298" w:lineRule="exact"/>
      <w:ind w:firstLine="0"/>
    </w:pPr>
    <w:rPr>
      <w:sz w:val="24"/>
      <w:szCs w:val="24"/>
    </w:rPr>
  </w:style>
  <w:style w:type="paragraph" w:customStyle="1" w:styleId="Style15">
    <w:name w:val="Style15"/>
    <w:basedOn w:val="a"/>
    <w:rsid w:val="00550D70"/>
    <w:pPr>
      <w:autoSpaceDE w:val="0"/>
      <w:autoSpaceDN w:val="0"/>
      <w:adjustRightInd w:val="0"/>
      <w:spacing w:line="360" w:lineRule="auto"/>
      <w:ind w:firstLine="0"/>
    </w:pPr>
    <w:rPr>
      <w:sz w:val="24"/>
      <w:szCs w:val="24"/>
    </w:rPr>
  </w:style>
  <w:style w:type="paragraph" w:customStyle="1" w:styleId="Style16">
    <w:name w:val="Style16"/>
    <w:basedOn w:val="a"/>
    <w:rsid w:val="00550D70"/>
    <w:pPr>
      <w:autoSpaceDE w:val="0"/>
      <w:autoSpaceDN w:val="0"/>
      <w:adjustRightInd w:val="0"/>
      <w:spacing w:line="360" w:lineRule="auto"/>
      <w:ind w:firstLine="0"/>
    </w:pPr>
    <w:rPr>
      <w:sz w:val="24"/>
      <w:szCs w:val="24"/>
    </w:rPr>
  </w:style>
  <w:style w:type="paragraph" w:customStyle="1" w:styleId="Style17">
    <w:name w:val="Style17"/>
    <w:basedOn w:val="a"/>
    <w:rsid w:val="00550D70"/>
    <w:pPr>
      <w:autoSpaceDE w:val="0"/>
      <w:autoSpaceDN w:val="0"/>
      <w:adjustRightInd w:val="0"/>
      <w:spacing w:line="360" w:lineRule="auto"/>
      <w:ind w:firstLine="0"/>
    </w:pPr>
    <w:rPr>
      <w:sz w:val="24"/>
      <w:szCs w:val="24"/>
    </w:rPr>
  </w:style>
  <w:style w:type="paragraph" w:customStyle="1" w:styleId="Style18">
    <w:name w:val="Style18"/>
    <w:basedOn w:val="a"/>
    <w:rsid w:val="00550D70"/>
    <w:pPr>
      <w:autoSpaceDE w:val="0"/>
      <w:autoSpaceDN w:val="0"/>
      <w:adjustRightInd w:val="0"/>
      <w:spacing w:line="283" w:lineRule="exact"/>
      <w:ind w:firstLine="427"/>
    </w:pPr>
    <w:rPr>
      <w:sz w:val="24"/>
      <w:szCs w:val="24"/>
    </w:rPr>
  </w:style>
  <w:style w:type="character" w:customStyle="1" w:styleId="FontStyle26">
    <w:name w:val="Font Style26"/>
    <w:rsid w:val="00550D70"/>
    <w:rPr>
      <w:rFonts w:ascii="Times New Roman" w:hAnsi="Times New Roman" w:cs="Times New Roman"/>
      <w:b/>
      <w:bCs/>
      <w:spacing w:val="70"/>
      <w:sz w:val="24"/>
      <w:szCs w:val="24"/>
    </w:rPr>
  </w:style>
  <w:style w:type="character" w:customStyle="1" w:styleId="FontStyle30">
    <w:name w:val="Font Style30"/>
    <w:rsid w:val="00550D70"/>
    <w:rPr>
      <w:rFonts w:ascii="Times New Roman" w:hAnsi="Times New Roman" w:cs="Times New Roman"/>
      <w:i/>
      <w:iCs/>
      <w:spacing w:val="60"/>
      <w:sz w:val="22"/>
      <w:szCs w:val="22"/>
    </w:rPr>
  </w:style>
  <w:style w:type="character" w:customStyle="1" w:styleId="FontStyle31">
    <w:name w:val="Font Style31"/>
    <w:rsid w:val="00550D70"/>
    <w:rPr>
      <w:rFonts w:ascii="Times New Roman" w:hAnsi="Times New Roman" w:cs="Times New Roman"/>
      <w:smallCaps/>
      <w:spacing w:val="10"/>
      <w:sz w:val="20"/>
      <w:szCs w:val="20"/>
    </w:rPr>
  </w:style>
  <w:style w:type="character" w:customStyle="1" w:styleId="FontStyle32">
    <w:name w:val="Font Style32"/>
    <w:rsid w:val="00550D70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3">
    <w:name w:val="Font Style33"/>
    <w:rsid w:val="00550D70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34">
    <w:name w:val="Font Style34"/>
    <w:rsid w:val="00550D7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rsid w:val="00550D70"/>
    <w:rPr>
      <w:rFonts w:ascii="Times New Roman" w:hAnsi="Times New Roman" w:cs="Times New Roman"/>
      <w:sz w:val="22"/>
      <w:szCs w:val="22"/>
    </w:rPr>
  </w:style>
  <w:style w:type="character" w:customStyle="1" w:styleId="FontStyle36">
    <w:name w:val="Font Style36"/>
    <w:rsid w:val="00550D70"/>
    <w:rPr>
      <w:rFonts w:ascii="Times New Roman" w:hAnsi="Times New Roman" w:cs="Times New Roman"/>
      <w:sz w:val="18"/>
      <w:szCs w:val="18"/>
    </w:rPr>
  </w:style>
  <w:style w:type="character" w:customStyle="1" w:styleId="FontStyle37">
    <w:name w:val="Font Style37"/>
    <w:rsid w:val="00550D70"/>
    <w:rPr>
      <w:rFonts w:ascii="Times New Roman" w:hAnsi="Times New Roman" w:cs="Times New Roman"/>
      <w:sz w:val="20"/>
      <w:szCs w:val="20"/>
    </w:rPr>
  </w:style>
  <w:style w:type="character" w:customStyle="1" w:styleId="FontStyle38">
    <w:name w:val="Font Style38"/>
    <w:rsid w:val="00550D70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39">
    <w:name w:val="Font Style39"/>
    <w:rsid w:val="00550D70"/>
    <w:rPr>
      <w:rFonts w:ascii="Times New Roman" w:hAnsi="Times New Roman" w:cs="Times New Roman"/>
      <w:smallCaps/>
      <w:spacing w:val="10"/>
      <w:sz w:val="16"/>
      <w:szCs w:val="16"/>
    </w:rPr>
  </w:style>
  <w:style w:type="character" w:customStyle="1" w:styleId="FontStyle40">
    <w:name w:val="Font Style40"/>
    <w:rsid w:val="00550D70"/>
    <w:rPr>
      <w:rFonts w:ascii="Times New Roman" w:hAnsi="Times New Roman" w:cs="Times New Roman"/>
      <w:smallCaps/>
      <w:spacing w:val="10"/>
      <w:sz w:val="20"/>
      <w:szCs w:val="20"/>
    </w:rPr>
  </w:style>
  <w:style w:type="character" w:customStyle="1" w:styleId="FontStyle75">
    <w:name w:val="Font Style75"/>
    <w:rsid w:val="00DE111C"/>
    <w:rPr>
      <w:rFonts w:ascii="Corbel" w:hAnsi="Corbel" w:cs="Corbel"/>
      <w:spacing w:val="-10"/>
      <w:sz w:val="22"/>
      <w:szCs w:val="22"/>
    </w:rPr>
  </w:style>
  <w:style w:type="character" w:customStyle="1" w:styleId="FontStyle80">
    <w:name w:val="Font Style80"/>
    <w:rsid w:val="00DE111C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DE111C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74">
    <w:name w:val="Font Style74"/>
    <w:rsid w:val="000A222E"/>
    <w:rPr>
      <w:rFonts w:ascii="Times New Roman" w:hAnsi="Times New Roman" w:cs="Times New Roman"/>
      <w:i/>
      <w:iCs/>
      <w:spacing w:val="30"/>
      <w:sz w:val="18"/>
      <w:szCs w:val="18"/>
    </w:rPr>
  </w:style>
  <w:style w:type="character" w:customStyle="1" w:styleId="FontStyle86">
    <w:name w:val="Font Style86"/>
    <w:rsid w:val="000A222E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name">
    <w:name w:val="name"/>
    <w:rsid w:val="008613EC"/>
    <w:rPr>
      <w:rFonts w:cs="Times New Roman"/>
    </w:rPr>
  </w:style>
  <w:style w:type="paragraph" w:customStyle="1" w:styleId="Style11">
    <w:name w:val="Style11"/>
    <w:basedOn w:val="a"/>
    <w:rsid w:val="00632DFB"/>
    <w:pPr>
      <w:autoSpaceDE w:val="0"/>
      <w:autoSpaceDN w:val="0"/>
      <w:adjustRightInd w:val="0"/>
      <w:spacing w:line="254" w:lineRule="exact"/>
      <w:ind w:hanging="317"/>
    </w:pPr>
    <w:rPr>
      <w:sz w:val="24"/>
      <w:szCs w:val="24"/>
    </w:rPr>
  </w:style>
  <w:style w:type="character" w:customStyle="1" w:styleId="FontStyle18">
    <w:name w:val="Font Style18"/>
    <w:rsid w:val="00632DFB"/>
    <w:rPr>
      <w:rFonts w:ascii="Times New Roman" w:hAnsi="Times New Roman" w:cs="Times New Roman"/>
      <w:spacing w:val="3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 </Company>
  <LinksUpToDate>false</LinksUpToDate>
  <CharactersWithSpaces>7212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Пользователь</dc:creator>
  <cp:keywords/>
  <dc:description/>
  <cp:lastModifiedBy>Irina</cp:lastModifiedBy>
  <cp:revision>2</cp:revision>
  <dcterms:created xsi:type="dcterms:W3CDTF">2014-08-10T19:56:00Z</dcterms:created>
  <dcterms:modified xsi:type="dcterms:W3CDTF">2014-08-10T19:56:00Z</dcterms:modified>
</cp:coreProperties>
</file>