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E77" w:rsidRPr="00B649EB" w:rsidRDefault="00B37E77" w:rsidP="00B649EB">
      <w:pPr>
        <w:widowControl/>
        <w:suppressAutoHyphens/>
        <w:spacing w:line="360" w:lineRule="auto"/>
        <w:ind w:firstLine="709"/>
        <w:jc w:val="center"/>
        <w:rPr>
          <w:caps/>
          <w:sz w:val="28"/>
          <w:szCs w:val="28"/>
          <w:lang w:val="uk-UA"/>
        </w:rPr>
      </w:pP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center"/>
        <w:rPr>
          <w:caps/>
          <w:sz w:val="28"/>
          <w:szCs w:val="28"/>
          <w:lang w:val="uk-UA"/>
        </w:rPr>
      </w:pP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center"/>
        <w:rPr>
          <w:caps/>
          <w:sz w:val="28"/>
          <w:szCs w:val="28"/>
          <w:lang w:val="uk-UA"/>
        </w:rPr>
      </w:pP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center"/>
        <w:rPr>
          <w:caps/>
          <w:sz w:val="28"/>
          <w:szCs w:val="28"/>
          <w:lang w:val="uk-UA"/>
        </w:rPr>
      </w:pP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center"/>
        <w:rPr>
          <w:caps/>
          <w:sz w:val="28"/>
          <w:szCs w:val="28"/>
          <w:lang w:val="uk-UA"/>
        </w:rPr>
      </w:pP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center"/>
        <w:rPr>
          <w:caps/>
          <w:sz w:val="28"/>
          <w:szCs w:val="28"/>
          <w:lang w:val="uk-UA"/>
        </w:rPr>
      </w:pP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center"/>
        <w:rPr>
          <w:caps/>
          <w:sz w:val="28"/>
          <w:szCs w:val="28"/>
          <w:lang w:val="uk-UA"/>
        </w:rPr>
      </w:pP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center"/>
        <w:rPr>
          <w:caps/>
          <w:sz w:val="28"/>
          <w:szCs w:val="28"/>
          <w:lang w:val="uk-UA"/>
        </w:rPr>
      </w:pPr>
    </w:p>
    <w:p w:rsidR="00B37E77" w:rsidRDefault="00B37E77" w:rsidP="00B649EB">
      <w:pPr>
        <w:widowControl/>
        <w:suppressAutoHyphens/>
        <w:spacing w:line="360" w:lineRule="auto"/>
        <w:ind w:firstLine="709"/>
        <w:jc w:val="center"/>
        <w:rPr>
          <w:caps/>
          <w:sz w:val="28"/>
          <w:szCs w:val="28"/>
          <w:lang w:val="en-US"/>
        </w:rPr>
      </w:pPr>
    </w:p>
    <w:p w:rsidR="00B649EB" w:rsidRDefault="00B649EB" w:rsidP="00B649EB">
      <w:pPr>
        <w:widowControl/>
        <w:suppressAutoHyphens/>
        <w:spacing w:line="360" w:lineRule="auto"/>
        <w:ind w:firstLine="709"/>
        <w:jc w:val="center"/>
        <w:rPr>
          <w:caps/>
          <w:sz w:val="28"/>
          <w:szCs w:val="28"/>
          <w:lang w:val="en-US"/>
        </w:rPr>
      </w:pPr>
    </w:p>
    <w:p w:rsidR="00B649EB" w:rsidRDefault="00B649EB" w:rsidP="00B649EB">
      <w:pPr>
        <w:widowControl/>
        <w:suppressAutoHyphens/>
        <w:spacing w:line="360" w:lineRule="auto"/>
        <w:ind w:firstLine="709"/>
        <w:jc w:val="center"/>
        <w:rPr>
          <w:caps/>
          <w:sz w:val="28"/>
          <w:szCs w:val="28"/>
          <w:lang w:val="en-US"/>
        </w:rPr>
      </w:pPr>
    </w:p>
    <w:p w:rsidR="00B649EB" w:rsidRPr="00B649EB" w:rsidRDefault="00B649EB" w:rsidP="00B649EB">
      <w:pPr>
        <w:widowControl/>
        <w:suppressAutoHyphens/>
        <w:spacing w:line="360" w:lineRule="auto"/>
        <w:ind w:firstLine="709"/>
        <w:jc w:val="center"/>
        <w:rPr>
          <w:caps/>
          <w:sz w:val="28"/>
          <w:szCs w:val="28"/>
          <w:lang w:val="en-US"/>
        </w:rPr>
      </w:pP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center"/>
        <w:rPr>
          <w:caps/>
          <w:sz w:val="28"/>
          <w:szCs w:val="28"/>
          <w:lang w:val="uk-UA"/>
        </w:rPr>
      </w:pPr>
    </w:p>
    <w:p w:rsidR="00EF4175" w:rsidRPr="00B649EB" w:rsidRDefault="00EF4175" w:rsidP="00B649EB">
      <w:pPr>
        <w:widowControl/>
        <w:suppressAutoHyphens/>
        <w:spacing w:line="360" w:lineRule="auto"/>
        <w:ind w:firstLine="709"/>
        <w:jc w:val="center"/>
        <w:rPr>
          <w:caps/>
          <w:sz w:val="28"/>
          <w:szCs w:val="28"/>
        </w:rPr>
      </w:pPr>
      <w:r w:rsidRPr="00B649EB">
        <w:rPr>
          <w:caps/>
          <w:sz w:val="28"/>
          <w:szCs w:val="28"/>
        </w:rPr>
        <w:t>Государственная поддержка как основа повышения конкурентоспособности предприятий АПК</w:t>
      </w: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EF4175" w:rsidRPr="00B649EB" w:rsidRDefault="00B649EB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F4175" w:rsidRPr="00B649EB">
        <w:rPr>
          <w:sz w:val="28"/>
          <w:szCs w:val="28"/>
        </w:rPr>
        <w:t>Можно смело утверждать, что агропромышленный комплекс производит жизненно важную для общества продукцию, кроме того, в нем сосредоточен огромный экономический потенциал, что делает АПК важнейшей составной частью экономики. Следовательно, развитие агропромышленного комплекса, в значительной мере, определяет состояние всего народнохозяйственного потенциала, уровень продовольственной безопасности государства и социально-экономическую обстановку в обществе.</w:t>
      </w:r>
    </w:p>
    <w:p w:rsidR="00EF4175" w:rsidRP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Сельское хозяйство является важнейшим звеном агропромышленного комплекса. Оно по праву занимает особое место не только в агропромышленном комплексе, но и во всем народном хозяйстве, так как спрос населения на товары народного потребления примерно на 75 % покрывается за счет сельского хозяйства. Другими словами, чем выше эффективность функционирования сельского хозяйства, тем стабильнее экономика страны в целом.</w:t>
      </w:r>
    </w:p>
    <w:p w:rsid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Факторы, определяющие эффективность агропромышленного комплекса, подразделяются на две группы: внешние и внутренние.</w:t>
      </w:r>
    </w:p>
    <w:p w:rsid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К внешним факторам относятся факторы, не зависящие от хозяйственной деятельности предприятия, такие как кредитование, ценообразование, налогообложение, субсидирование, инфляционные процессы, аграрное законодательство и др.</w:t>
      </w:r>
    </w:p>
    <w:p w:rsidR="00FC7EA0" w:rsidRP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К внутренним факторам относится урожайность сельскохозяйственных культур, продуктивность животных, себестоимость продукции, специализация, технология и организация производства и т. д.</w:t>
      </w:r>
    </w:p>
    <w:p w:rsid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Эффективность сельскохозяйственною производства во многом зависит от факторов первой группы.</w:t>
      </w:r>
    </w:p>
    <w:p w:rsid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 xml:space="preserve">Следовательно, говорить об уровне экономической эффективности можно только при условии отлаженного </w:t>
      </w:r>
      <w:r w:rsidR="003A6563">
        <w:rPr>
          <w:sz w:val="28"/>
          <w:szCs w:val="28"/>
        </w:rPr>
        <w:t>эк</w:t>
      </w:r>
      <w:r w:rsidRPr="00B649EB">
        <w:rPr>
          <w:sz w:val="28"/>
          <w:szCs w:val="28"/>
        </w:rPr>
        <w:t>ономического механизма в целом. Остановимся более подробно на одном из составляющих первой группы факторов, а именно на субсидировании. Данный выбор обусловлен существенными отличиями сельскохозяйственного производства от других секторов экономики и заключается в том, что сельское хозяйство менее эффективно по сравнению с ними.</w:t>
      </w:r>
    </w:p>
    <w:p w:rsid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Это объясняется тем, что вложенный в него капитал приносит меньшую прибыль, и поэтому сельское хозяйство не в состоянии на равных, по сравнению с промышленностью, участвовать в межотраслевой конкуренции без внешней поддержки.</w:t>
      </w:r>
    </w:p>
    <w:p w:rsid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Кроме того, в силу своих особенностей сельское хозяйство не в состоянии оперативно реагировать на изменения рынка. При повышении спроса на сельхозпродукцию хозяйства не могут быстро отреагировать на изменения рынка и увеличить выпуск продукции, так как существует ряд ограничений по увеличению темпов роста сельхозпроизводства. Нельзя быстро увеличить площадь обрабатываемых земель, даже при условии увеличения инвестиций.</w:t>
      </w:r>
    </w:p>
    <w:p w:rsid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Также не возможен мгновенный рост поголовья скота, особенного маточкою, который связан с довольно длительным сроком выращивания. Ситуация аналогична и при падении спроса на продукцию сельского хозяйства. Так. например, невозможно сократить площади и производство сельскохозяйственных культур, если уже произведены посевные работы, без ущерба для хозяйства.</w:t>
      </w:r>
    </w:p>
    <w:p w:rsid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Или существенно сократить производство молока и мяса без сокращения поголовья скота. Следовательно, сельскохозяйственное производство сможет отреагировать на изменения рынка только через определенный промежуток времени.</w:t>
      </w:r>
    </w:p>
    <w:p w:rsid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Кроме того, из-за описанных особенностей сельское хозяйство теряет привлекательность для инвесторов.</w:t>
      </w:r>
    </w:p>
    <w:p w:rsid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Сезонный характер производства и высокая фондоемкость: зависимость от природно-климатических условий: нестабильность в получении доходов;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неновая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не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эластичность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спроса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на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многие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продукты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сельского хозяйства; разница во времени между произведенными затратами и получением продукции и другие особенности приводят к не конкурентоспособности отраслей АПК. Указанные особенности сельского хозяйства еще раз подтверждают необходимость постоянного вмешательства и поддержки государства.</w:t>
      </w:r>
    </w:p>
    <w:p w:rsidR="00EF4175" w:rsidRP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Результаты государственной поддержки проявляются в повышении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рентабельности,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продуктивности,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эффективности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сельского</w:t>
      </w:r>
      <w:r w:rsidR="00B37E77" w:rsidRPr="00B649EB">
        <w:rPr>
          <w:sz w:val="28"/>
          <w:szCs w:val="28"/>
          <w:lang w:val="uk-UA"/>
        </w:rPr>
        <w:t xml:space="preserve"> </w:t>
      </w:r>
      <w:r w:rsidRPr="00B649EB">
        <w:rPr>
          <w:sz w:val="28"/>
          <w:szCs w:val="28"/>
        </w:rPr>
        <w:t>хозяйства.</w:t>
      </w:r>
    </w:p>
    <w:p w:rsid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Действующая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политика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государственной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поддержки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снижает конкурентоспособность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сельского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хозяйства.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Чтобы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правильно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понять происходящее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в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аграрном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секторе,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нужно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различить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 xml:space="preserve">понятия </w:t>
      </w:r>
      <w:r w:rsidR="00B649EB">
        <w:rPr>
          <w:sz w:val="28"/>
          <w:szCs w:val="28"/>
        </w:rPr>
        <w:t>"</w:t>
      </w:r>
      <w:r w:rsidRPr="00B649EB">
        <w:rPr>
          <w:sz w:val="28"/>
          <w:szCs w:val="28"/>
        </w:rPr>
        <w:t>агропромышленный комплекс</w:t>
      </w:r>
      <w:r w:rsidR="00B649EB">
        <w:rPr>
          <w:sz w:val="28"/>
          <w:szCs w:val="28"/>
        </w:rPr>
        <w:t>"</w:t>
      </w:r>
      <w:r w:rsidRPr="00B649EB">
        <w:rPr>
          <w:sz w:val="28"/>
          <w:szCs w:val="28"/>
        </w:rPr>
        <w:t xml:space="preserve"> и </w:t>
      </w:r>
      <w:r w:rsidR="00B649EB">
        <w:rPr>
          <w:sz w:val="28"/>
          <w:szCs w:val="28"/>
        </w:rPr>
        <w:t>"</w:t>
      </w:r>
      <w:r w:rsidRPr="00B649EB">
        <w:rPr>
          <w:sz w:val="28"/>
          <w:szCs w:val="28"/>
        </w:rPr>
        <w:t>сельское хозяйство</w:t>
      </w:r>
      <w:r w:rsidR="00B649EB">
        <w:rPr>
          <w:sz w:val="28"/>
          <w:szCs w:val="28"/>
        </w:rPr>
        <w:t>"</w:t>
      </w:r>
      <w:r w:rsidRPr="00B649EB">
        <w:rPr>
          <w:sz w:val="28"/>
          <w:szCs w:val="28"/>
        </w:rPr>
        <w:t>. С точки зрения рынка, агропромышленный комплекс состоит из производства сельскохозяйственного сырья и предприятий, его перерабатывающих.</w:t>
      </w:r>
    </w:p>
    <w:p w:rsid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Особенности АПК таковы, что сегодня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не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менее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90%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сельскохозяйственного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сырья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подвергается промышленной переработке. Доля чистой продукции сельского хозяйства не превышает 10—15% стоимости конечного продовольствия, а остальная ее часть создается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в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несельскохозяйственных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 xml:space="preserve">секторах. </w:t>
      </w:r>
    </w:p>
    <w:p w:rsid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В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развитых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странах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мира наблюдается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схожая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тенденция,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причем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именно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от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перерабатывающих предприятий зависит функционирование сельского хозяйства и рациональное использование его продукции.</w:t>
      </w:r>
    </w:p>
    <w:p w:rsid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Перерабатывающие предприятия являются более конкурентоспособными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на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мировых рынках,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чем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сырьевые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производства. Перерабатывающий сектор в Украине — это сложившийся конкурентный рынок.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У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нас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насчитываются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сотни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предприятий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пищевой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переработки, которые активно борются за рынок. Сельское хозяйство же — более монолитно и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менее обеспокоено рынком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сбыта.</w:t>
      </w:r>
    </w:p>
    <w:p w:rsidR="00EF4175" w:rsidRP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Конкуренция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между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предприятиями сектора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отсутствует,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поскольку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зачастую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продукция,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выращиваемая сельскохозяйственной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отраслью,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если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не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покупается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перерабатывающими предприятиями и торговыми посредниками, то скупается государством.</w:t>
      </w:r>
    </w:p>
    <w:p w:rsidR="00EF4175" w:rsidRP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Сельское хозяйство Украины является технически и технологически отсталым. Следовательно, чего точно нельзя допустить — так это того, чтобы государственная поддержка консервировала данное состояние.</w:t>
      </w:r>
    </w:p>
    <w:p w:rsid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Украинское государство превратило сельское хозяйство в одно из главных направлений социальной поддержки населения, и вывело его за рамки политики экономического роста. Государство относится к сельскому хозяйству как к заведомо убыточной деятельности. Но бизнес в сельском хозяйстве может давать большую прибыль. Есть немало примеров успешных предприятий.</w:t>
      </w:r>
    </w:p>
    <w:p w:rsidR="00EF4175" w:rsidRP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Однако их отличительными характеристиками являются наличие частных инвестиций и новые технологии производства и управления. Эти хозяйства появляются как успешная частная инициатива, но не как прямое следствие государственной поддержки. В Европейском Союзе субсидии ориентированы на развитие, у нас - на консервацию отсталости.</w:t>
      </w:r>
    </w:p>
    <w:p w:rsid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Сельское хозяйство — это техническая и технологическая отсталость. Аграрным предприятиям не хватает современной сельскохозяйственной техники. Изношенность сельскохозяйственных машин велика. Но у предприятий отрасли нет денег на ее обновление, а существующая система кредитования не приспособлена к финансированию развития сельхозеектора.</w:t>
      </w:r>
    </w:p>
    <w:p w:rsid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Все, что сейчас есть у сельскохозяйственных предприятий, — это урожай будущего года; другая собственность с высокой залоговой стоимостью практически отсутствует. А кредиты на развитие требуют многолетнего срока погашения. Следует отметить, что государство не ставило задачу создания условий для долгосрочного кредитования сельскохозяйственных предприятий.</w:t>
      </w:r>
    </w:p>
    <w:p w:rsidR="00EF4175" w:rsidRP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И аграрии, и правительство всегда были ориентированы на обеспечение текущих посевной и уборочной; отсюда и появилась схема кредитования под будущий урожай. В настоящее время в Украине основная доля бюджетных расходов на АПК приходится на поддержку текущей деятельности хозяйств. Такая структура поддержки резко отличается от практики подавляющего большинства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членов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ЕС,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где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значительная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доля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затрат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на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 xml:space="preserve">сельское хозяйствоприходится на развитие и поддержку рыночной инфраструктуры, аграрной науки и служб консалтинга и внедрения. А в Украине при отсутствии реструктуризации хозяйств бюджетная поддержка попросту </w:t>
      </w:r>
      <w:r w:rsidR="00B649EB">
        <w:rPr>
          <w:sz w:val="28"/>
          <w:szCs w:val="28"/>
        </w:rPr>
        <w:t>"</w:t>
      </w:r>
      <w:r w:rsidRPr="00B649EB">
        <w:rPr>
          <w:sz w:val="28"/>
          <w:szCs w:val="28"/>
        </w:rPr>
        <w:t>проедается</w:t>
      </w:r>
      <w:r w:rsidR="00B649EB">
        <w:rPr>
          <w:sz w:val="28"/>
          <w:szCs w:val="28"/>
        </w:rPr>
        <w:t>"</w:t>
      </w:r>
      <w:r w:rsidRPr="00B649EB">
        <w:rPr>
          <w:sz w:val="28"/>
          <w:szCs w:val="28"/>
        </w:rPr>
        <w:t>. Поэтому необходима переориентация программ бюджетной поддержки с текущей на долгосрочную поддержку сельского хозяйства.</w:t>
      </w:r>
      <w:r w:rsidR="00B649EB" w:rsidRP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 xml:space="preserve">Приостановление инвестиционного процесса в сельском хозяйстве Украины, возникшее из-за дефицита средств в начале девяностых годов прошлого столетья обусловило катастрофическое уменьшение объемов основных производственных фондов. Часть аграрного сектора в основных средствах народного хозяйства уменьшилась от 22,3% в 1993 году до 8,8% в </w:t>
      </w:r>
      <w:smartTag w:uri="urn:schemas-microsoft-com:office:smarttags" w:element="metricconverter">
        <w:smartTagPr>
          <w:attr w:name="ProductID" w:val="2003 г"/>
        </w:smartTagPr>
        <w:r w:rsidRPr="00B649EB">
          <w:rPr>
            <w:sz w:val="28"/>
            <w:szCs w:val="28"/>
          </w:rPr>
          <w:t>2003 г</w:t>
        </w:r>
      </w:smartTag>
      <w:r w:rsidRPr="00B649EB">
        <w:rPr>
          <w:sz w:val="28"/>
          <w:szCs w:val="28"/>
        </w:rPr>
        <w:t xml:space="preserve">. До сих пор продолжается процесс интенсивной деиндустриализации производства. Особенно ухудшилось состояние обеспеченности основными фондами в последние пять лет (табл. </w:t>
      </w:r>
      <w:r w:rsidR="00B37E77" w:rsidRPr="00B649EB">
        <w:rPr>
          <w:sz w:val="28"/>
          <w:szCs w:val="28"/>
          <w:lang w:val="uk-UA"/>
        </w:rPr>
        <w:t>1</w:t>
      </w:r>
      <w:r w:rsidRPr="00B649EB">
        <w:rPr>
          <w:sz w:val="28"/>
          <w:szCs w:val="28"/>
        </w:rPr>
        <w:t>) [20].</w:t>
      </w:r>
    </w:p>
    <w:p w:rsidR="00B649EB" w:rsidRPr="003A6563" w:rsidRDefault="00B649EB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4175" w:rsidRP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 xml:space="preserve">Таблица </w:t>
      </w:r>
      <w:r w:rsidR="00B37E77" w:rsidRPr="00B649EB">
        <w:rPr>
          <w:sz w:val="28"/>
          <w:szCs w:val="28"/>
          <w:lang w:val="uk-UA"/>
        </w:rPr>
        <w:t>1</w:t>
      </w:r>
      <w:r w:rsidR="00B649EB" w:rsidRP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Парк тракторов, зерноуборочных комбайнов и грузовых автомобилей аграрных предприятий Луганской области, шт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98"/>
        <w:gridCol w:w="716"/>
        <w:gridCol w:w="716"/>
        <w:gridCol w:w="716"/>
        <w:gridCol w:w="716"/>
        <w:gridCol w:w="716"/>
        <w:gridCol w:w="716"/>
        <w:gridCol w:w="616"/>
        <w:gridCol w:w="1107"/>
        <w:gridCol w:w="992"/>
      </w:tblGrid>
      <w:tr w:rsidR="00EF4175" w:rsidRPr="00670FA7" w:rsidTr="00670FA7">
        <w:tc>
          <w:tcPr>
            <w:tcW w:w="2198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Наименование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Годы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6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Отношение, %</w:t>
            </w:r>
          </w:p>
        </w:tc>
      </w:tr>
      <w:tr w:rsidR="00EF4175" w:rsidRPr="00670FA7" w:rsidTr="00670FA7">
        <w:tc>
          <w:tcPr>
            <w:tcW w:w="2198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1990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2000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5601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2002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2003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2004</w:t>
            </w:r>
          </w:p>
        </w:tc>
        <w:tc>
          <w:tcPr>
            <w:tcW w:w="6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2005</w:t>
            </w:r>
          </w:p>
        </w:tc>
        <w:tc>
          <w:tcPr>
            <w:tcW w:w="1107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2005 г</w:t>
            </w:r>
            <w:r w:rsidR="00B649EB" w:rsidRPr="00670FA7">
              <w:rPr>
                <w:szCs w:val="24"/>
                <w:lang w:val="en-US"/>
              </w:rPr>
              <w:t xml:space="preserve"> </w:t>
            </w:r>
            <w:r w:rsidRPr="00670FA7">
              <w:rPr>
                <w:szCs w:val="24"/>
              </w:rPr>
              <w:t xml:space="preserve">от </w:t>
            </w:r>
            <w:smartTag w:uri="urn:schemas-microsoft-com:office:smarttags" w:element="metricconverter">
              <w:smartTagPr>
                <w:attr w:name="ProductID" w:val="1990 г"/>
              </w:smartTagPr>
              <w:r w:rsidRPr="00670FA7">
                <w:rPr>
                  <w:szCs w:val="24"/>
                </w:rPr>
                <w:t>1990 г</w:t>
              </w:r>
            </w:smartTag>
            <w:r w:rsidRPr="00670FA7">
              <w:rPr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2005 г</w:t>
            </w:r>
            <w:r w:rsidR="00B649EB" w:rsidRPr="00670FA7">
              <w:rPr>
                <w:szCs w:val="24"/>
                <w:lang w:val="en-US"/>
              </w:rPr>
              <w:t xml:space="preserve"> </w:t>
            </w:r>
            <w:r w:rsidRPr="00670FA7">
              <w:rPr>
                <w:szCs w:val="24"/>
              </w:rPr>
              <w:t xml:space="preserve">от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670FA7">
                <w:rPr>
                  <w:szCs w:val="24"/>
                </w:rPr>
                <w:t>2004 г</w:t>
              </w:r>
            </w:smartTag>
            <w:r w:rsidRPr="00670FA7">
              <w:rPr>
                <w:szCs w:val="24"/>
              </w:rPr>
              <w:t>.</w:t>
            </w:r>
          </w:p>
        </w:tc>
      </w:tr>
      <w:tr w:rsidR="00EF4175" w:rsidRPr="00670FA7" w:rsidTr="00670FA7">
        <w:tc>
          <w:tcPr>
            <w:tcW w:w="2198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Трактора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16467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11904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11765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11669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11569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11592</w:t>
            </w:r>
          </w:p>
        </w:tc>
        <w:tc>
          <w:tcPr>
            <w:tcW w:w="6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7307</w:t>
            </w:r>
          </w:p>
        </w:tc>
        <w:tc>
          <w:tcPr>
            <w:tcW w:w="1107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44,1</w:t>
            </w:r>
          </w:p>
        </w:tc>
        <w:tc>
          <w:tcPr>
            <w:tcW w:w="992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63,0</w:t>
            </w:r>
          </w:p>
        </w:tc>
      </w:tr>
      <w:tr w:rsidR="00EF4175" w:rsidRPr="00670FA7" w:rsidTr="00670FA7">
        <w:tc>
          <w:tcPr>
            <w:tcW w:w="2198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Зерноуборочны е комбайны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3511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1973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1931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1842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1838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1790</w:t>
            </w:r>
          </w:p>
        </w:tc>
        <w:tc>
          <w:tcPr>
            <w:tcW w:w="6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1550</w:t>
            </w:r>
          </w:p>
        </w:tc>
        <w:tc>
          <w:tcPr>
            <w:tcW w:w="1107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44,1</w:t>
            </w:r>
          </w:p>
        </w:tc>
        <w:tc>
          <w:tcPr>
            <w:tcW w:w="992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86,6</w:t>
            </w:r>
          </w:p>
        </w:tc>
      </w:tr>
      <w:tr w:rsidR="00EF4175" w:rsidRPr="00670FA7" w:rsidTr="00670FA7">
        <w:tc>
          <w:tcPr>
            <w:tcW w:w="2198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Грузовые автомобили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10085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6201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5531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5103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4774</w:t>
            </w:r>
          </w:p>
        </w:tc>
        <w:tc>
          <w:tcPr>
            <w:tcW w:w="7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4687</w:t>
            </w:r>
          </w:p>
        </w:tc>
        <w:tc>
          <w:tcPr>
            <w:tcW w:w="616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4057</w:t>
            </w:r>
          </w:p>
        </w:tc>
        <w:tc>
          <w:tcPr>
            <w:tcW w:w="1107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40,2</w:t>
            </w:r>
          </w:p>
        </w:tc>
        <w:tc>
          <w:tcPr>
            <w:tcW w:w="992" w:type="dxa"/>
            <w:shd w:val="clear" w:color="auto" w:fill="auto"/>
          </w:tcPr>
          <w:p w:rsidR="00EF4175" w:rsidRPr="00670FA7" w:rsidRDefault="00EF4175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86,6</w:t>
            </w:r>
          </w:p>
        </w:tc>
      </w:tr>
    </w:tbl>
    <w:p w:rsidR="00B37E77" w:rsidRP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4175" w:rsidRPr="00B649EB" w:rsidRDefault="00EF4175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49EB">
        <w:rPr>
          <w:sz w:val="28"/>
          <w:szCs w:val="28"/>
        </w:rPr>
        <w:t>Темпы ежегодного списания изношенной техники в несколько раз превышают темпы ее обновления, вследствие чего нагрузки на машины увеличиваются более чем в три раза. Это приводит к значительному увеличению сроков выполнения полевых работ, потерям урожая и значительному увеличению себестоимости продукции, и как следствие к снижению эффективности аграрного производства.</w:t>
      </w:r>
    </w:p>
    <w:p w:rsidR="00B37E77" w:rsidRPr="00B649EB" w:rsidRDefault="00B649EB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B37E77" w:rsidRPr="00B649EB">
        <w:rPr>
          <w:sz w:val="28"/>
          <w:szCs w:val="28"/>
        </w:rPr>
        <w:t xml:space="preserve">Таблица </w:t>
      </w:r>
      <w:r w:rsidR="00B37E77" w:rsidRPr="00B649EB">
        <w:rPr>
          <w:sz w:val="28"/>
          <w:szCs w:val="28"/>
          <w:lang w:val="uk-UA"/>
        </w:rPr>
        <w:t>2</w:t>
      </w:r>
      <w:r w:rsidRPr="00B649EB">
        <w:rPr>
          <w:sz w:val="28"/>
          <w:szCs w:val="28"/>
        </w:rPr>
        <w:t xml:space="preserve"> </w:t>
      </w:r>
      <w:r w:rsidR="00B37E77" w:rsidRPr="00B649EB">
        <w:rPr>
          <w:sz w:val="28"/>
          <w:szCs w:val="28"/>
        </w:rPr>
        <w:t xml:space="preserve">Производство продукции сельского хозяйства аграрными предприятиями Луганской области, в сопоставимых ценах </w:t>
      </w:r>
      <w:smartTag w:uri="urn:schemas-microsoft-com:office:smarttags" w:element="metricconverter">
        <w:smartTagPr>
          <w:attr w:name="ProductID" w:val="2000 г"/>
        </w:smartTagPr>
        <w:r w:rsidR="00B37E77" w:rsidRPr="00B649EB">
          <w:rPr>
            <w:sz w:val="28"/>
            <w:szCs w:val="28"/>
          </w:rPr>
          <w:t>2000 г</w:t>
        </w:r>
      </w:smartTag>
      <w:r w:rsidR="00B37E77" w:rsidRPr="00B649EB">
        <w:rPr>
          <w:sz w:val="28"/>
          <w:szCs w:val="28"/>
        </w:rPr>
        <w:t>., млн. грн.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838"/>
        <w:gridCol w:w="766"/>
        <w:gridCol w:w="766"/>
        <w:gridCol w:w="766"/>
        <w:gridCol w:w="766"/>
        <w:gridCol w:w="766"/>
        <w:gridCol w:w="766"/>
        <w:gridCol w:w="766"/>
        <w:gridCol w:w="1130"/>
        <w:gridCol w:w="1128"/>
      </w:tblGrid>
      <w:tr w:rsidR="00B37E77" w:rsidRPr="00670FA7" w:rsidTr="00670FA7">
        <w:tc>
          <w:tcPr>
            <w:tcW w:w="1838" w:type="dxa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Годы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Отношение, %</w:t>
            </w:r>
          </w:p>
        </w:tc>
      </w:tr>
      <w:tr w:rsidR="00B37E77" w:rsidRPr="00670FA7" w:rsidTr="00670FA7">
        <w:tc>
          <w:tcPr>
            <w:tcW w:w="1838" w:type="dxa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Показатели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1990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2000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2001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2002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2003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2004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2005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 w:rsidRPr="00670FA7">
                <w:rPr>
                  <w:szCs w:val="24"/>
                </w:rPr>
                <w:t>2005 г</w:t>
              </w:r>
            </w:smartTag>
            <w:r w:rsidRPr="00670FA7">
              <w:rPr>
                <w:szCs w:val="24"/>
              </w:rPr>
              <w:t xml:space="preserve"> от</w:t>
            </w:r>
            <w:r w:rsidR="00B649EB" w:rsidRPr="00670FA7">
              <w:rPr>
                <w:szCs w:val="24"/>
                <w:lang w:val="en-US"/>
              </w:rPr>
              <w:t xml:space="preserve"> </w:t>
            </w:r>
            <w:r w:rsidRPr="00670FA7">
              <w:rPr>
                <w:szCs w:val="24"/>
              </w:rPr>
              <w:t>1990 г.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 w:rsidRPr="00670FA7">
                <w:rPr>
                  <w:szCs w:val="24"/>
                </w:rPr>
                <w:t>2005 г</w:t>
              </w:r>
            </w:smartTag>
            <w:r w:rsidRPr="00670FA7">
              <w:rPr>
                <w:szCs w:val="24"/>
              </w:rPr>
              <w:t xml:space="preserve"> от</w:t>
            </w:r>
            <w:r w:rsidR="00B649EB" w:rsidRPr="00670FA7">
              <w:rPr>
                <w:szCs w:val="24"/>
                <w:lang w:val="en-US"/>
              </w:rPr>
              <w:t xml:space="preserve"> </w:t>
            </w:r>
            <w:r w:rsidRPr="00670FA7">
              <w:rPr>
                <w:szCs w:val="24"/>
              </w:rPr>
              <w:t>2004 г</w:t>
            </w:r>
          </w:p>
        </w:tc>
      </w:tr>
      <w:tr w:rsidR="00B37E77" w:rsidRPr="00670FA7" w:rsidTr="00670FA7">
        <w:tc>
          <w:tcPr>
            <w:tcW w:w="1838" w:type="dxa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Продукция растениеводства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1518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803,9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895,2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921,3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827,8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1067,5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1371,5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90,3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128,5</w:t>
            </w:r>
          </w:p>
        </w:tc>
      </w:tr>
      <w:tr w:rsidR="00B37E77" w:rsidRPr="00670FA7" w:rsidTr="00670FA7">
        <w:tc>
          <w:tcPr>
            <w:tcW w:w="1838" w:type="dxa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Продукция животноводства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1968,2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630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606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681.2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697,4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703,4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763,5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38,8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108,5</w:t>
            </w:r>
          </w:p>
        </w:tc>
      </w:tr>
      <w:tr w:rsidR="00B37E77" w:rsidRPr="00670FA7" w:rsidTr="00670FA7">
        <w:tc>
          <w:tcPr>
            <w:tcW w:w="1838" w:type="dxa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3486,2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1433,9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1501,2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1602,5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1525,2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1770,9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2135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61,2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102,6</w:t>
            </w:r>
          </w:p>
        </w:tc>
      </w:tr>
    </w:tbl>
    <w:p w:rsidR="00B37E77" w:rsidRP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 xml:space="preserve">Как видим, парк машин, задействованных в сельскохозяйственном производстве Луганской области с девяностого года уменьшился более, чем в два раза. И эта тенденция отразилась на производстве сельскохозяйственной продукции (табл. </w:t>
      </w:r>
      <w:r w:rsidRPr="00B649EB">
        <w:rPr>
          <w:sz w:val="28"/>
          <w:szCs w:val="28"/>
          <w:lang w:val="uk-UA"/>
        </w:rPr>
        <w:t>2</w:t>
      </w:r>
      <w:r w:rsidRPr="00B649EB">
        <w:rPr>
          <w:sz w:val="28"/>
          <w:szCs w:val="28"/>
        </w:rPr>
        <w:t>).</w:t>
      </w: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Ныне организация аграрного бизнеса и рынка на Украине не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соответствует мировой практике расширенного воспроизводства. При этом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современное состояние государственного регулирования аграрного рынка не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адекватно экономическим реалиям - сельское хозяйство, как отмечалось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утратило покупательскую способность. Его техническое оснащение достигло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критических норм. Поэтому, при нынешних условиях рынок материально-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технических ресурсов должен формироваться в условиях поддержания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доходности</w:t>
      </w:r>
      <w:r w:rsidRPr="00B649EB">
        <w:rPr>
          <w:sz w:val="28"/>
          <w:szCs w:val="28"/>
        </w:rPr>
        <w:tab/>
        <w:t>и</w:t>
      </w:r>
      <w:r w:rsidR="003A6563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платежеспособности</w:t>
      </w:r>
      <w:r w:rsidR="003A6563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сельскохозяйственных</w:t>
      </w:r>
      <w:r w:rsidRPr="00B649EB">
        <w:rPr>
          <w:sz w:val="28"/>
          <w:szCs w:val="28"/>
          <w:lang w:val="uk-UA"/>
        </w:rPr>
        <w:t xml:space="preserve"> </w:t>
      </w:r>
      <w:r w:rsidRPr="00B649EB">
        <w:rPr>
          <w:sz w:val="28"/>
          <w:szCs w:val="28"/>
        </w:rPr>
        <w:t>товаропроизводителей</w:t>
      </w:r>
      <w:r w:rsidR="00B649EB">
        <w:rPr>
          <w:sz w:val="28"/>
          <w:szCs w:val="28"/>
          <w:lang w:val="uk-UA"/>
        </w:rPr>
        <w:t xml:space="preserve"> </w:t>
      </w:r>
      <w:r w:rsidRPr="00B649EB">
        <w:rPr>
          <w:sz w:val="28"/>
          <w:szCs w:val="28"/>
        </w:rPr>
        <w:t>и создания единой схемы финансирования процесса формирования необходимого количества средств, ресурсов и услуг для АПК.</w:t>
      </w: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Государство должно выполнить свои функции - создать такой экономический механизм межотраслевых экономических отношений, при котором были бы обеспечены условия для функционирования всех составляющих аграрного рынка, а для его основного сегмента – сельского хозяйства возможности получения прибыли на авансированный капитал с учетом стоимости земли и срока оборачиваемости капитала. Это возможно осуществить двумя путями: первый - совершенствование ценообразования, при котором наряду со свободным ценообразованием предприятия учитывают затраты и прибыли в пределах нормы, которая существует в стране; второй -поддержка доходов отраслей, которые получают прибыли, при норме, ниже, чем в среднем по народному хозяйству страны, для чего должен быть создан специальный государственный фонд.</w:t>
      </w: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Современная экономическая теория и практика исходит из концепции, что основными механизмами, на основании которых осуществляется регулирование цен, является действие экономических законов:</w:t>
      </w: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закона стоимости, который учитывает цену производства;</w:t>
      </w: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закона поддержания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нормы прибыли (в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ЕС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максимальный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процент прибыли не может превышать 21%; в Японии - 19%);</w:t>
      </w: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законы нормы эксплуатации, который регулирует уровень заработной платы.</w:t>
      </w:r>
    </w:p>
    <w:p w:rsid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Большое значение в развитых странах уделяется и вопросам регулирования распределения прибыли между отраслями народного хозяйства. К примеру, по японской модели рыночной экономики распределение прибыли является следующим: банки имеют менее 1% прибыли промышленности и сельскохозяйственных производителей: коммерческие структуры - около 4% производители - 92-95%, из них 70-85% направляется на стимулирование процессов расширенного воспроизводства. Подобная картина характерна и для большинства развитых стран мира. В то же время в Украине за период реформирования экономики в направлении рыночных отношений наблюдается противоположная ситуация, касающаяся государственного регулирования рыночных механизмов.</w:t>
      </w: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 xml:space="preserve">В период с </w:t>
      </w:r>
      <w:r w:rsidRPr="00B649EB">
        <w:rPr>
          <w:sz w:val="28"/>
          <w:szCs w:val="28"/>
          <w:lang w:val="uk-UA"/>
        </w:rPr>
        <w:t>200</w:t>
      </w:r>
      <w:r w:rsidRPr="00B649EB">
        <w:rPr>
          <w:sz w:val="28"/>
          <w:szCs w:val="28"/>
        </w:rPr>
        <w:t>2 по 2005 годы прибыль банков и коммерческих структур с 36,5% увеличилась до 90%, сельское хозяйство и промышленность на данный момент имеют лишь 12-15% прибыли. В таких условия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трудоемким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отраслям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с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длительным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сроком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оборачиваемости оборотных средств,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как сельское хозяйство,</w:t>
      </w:r>
      <w:r w:rsid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невозможно даже мечтать об эффективном развитии.</w:t>
      </w: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Таким образом, показатель нормы прибыльности (доходности) в должен ежегодно устанавливаться и приниматься за основу в системе регулирования цен, распределительных отношений.</w:t>
      </w:r>
    </w:p>
    <w:p w:rsid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Результаты хозяйственной деятельности в значительной мере зависят не только от состояния дел в производстве, но и от развитости сферы обращения аграрного рынка где складывается широкий участок для инновационной составляющей в хозяйственной деятельности.</w:t>
      </w:r>
    </w:p>
    <w:p w:rsid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В регионе действует агропромышленная товарная биржа. Объемы реализации зерновых и масличных культур урожая 2005 года через биржевой рынок составили по внутренним соглашениям 23 тыс. т на сумму 12,1 млн. грн (221% по сравнению с 2004 годом), по экспортным - 319 тис. тонн на 159,7 млн. грн. (219%).</w:t>
      </w:r>
      <w:r w:rsidR="00B649EB" w:rsidRP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 xml:space="preserve">В Луганской области действуют 18 агроторговых домов, через которые реализовано продукции на сумму 12 млн. грн. Проводится постоянный мониторинг биржевых цен и тарифов, которые публикуются в областной газете </w:t>
      </w:r>
      <w:r w:rsidR="00B649EB">
        <w:rPr>
          <w:sz w:val="28"/>
          <w:szCs w:val="28"/>
        </w:rPr>
        <w:t>"</w:t>
      </w:r>
      <w:r w:rsidRPr="00B649EB">
        <w:rPr>
          <w:sz w:val="28"/>
          <w:szCs w:val="28"/>
        </w:rPr>
        <w:t>Биржевая неделя</w:t>
      </w:r>
      <w:r w:rsidR="00B649EB">
        <w:rPr>
          <w:sz w:val="28"/>
          <w:szCs w:val="28"/>
        </w:rPr>
        <w:t>"</w:t>
      </w:r>
      <w:r w:rsidRPr="00B649EB">
        <w:rPr>
          <w:sz w:val="28"/>
          <w:szCs w:val="28"/>
        </w:rPr>
        <w:t>.</w:t>
      </w: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49EB">
        <w:rPr>
          <w:sz w:val="28"/>
          <w:szCs w:val="28"/>
        </w:rPr>
        <w:t xml:space="preserve">Средневзвешенные биржевые цены на сельскохозяйственную продукцию, которые сложились в результате торгов с июня </w:t>
      </w:r>
      <w:smartTag w:uri="urn:schemas-microsoft-com:office:smarttags" w:element="metricconverter">
        <w:smartTagPr>
          <w:attr w:name="ProductID" w:val="2002 г"/>
        </w:smartTagPr>
        <w:r w:rsidRPr="00B649EB">
          <w:rPr>
            <w:sz w:val="28"/>
            <w:szCs w:val="28"/>
          </w:rPr>
          <w:t>2005 г</w:t>
        </w:r>
      </w:smartTag>
      <w:r w:rsidRPr="00B649EB">
        <w:rPr>
          <w:sz w:val="28"/>
          <w:szCs w:val="28"/>
        </w:rPr>
        <w:t xml:space="preserve">. по январь </w:t>
      </w:r>
      <w:smartTag w:uri="urn:schemas-microsoft-com:office:smarttags" w:element="metricconverter">
        <w:smartTagPr>
          <w:attr w:name="ProductID" w:val="2002 г"/>
        </w:smartTagPr>
        <w:r w:rsidRPr="00B649EB">
          <w:rPr>
            <w:sz w:val="28"/>
            <w:szCs w:val="28"/>
          </w:rPr>
          <w:t>2006 г</w:t>
        </w:r>
      </w:smartTag>
      <w:r w:rsidRPr="00B649EB">
        <w:rPr>
          <w:sz w:val="28"/>
          <w:szCs w:val="28"/>
        </w:rPr>
        <w:t xml:space="preserve">. представлены в табл. </w:t>
      </w:r>
      <w:r w:rsidRPr="00B649EB">
        <w:rPr>
          <w:sz w:val="28"/>
          <w:szCs w:val="28"/>
          <w:lang w:val="uk-UA"/>
        </w:rPr>
        <w:t>3</w:t>
      </w:r>
      <w:r w:rsidRPr="00B649EB">
        <w:rPr>
          <w:sz w:val="28"/>
          <w:szCs w:val="28"/>
        </w:rPr>
        <w:t>.</w:t>
      </w:r>
    </w:p>
    <w:p w:rsidR="001C531D" w:rsidRPr="00B649EB" w:rsidRDefault="001C531D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 xml:space="preserve">Таблица </w:t>
      </w:r>
      <w:r w:rsidRPr="00B649EB">
        <w:rPr>
          <w:sz w:val="28"/>
          <w:szCs w:val="28"/>
          <w:lang w:val="uk-UA"/>
        </w:rPr>
        <w:t>3</w:t>
      </w:r>
      <w:r w:rsidR="00B649EB" w:rsidRP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Средневзвешенные биржевые цены на сельскохозяйственную продукцию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591"/>
        <w:gridCol w:w="1247"/>
      </w:tblGrid>
      <w:tr w:rsidR="00B37E77" w:rsidRPr="00670FA7" w:rsidTr="00670FA7"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Продукция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Цена, грн./ц</w:t>
            </w:r>
          </w:p>
        </w:tc>
      </w:tr>
      <w:tr w:rsidR="00B37E77" w:rsidRPr="00670FA7" w:rsidTr="00670FA7"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Пшеница мягкая Зкл.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690</w:t>
            </w:r>
          </w:p>
        </w:tc>
      </w:tr>
      <w:tr w:rsidR="00B37E77" w:rsidRPr="00670FA7" w:rsidTr="00670FA7"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Пшеница мягкая 4кл.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540</w:t>
            </w:r>
          </w:p>
        </w:tc>
      </w:tr>
      <w:tr w:rsidR="00B37E77" w:rsidRPr="00670FA7" w:rsidTr="00670FA7"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ДНнсница мягкая бкл.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422,79</w:t>
            </w:r>
          </w:p>
        </w:tc>
      </w:tr>
      <w:tr w:rsidR="00B37E77" w:rsidRPr="00670FA7" w:rsidTr="00670FA7"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Рожь 4кл.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302</w:t>
            </w:r>
          </w:p>
        </w:tc>
      </w:tr>
      <w:tr w:rsidR="00B37E77" w:rsidRPr="00670FA7" w:rsidTr="00670FA7"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Ячмень Зкл.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540</w:t>
            </w:r>
          </w:p>
        </w:tc>
      </w:tr>
      <w:tr w:rsidR="00B37E77" w:rsidRPr="00670FA7" w:rsidTr="00670FA7"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Кукуруза Зкл.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398,14</w:t>
            </w:r>
          </w:p>
        </w:tc>
      </w:tr>
      <w:tr w:rsidR="00B37E77" w:rsidRPr="00670FA7" w:rsidTr="00670FA7"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Овес 4кл.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378</w:t>
            </w:r>
          </w:p>
        </w:tc>
      </w:tr>
      <w:tr w:rsidR="00B37E77" w:rsidRPr="00670FA7" w:rsidTr="00670FA7"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 орох 3 кл.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545</w:t>
            </w:r>
          </w:p>
        </w:tc>
      </w:tr>
      <w:tr w:rsidR="00B37E77" w:rsidRPr="00670FA7" w:rsidTr="00670FA7"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Семена подсолнечника 1кл.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1200</w:t>
            </w:r>
          </w:p>
        </w:tc>
      </w:tr>
    </w:tbl>
    <w:p w:rsidR="00B37E77" w:rsidRPr="00B649EB" w:rsidRDefault="00B649EB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37E77" w:rsidRPr="00B649EB">
        <w:rPr>
          <w:sz w:val="28"/>
          <w:szCs w:val="28"/>
        </w:rPr>
        <w:t>В 2005 году проведены 134 выставки-ярмарки разных уровней, работает 15 сельскохозяйственных обслуживающих кооперативов.</w:t>
      </w: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Продолжается работа по формированию сети пунктов по заготовке сельскохозяйственной продукции, которых создано 528, из них 434 специализируются на заготовке молока, 53 - на выращивании живого скота и птицы. В области работают 566 фирменных магазина, из них открыто 108 вновь созданными агроформированиями.</w:t>
      </w: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Для обеспечения доступа сельхозяйственных товаропроизводителей к финансовым ресурсам в сельской местности действует 15 кредитных союзов, которые объединяют 14 тыс. граждан и имеют в активе более 12,5 млн.грн.</w:t>
      </w: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 xml:space="preserve">В 2005 году отмечается увеличение объемов продаж зерновых культур в целом по области в сравнении с </w:t>
      </w:r>
      <w:smartTag w:uri="urn:schemas-microsoft-com:office:smarttags" w:element="metricconverter">
        <w:smartTagPr>
          <w:attr w:name="ProductID" w:val="2002 г"/>
        </w:smartTagPr>
        <w:r w:rsidRPr="00B649EB">
          <w:rPr>
            <w:sz w:val="28"/>
            <w:szCs w:val="28"/>
          </w:rPr>
          <w:t>2004 г</w:t>
        </w:r>
      </w:smartTag>
      <w:r w:rsidRPr="00B649EB">
        <w:rPr>
          <w:sz w:val="28"/>
          <w:szCs w:val="28"/>
        </w:rPr>
        <w:t>. на 46,8%.</w:t>
      </w:r>
    </w:p>
    <w:p w:rsid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 xml:space="preserve">Как видим по основным (для сельхозпроизводителей Луганской области) видам продукции - зерновые культуры и подсолнечник в </w:t>
      </w:r>
      <w:smartTag w:uri="urn:schemas-microsoft-com:office:smarttags" w:element="metricconverter">
        <w:smartTagPr>
          <w:attr w:name="ProductID" w:val="2002 г"/>
        </w:smartTagPr>
        <w:r w:rsidRPr="00B649EB">
          <w:rPr>
            <w:sz w:val="28"/>
            <w:szCs w:val="28"/>
          </w:rPr>
          <w:t>2005 г</w:t>
        </w:r>
      </w:smartTag>
      <w:r w:rsidRPr="00B649EB">
        <w:rPr>
          <w:sz w:val="28"/>
          <w:szCs w:val="28"/>
        </w:rPr>
        <w:t xml:space="preserve">. произошло снижение средних цен реализации по сравнению с 2004 годом соответственно на 18,9 и 15,7% (табл. </w:t>
      </w:r>
      <w:r w:rsidRPr="00B649EB">
        <w:rPr>
          <w:sz w:val="28"/>
          <w:szCs w:val="28"/>
          <w:lang w:val="uk-UA"/>
        </w:rPr>
        <w:t>4</w:t>
      </w:r>
      <w:r w:rsidRPr="00B649EB">
        <w:rPr>
          <w:sz w:val="28"/>
          <w:szCs w:val="28"/>
        </w:rPr>
        <w:t xml:space="preserve"> - </w:t>
      </w:r>
      <w:r w:rsidRPr="00B649EB">
        <w:rPr>
          <w:sz w:val="28"/>
          <w:szCs w:val="28"/>
          <w:lang w:val="uk-UA"/>
        </w:rPr>
        <w:t>5</w:t>
      </w:r>
      <w:r w:rsidRPr="00B649EB">
        <w:rPr>
          <w:sz w:val="28"/>
          <w:szCs w:val="28"/>
        </w:rPr>
        <w:t>).</w:t>
      </w:r>
    </w:p>
    <w:p w:rsid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>Все попытки государственного регулирования ситуации на аграрном рынке оказались декларативными. Это подтверждается и тем, что на биржевом рынке цены на сельскохозяйственную продукцию значительно выше, чем средние сложившиеся по предприятиям области.</w:t>
      </w: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49EB">
        <w:rPr>
          <w:sz w:val="28"/>
          <w:szCs w:val="28"/>
        </w:rPr>
        <w:t>Примером может быть реализация семян подсолнечника, по которой на бирже цена в 2005 году сложилась на уровне 1200 грн. за тонну, что на 26,1% больше, чем фактическая средняя цена реализации, сложившаяся по предприятиям области.</w:t>
      </w:r>
    </w:p>
    <w:p w:rsidR="00B649EB" w:rsidRPr="003A6563" w:rsidRDefault="00B649EB" w:rsidP="00B649E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B37E77" w:rsidRPr="00B649EB" w:rsidRDefault="00B649EB" w:rsidP="00B649E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bCs/>
          <w:sz w:val="28"/>
          <w:szCs w:val="28"/>
        </w:rPr>
        <w:br w:type="page"/>
      </w:r>
      <w:r w:rsidR="00B37E77" w:rsidRPr="00B649EB">
        <w:rPr>
          <w:bCs/>
          <w:sz w:val="28"/>
          <w:szCs w:val="28"/>
        </w:rPr>
        <w:t xml:space="preserve">Таблица </w:t>
      </w:r>
      <w:r w:rsidR="00B37E77" w:rsidRPr="00B649EB">
        <w:rPr>
          <w:bCs/>
          <w:sz w:val="28"/>
          <w:szCs w:val="28"/>
          <w:lang w:val="uk-UA"/>
        </w:rPr>
        <w:t>4</w:t>
      </w:r>
      <w:r w:rsidRPr="00B649EB">
        <w:rPr>
          <w:bCs/>
          <w:sz w:val="28"/>
          <w:szCs w:val="28"/>
        </w:rPr>
        <w:t xml:space="preserve"> </w:t>
      </w:r>
      <w:r w:rsidR="00B37E77" w:rsidRPr="00B649EB">
        <w:rPr>
          <w:sz w:val="28"/>
          <w:szCs w:val="28"/>
        </w:rPr>
        <w:t>Средняя цена, на продукцию, реализованную сельскохозяйственными предприятиями, грн./т</w:t>
      </w:r>
    </w:p>
    <w:p w:rsidR="00B37E77" w:rsidRPr="00B649EB" w:rsidRDefault="00292921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3.25pt;height:120.75pt">
            <v:imagedata r:id="rId5" o:title=""/>
          </v:shape>
        </w:pict>
      </w:r>
    </w:p>
    <w:p w:rsidR="00B649EB" w:rsidRDefault="00B649EB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7E77" w:rsidRPr="00B649EB" w:rsidRDefault="00B37E77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649EB">
        <w:rPr>
          <w:sz w:val="28"/>
          <w:szCs w:val="28"/>
        </w:rPr>
        <w:t xml:space="preserve">Таблица </w:t>
      </w:r>
      <w:r w:rsidRPr="00B649EB">
        <w:rPr>
          <w:sz w:val="28"/>
          <w:szCs w:val="28"/>
          <w:lang w:val="uk-UA"/>
        </w:rPr>
        <w:t>5</w:t>
      </w:r>
      <w:r w:rsidR="00B649EB" w:rsidRPr="00B649EB">
        <w:rPr>
          <w:sz w:val="28"/>
          <w:szCs w:val="28"/>
        </w:rPr>
        <w:t xml:space="preserve"> </w:t>
      </w:r>
      <w:r w:rsidRPr="00B649EB">
        <w:rPr>
          <w:sz w:val="28"/>
          <w:szCs w:val="28"/>
        </w:rPr>
        <w:t>Рентабельность производства основных сельскохозяйственных культур, %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370"/>
        <w:gridCol w:w="666"/>
        <w:gridCol w:w="668"/>
        <w:gridCol w:w="633"/>
        <w:gridCol w:w="1785"/>
        <w:gridCol w:w="1885"/>
      </w:tblGrid>
      <w:tr w:rsidR="00B37E77" w:rsidRPr="00670FA7" w:rsidTr="00670FA7"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Культуры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Годы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Отклонения</w:t>
            </w:r>
          </w:p>
        </w:tc>
      </w:tr>
      <w:tr w:rsidR="00B37E77" w:rsidRPr="00670FA7" w:rsidTr="00670FA7"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1990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2002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2005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 xml:space="preserve">2005гот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670FA7">
                <w:rPr>
                  <w:szCs w:val="24"/>
                </w:rPr>
                <w:t>1990 г</w:t>
              </w:r>
            </w:smartTag>
            <w:r w:rsidRPr="00670FA7">
              <w:rPr>
                <w:szCs w:val="24"/>
              </w:rPr>
              <w:t>., %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 xml:space="preserve">2005г. от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670FA7">
                <w:rPr>
                  <w:szCs w:val="24"/>
                </w:rPr>
                <w:t>2002 г</w:t>
              </w:r>
            </w:smartTag>
            <w:r w:rsidRPr="00670FA7">
              <w:rPr>
                <w:szCs w:val="24"/>
              </w:rPr>
              <w:t>., %</w:t>
            </w:r>
          </w:p>
        </w:tc>
      </w:tr>
      <w:tr w:rsidR="00B37E77" w:rsidRPr="00670FA7" w:rsidTr="00670FA7"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Зерно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277,1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16,7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-3,4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-280,5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-20,1</w:t>
            </w:r>
          </w:p>
        </w:tc>
      </w:tr>
      <w:tr w:rsidR="00B37E77" w:rsidRPr="00670FA7" w:rsidTr="00670FA7"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Семена подсолнечника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193,2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86,2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24.1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-161,1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-62.1</w:t>
            </w:r>
          </w:p>
        </w:tc>
      </w:tr>
      <w:tr w:rsidR="00B37E77" w:rsidRPr="00670FA7" w:rsidTr="00670FA7"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Картофель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-18,9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  <w:lang w:val="uk-UA"/>
              </w:rPr>
            </w:pPr>
            <w:r w:rsidRPr="00670FA7">
              <w:rPr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-46,4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-27,5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-37,0</w:t>
            </w:r>
          </w:p>
        </w:tc>
      </w:tr>
      <w:tr w:rsidR="00B37E77" w:rsidRPr="00670FA7" w:rsidTr="00670FA7"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Овощи открытого грунта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-2,2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11,3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-9,0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-6,8</w:t>
            </w:r>
          </w:p>
        </w:tc>
        <w:tc>
          <w:tcPr>
            <w:tcW w:w="0" w:type="auto"/>
            <w:shd w:val="clear" w:color="auto" w:fill="auto"/>
          </w:tcPr>
          <w:p w:rsidR="00B37E77" w:rsidRPr="00670FA7" w:rsidRDefault="00B37E77" w:rsidP="00670FA7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670FA7">
              <w:rPr>
                <w:szCs w:val="24"/>
              </w:rPr>
              <w:t>-20,3</w:t>
            </w:r>
          </w:p>
        </w:tc>
      </w:tr>
    </w:tbl>
    <w:p w:rsidR="001C531D" w:rsidRPr="00B649EB" w:rsidRDefault="001C531D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C531D" w:rsidRDefault="00B649EB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1C531D" w:rsidRPr="00B649EB">
        <w:rPr>
          <w:sz w:val="28"/>
          <w:szCs w:val="28"/>
        </w:rPr>
        <w:t>Литература</w:t>
      </w:r>
    </w:p>
    <w:p w:rsidR="00B649EB" w:rsidRPr="00B649EB" w:rsidRDefault="00B649EB" w:rsidP="00B649EB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C531D" w:rsidRPr="00B649EB" w:rsidRDefault="001C531D" w:rsidP="00B649EB">
      <w:pPr>
        <w:widowControl/>
        <w:numPr>
          <w:ilvl w:val="0"/>
          <w:numId w:val="2"/>
        </w:numPr>
        <w:tabs>
          <w:tab w:val="clear" w:pos="1725"/>
          <w:tab w:val="num" w:pos="0"/>
        </w:tabs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B649EB">
        <w:rPr>
          <w:sz w:val="28"/>
          <w:szCs w:val="28"/>
          <w:lang w:val="uk-UA"/>
        </w:rPr>
        <w:t>Агропромисловий комплекс України: стан та перспективи розвитку – Інформаційно аналітичний збірник (випуск 5) – К. АЕН УААН – 2009 р.</w:t>
      </w:r>
    </w:p>
    <w:p w:rsidR="00B37E77" w:rsidRPr="00B649EB" w:rsidRDefault="001C531D" w:rsidP="00B649EB">
      <w:pPr>
        <w:widowControl/>
        <w:numPr>
          <w:ilvl w:val="0"/>
          <w:numId w:val="2"/>
        </w:numPr>
        <w:tabs>
          <w:tab w:val="clear" w:pos="1725"/>
          <w:tab w:val="num" w:pos="0"/>
        </w:tabs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B649EB">
        <w:rPr>
          <w:sz w:val="28"/>
          <w:szCs w:val="28"/>
          <w:lang w:val="uk-UA"/>
        </w:rPr>
        <w:t>Андрійчук В.С. – Економіка аграрних підприємств - К. 2006 р.</w:t>
      </w:r>
      <w:bookmarkStart w:id="0" w:name="_GoBack"/>
      <w:bookmarkEnd w:id="0"/>
    </w:p>
    <w:sectPr w:rsidR="00B37E77" w:rsidRPr="00B649EB" w:rsidSect="00B649E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886BE9"/>
    <w:multiLevelType w:val="singleLevel"/>
    <w:tmpl w:val="35A09518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">
    <w:nsid w:val="63B84DE7"/>
    <w:multiLevelType w:val="hybridMultilevel"/>
    <w:tmpl w:val="42C286D8"/>
    <w:lvl w:ilvl="0" w:tplc="6C6CD37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4175"/>
    <w:rsid w:val="000736B7"/>
    <w:rsid w:val="001C531D"/>
    <w:rsid w:val="00292921"/>
    <w:rsid w:val="002C420E"/>
    <w:rsid w:val="003A6563"/>
    <w:rsid w:val="00670FA7"/>
    <w:rsid w:val="006F2BAF"/>
    <w:rsid w:val="00903225"/>
    <w:rsid w:val="00984CC5"/>
    <w:rsid w:val="00B37E77"/>
    <w:rsid w:val="00B44FFF"/>
    <w:rsid w:val="00B649EB"/>
    <w:rsid w:val="00E07ABD"/>
    <w:rsid w:val="00EF4175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07D75DE3-1C87-4B84-88B3-6960407A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17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9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2413</Words>
  <Characters>13755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16136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Irina</cp:lastModifiedBy>
  <cp:revision>2</cp:revision>
  <dcterms:created xsi:type="dcterms:W3CDTF">2014-08-10T18:12:00Z</dcterms:created>
  <dcterms:modified xsi:type="dcterms:W3CDTF">2014-08-10T18:12:00Z</dcterms:modified>
</cp:coreProperties>
</file>